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D44F" w14:textId="77777777" w:rsidR="00B76E1A" w:rsidRPr="00B76E1A" w:rsidRDefault="00B76E1A" w:rsidP="00B76E1A">
      <w:pPr>
        <w:spacing w:after="0" w:line="240" w:lineRule="auto"/>
        <w:rPr>
          <w:bCs/>
        </w:rPr>
      </w:pPr>
      <w:r w:rsidRPr="00B76E1A">
        <w:rPr>
          <w:b/>
        </w:rPr>
        <w:t xml:space="preserve">TO: </w:t>
      </w:r>
      <w:r w:rsidRPr="00B76E1A">
        <w:rPr>
          <w:b/>
        </w:rPr>
        <w:tab/>
      </w:r>
      <w:r w:rsidRPr="00B76E1A">
        <w:rPr>
          <w:b/>
        </w:rPr>
        <w:tab/>
      </w:r>
      <w:r w:rsidRPr="00B76E1A">
        <w:rPr>
          <w:bCs/>
        </w:rPr>
        <w:t>PLA Board of Directors</w:t>
      </w:r>
    </w:p>
    <w:p w14:paraId="5E56BD61" w14:textId="594C0295" w:rsidR="00B76E1A" w:rsidRPr="00B76E1A" w:rsidRDefault="00B76E1A" w:rsidP="00B76E1A">
      <w:pPr>
        <w:spacing w:after="0" w:line="240" w:lineRule="auto"/>
      </w:pPr>
      <w:r w:rsidRPr="00B76E1A">
        <w:rPr>
          <w:b/>
        </w:rPr>
        <w:t>RE:</w:t>
      </w:r>
      <w:r w:rsidRPr="00B76E1A">
        <w:tab/>
      </w:r>
      <w:r w:rsidRPr="00B76E1A">
        <w:tab/>
      </w:r>
      <w:r>
        <w:t>FY20 Budget Status</w:t>
      </w:r>
    </w:p>
    <w:p w14:paraId="249CFE53" w14:textId="4B2D7167" w:rsidR="00B76E1A" w:rsidRPr="00B76E1A" w:rsidRDefault="00B76E1A" w:rsidP="00B76E1A">
      <w:pPr>
        <w:spacing w:after="0" w:line="240" w:lineRule="auto"/>
      </w:pPr>
      <w:r w:rsidRPr="00B76E1A">
        <w:rPr>
          <w:b/>
        </w:rPr>
        <w:t>DATE:</w:t>
      </w:r>
      <w:r w:rsidRPr="00B76E1A">
        <w:tab/>
      </w:r>
      <w:r w:rsidRPr="00B76E1A">
        <w:tab/>
      </w:r>
      <w:r w:rsidR="00881669">
        <w:t>June 14</w:t>
      </w:r>
      <w:r w:rsidR="00604E4C">
        <w:t>,</w:t>
      </w:r>
      <w:r w:rsidR="00881669">
        <w:t xml:space="preserve"> 2021</w:t>
      </w:r>
    </w:p>
    <w:p w14:paraId="35D58A39" w14:textId="77777777" w:rsidR="00B76E1A" w:rsidRPr="00B76E1A" w:rsidRDefault="00B76E1A" w:rsidP="00B76E1A">
      <w:pPr>
        <w:spacing w:after="0" w:line="240" w:lineRule="auto"/>
      </w:pPr>
    </w:p>
    <w:p w14:paraId="5C247EE7" w14:textId="77777777" w:rsidR="00B76E1A" w:rsidRPr="00B76E1A" w:rsidRDefault="00B76E1A" w:rsidP="00B76E1A">
      <w:pPr>
        <w:spacing w:after="0" w:line="240" w:lineRule="auto"/>
        <w:rPr>
          <w:b/>
        </w:rPr>
      </w:pPr>
      <w:r w:rsidRPr="00B76E1A">
        <w:rPr>
          <w:b/>
        </w:rPr>
        <w:t>ACTION REQUESTED/INFORMATION/REPORT:</w:t>
      </w:r>
    </w:p>
    <w:p w14:paraId="7F2547B8" w14:textId="50E0D386" w:rsidR="00B76E1A" w:rsidRPr="00B76E1A" w:rsidRDefault="00EC0317" w:rsidP="00B76E1A">
      <w:pPr>
        <w:spacing w:after="0" w:line="240" w:lineRule="auto"/>
        <w:ind w:firstLine="720"/>
      </w:pPr>
      <w:r>
        <w:t>ACTION</w:t>
      </w:r>
    </w:p>
    <w:p w14:paraId="50FD47BA" w14:textId="015885A9" w:rsidR="00B76E1A" w:rsidRPr="00B76E1A" w:rsidRDefault="00B76E1A" w:rsidP="00391876">
      <w:pPr>
        <w:spacing w:after="0" w:line="240" w:lineRule="auto"/>
      </w:pPr>
      <w:r w:rsidRPr="00B76E1A">
        <w:rPr>
          <w:b/>
        </w:rPr>
        <w:t>ACTION REQUESTED BY:</w:t>
      </w:r>
      <w:r w:rsidRPr="00B76E1A">
        <w:rPr>
          <w:b/>
        </w:rPr>
        <w:tab/>
      </w:r>
      <w:r w:rsidRPr="00B76E1A">
        <w:t>N/A</w:t>
      </w:r>
    </w:p>
    <w:p w14:paraId="12AB160D" w14:textId="4D3BCE76" w:rsidR="00B76E1A" w:rsidRDefault="00B76E1A" w:rsidP="00391876">
      <w:pPr>
        <w:spacing w:after="0" w:line="240" w:lineRule="auto"/>
      </w:pPr>
      <w:r w:rsidRPr="00B76E1A">
        <w:rPr>
          <w:b/>
        </w:rPr>
        <w:t>DRAFT OF MOTION:</w:t>
      </w:r>
      <w:r w:rsidR="00391876">
        <w:rPr>
          <w:b/>
        </w:rPr>
        <w:tab/>
      </w:r>
      <w:r w:rsidR="00391876">
        <w:rPr>
          <w:b/>
        </w:rPr>
        <w:tab/>
      </w:r>
    </w:p>
    <w:p w14:paraId="7FC7E26C" w14:textId="352F5F90" w:rsidR="00EC0317" w:rsidRPr="00B76E1A" w:rsidRDefault="00EC0317" w:rsidP="00391876">
      <w:pPr>
        <w:spacing w:after="0" w:line="240" w:lineRule="auto"/>
      </w:pPr>
      <w:r>
        <w:t>That the PLA Board accept the recommendation of PLA Budget &amp; Finance Committee to approve the FY2</w:t>
      </w:r>
      <w:r w:rsidR="00217529">
        <w:t>2</w:t>
      </w:r>
      <w:r>
        <w:t xml:space="preserve"> budget as presented with the understanding that PLA has the option to revise the budget </w:t>
      </w:r>
      <w:r w:rsidR="00217529">
        <w:t>until September 2021</w:t>
      </w:r>
      <w:r>
        <w:t>, when ALA locks budgets ahead of the ALA board’s October meeting to approve the entire ALA budget for FY2</w:t>
      </w:r>
      <w:r w:rsidR="00217529">
        <w:t>2</w:t>
      </w:r>
      <w:r>
        <w:t xml:space="preserve">.  </w:t>
      </w:r>
    </w:p>
    <w:p w14:paraId="5CBB209B" w14:textId="77777777" w:rsidR="00F47C2C" w:rsidRDefault="00F47C2C" w:rsidP="00B76E1A">
      <w:pPr>
        <w:spacing w:after="0" w:line="240" w:lineRule="auto"/>
      </w:pPr>
    </w:p>
    <w:p w14:paraId="5DC6577D" w14:textId="77777777" w:rsidR="00EC0317" w:rsidRDefault="00EC0317" w:rsidP="00B76E1A">
      <w:pPr>
        <w:spacing w:after="0" w:line="240" w:lineRule="auto"/>
      </w:pPr>
    </w:p>
    <w:p w14:paraId="6BE47D1F" w14:textId="2D3AADFE" w:rsidR="00EC0317" w:rsidRPr="00EC0317" w:rsidRDefault="00EC0317" w:rsidP="00B76E1A">
      <w:pPr>
        <w:spacing w:after="0" w:line="240" w:lineRule="auto"/>
        <w:rPr>
          <w:u w:val="single"/>
        </w:rPr>
      </w:pPr>
      <w:r w:rsidRPr="00EC0317">
        <w:rPr>
          <w:u w:val="single"/>
        </w:rPr>
        <w:t>FY2</w:t>
      </w:r>
      <w:r w:rsidR="00217529">
        <w:rPr>
          <w:u w:val="single"/>
        </w:rPr>
        <w:t>2</w:t>
      </w:r>
      <w:r w:rsidRPr="00EC0317">
        <w:rPr>
          <w:u w:val="single"/>
        </w:rPr>
        <w:t xml:space="preserve"> Budget Overview</w:t>
      </w:r>
    </w:p>
    <w:p w14:paraId="77290527" w14:textId="7327B87F" w:rsidR="00B76E1A" w:rsidRDefault="00B76E1A" w:rsidP="00B76E1A">
      <w:pPr>
        <w:spacing w:after="0" w:line="240" w:lineRule="auto"/>
      </w:pPr>
      <w:r>
        <w:t>In accordance with ALA’s budgeting deadlines, PLA has completed a</w:t>
      </w:r>
      <w:r w:rsidR="0063336E">
        <w:t xml:space="preserve"> </w:t>
      </w:r>
      <w:r w:rsidR="003C15AC">
        <w:t>second</w:t>
      </w:r>
      <w:r w:rsidR="001B1E75">
        <w:t xml:space="preserve"> draft</w:t>
      </w:r>
      <w:r w:rsidR="00F03950">
        <w:t xml:space="preserve"> </w:t>
      </w:r>
      <w:r w:rsidR="0063336E">
        <w:t xml:space="preserve">of </w:t>
      </w:r>
      <w:r>
        <w:t>its</w:t>
      </w:r>
      <w:r w:rsidR="0063336E">
        <w:t xml:space="preserve"> </w:t>
      </w:r>
      <w:r w:rsidR="007302EF">
        <w:t>FY20</w:t>
      </w:r>
      <w:r w:rsidR="00784F0E">
        <w:t>2</w:t>
      </w:r>
      <w:r w:rsidR="00217529">
        <w:t>2</w:t>
      </w:r>
      <w:r w:rsidR="001B1E75">
        <w:t xml:space="preserve"> </w:t>
      </w:r>
      <w:r w:rsidR="007302EF">
        <w:t>(September 1, 20</w:t>
      </w:r>
      <w:r w:rsidR="00217529">
        <w:t>21</w:t>
      </w:r>
      <w:r w:rsidR="007302EF">
        <w:t>-August 31, 20</w:t>
      </w:r>
      <w:r w:rsidR="00784F0E">
        <w:t>2</w:t>
      </w:r>
      <w:r w:rsidR="00217529">
        <w:t>2</w:t>
      </w:r>
      <w:r w:rsidR="00BA3DF0">
        <w:t>)</w:t>
      </w:r>
      <w:r w:rsidR="00C66F39">
        <w:t xml:space="preserve"> </w:t>
      </w:r>
      <w:r w:rsidR="0063336E">
        <w:t xml:space="preserve">PLA budget.  </w:t>
      </w:r>
      <w:r>
        <w:t xml:space="preserve">A summary by project is </w:t>
      </w:r>
      <w:r w:rsidR="00F47C2C">
        <w:t>attached to this report.</w:t>
      </w:r>
    </w:p>
    <w:p w14:paraId="2F131AA6" w14:textId="0AF214D8" w:rsidR="00B76E1A" w:rsidRDefault="00B76E1A" w:rsidP="00B76E1A">
      <w:pPr>
        <w:spacing w:after="0" w:line="240" w:lineRule="auto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530"/>
        <w:gridCol w:w="1590"/>
        <w:gridCol w:w="1590"/>
        <w:gridCol w:w="1590"/>
        <w:gridCol w:w="1590"/>
      </w:tblGrid>
      <w:tr w:rsidR="003C15AC" w:rsidRPr="00B76E1A" w14:paraId="3F0E13E7" w14:textId="77777777" w:rsidTr="003C15AC">
        <w:tc>
          <w:tcPr>
            <w:tcW w:w="1530" w:type="dxa"/>
          </w:tcPr>
          <w:p w14:paraId="6961BDFB" w14:textId="56B78814" w:rsidR="003C15AC" w:rsidRPr="00B76E1A" w:rsidRDefault="003C15AC" w:rsidP="00B76E1A">
            <w:pPr>
              <w:rPr>
                <w:b/>
              </w:rPr>
            </w:pPr>
            <w:r w:rsidRPr="00B76E1A">
              <w:rPr>
                <w:b/>
              </w:rPr>
              <w:t>Projects</w:t>
            </w:r>
          </w:p>
        </w:tc>
        <w:tc>
          <w:tcPr>
            <w:tcW w:w="1590" w:type="dxa"/>
          </w:tcPr>
          <w:p w14:paraId="65C23AB2" w14:textId="6107DC26" w:rsidR="003C15AC" w:rsidRPr="00B76E1A" w:rsidRDefault="003C15AC" w:rsidP="00B76E1A">
            <w:pPr>
              <w:rPr>
                <w:b/>
              </w:rPr>
            </w:pPr>
            <w:r w:rsidRPr="00B76E1A">
              <w:rPr>
                <w:b/>
              </w:rPr>
              <w:t xml:space="preserve">Revenue </w:t>
            </w:r>
          </w:p>
        </w:tc>
        <w:tc>
          <w:tcPr>
            <w:tcW w:w="1590" w:type="dxa"/>
          </w:tcPr>
          <w:p w14:paraId="6752A9CF" w14:textId="13C6000D" w:rsidR="003C15AC" w:rsidRPr="00B76E1A" w:rsidRDefault="003C15AC" w:rsidP="00B76E1A">
            <w:pPr>
              <w:rPr>
                <w:b/>
              </w:rPr>
            </w:pPr>
            <w:r w:rsidRPr="00B76E1A">
              <w:rPr>
                <w:b/>
              </w:rPr>
              <w:t>Expenses</w:t>
            </w:r>
          </w:p>
        </w:tc>
        <w:tc>
          <w:tcPr>
            <w:tcW w:w="1590" w:type="dxa"/>
          </w:tcPr>
          <w:p w14:paraId="0CE59DA0" w14:textId="27096DD3" w:rsidR="003C15AC" w:rsidRPr="00B76E1A" w:rsidRDefault="003C15AC" w:rsidP="00B76E1A">
            <w:pPr>
              <w:rPr>
                <w:b/>
              </w:rPr>
            </w:pPr>
            <w:r>
              <w:rPr>
                <w:b/>
              </w:rPr>
              <w:t>Overhead</w:t>
            </w:r>
          </w:p>
        </w:tc>
        <w:tc>
          <w:tcPr>
            <w:tcW w:w="1590" w:type="dxa"/>
          </w:tcPr>
          <w:p w14:paraId="694960A9" w14:textId="767BF7FD" w:rsidR="003C15AC" w:rsidRPr="00B76E1A" w:rsidRDefault="003C15AC" w:rsidP="00B76E1A">
            <w:pPr>
              <w:rPr>
                <w:b/>
              </w:rPr>
            </w:pPr>
            <w:r w:rsidRPr="00B76E1A">
              <w:rPr>
                <w:b/>
              </w:rPr>
              <w:t>Net</w:t>
            </w:r>
          </w:p>
        </w:tc>
      </w:tr>
      <w:tr w:rsidR="003C15AC" w14:paraId="756B8839" w14:textId="77777777" w:rsidTr="003C15AC">
        <w:tc>
          <w:tcPr>
            <w:tcW w:w="1530" w:type="dxa"/>
          </w:tcPr>
          <w:p w14:paraId="1A1E5CF6" w14:textId="7F496673" w:rsidR="003C15AC" w:rsidRDefault="003C15AC" w:rsidP="00B76E1A">
            <w:r>
              <w:t>General Fund</w:t>
            </w:r>
          </w:p>
        </w:tc>
        <w:tc>
          <w:tcPr>
            <w:tcW w:w="1590" w:type="dxa"/>
          </w:tcPr>
          <w:p w14:paraId="19E10D41" w14:textId="5CFFD8A2" w:rsidR="003C15AC" w:rsidRDefault="003C15AC" w:rsidP="003C4E66">
            <w:pPr>
              <w:jc w:val="right"/>
            </w:pPr>
            <w:r>
              <w:t>$</w:t>
            </w:r>
            <w:r w:rsidR="00217529">
              <w:t>666,000</w:t>
            </w:r>
          </w:p>
        </w:tc>
        <w:tc>
          <w:tcPr>
            <w:tcW w:w="1590" w:type="dxa"/>
          </w:tcPr>
          <w:p w14:paraId="69C63FD1" w14:textId="273252F0" w:rsidR="003C15AC" w:rsidRDefault="003C15AC" w:rsidP="003C4E66">
            <w:pPr>
              <w:jc w:val="right"/>
            </w:pPr>
            <w:r>
              <w:t>$1,</w:t>
            </w:r>
            <w:r w:rsidR="00217529">
              <w:t>047,037</w:t>
            </w:r>
          </w:p>
        </w:tc>
        <w:tc>
          <w:tcPr>
            <w:tcW w:w="1590" w:type="dxa"/>
          </w:tcPr>
          <w:p w14:paraId="2F2E1C73" w14:textId="52C39CBC" w:rsidR="003C15AC" w:rsidRDefault="003C15AC" w:rsidP="003C4E66">
            <w:pPr>
              <w:jc w:val="right"/>
            </w:pPr>
            <w:r>
              <w:t>$</w:t>
            </w:r>
            <w:r w:rsidR="00217529">
              <w:t>788,269</w:t>
            </w:r>
          </w:p>
        </w:tc>
        <w:tc>
          <w:tcPr>
            <w:tcW w:w="1590" w:type="dxa"/>
          </w:tcPr>
          <w:p w14:paraId="322591F4" w14:textId="77777777" w:rsidR="00217529" w:rsidRDefault="00217529" w:rsidP="002175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FF0000"/>
              </w:rPr>
              <w:t>($408,037)</w:t>
            </w:r>
          </w:p>
          <w:p w14:paraId="758B2085" w14:textId="7F74B8B7" w:rsidR="003C15AC" w:rsidRDefault="003C15AC" w:rsidP="003C4E66">
            <w:pPr>
              <w:jc w:val="right"/>
            </w:pPr>
          </w:p>
        </w:tc>
      </w:tr>
      <w:tr w:rsidR="003C15AC" w14:paraId="7A5DC590" w14:textId="77777777" w:rsidTr="003C15AC">
        <w:tc>
          <w:tcPr>
            <w:tcW w:w="1530" w:type="dxa"/>
          </w:tcPr>
          <w:p w14:paraId="3955E0ED" w14:textId="13219282" w:rsidR="003C15AC" w:rsidRDefault="003C15AC" w:rsidP="00B76E1A">
            <w:r>
              <w:t>Conference</w:t>
            </w:r>
          </w:p>
        </w:tc>
        <w:tc>
          <w:tcPr>
            <w:tcW w:w="1590" w:type="dxa"/>
          </w:tcPr>
          <w:p w14:paraId="2EA2C56E" w14:textId="1BFE6D81" w:rsidR="003C15AC" w:rsidRPr="00217529" w:rsidRDefault="00217529" w:rsidP="002175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$3,250,000 </w:t>
            </w:r>
          </w:p>
        </w:tc>
        <w:tc>
          <w:tcPr>
            <w:tcW w:w="1590" w:type="dxa"/>
          </w:tcPr>
          <w:p w14:paraId="357CE4ED" w14:textId="0915711A" w:rsidR="003C15AC" w:rsidRDefault="003C15AC" w:rsidP="003C4E66">
            <w:pPr>
              <w:jc w:val="right"/>
            </w:pPr>
            <w:r>
              <w:t>$1,850,476</w:t>
            </w:r>
          </w:p>
        </w:tc>
        <w:tc>
          <w:tcPr>
            <w:tcW w:w="1590" w:type="dxa"/>
          </w:tcPr>
          <w:p w14:paraId="63D6F5AD" w14:textId="7B40FDBB" w:rsidR="003C15AC" w:rsidRDefault="003C15AC" w:rsidP="003C4E66">
            <w:pPr>
              <w:jc w:val="right"/>
            </w:pPr>
            <w:r>
              <w:t>$874,730</w:t>
            </w:r>
          </w:p>
        </w:tc>
        <w:tc>
          <w:tcPr>
            <w:tcW w:w="1590" w:type="dxa"/>
          </w:tcPr>
          <w:p w14:paraId="0D3FFF35" w14:textId="77777777" w:rsidR="00217529" w:rsidRDefault="00217529" w:rsidP="002175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$1,188,676 </w:t>
            </w:r>
          </w:p>
          <w:p w14:paraId="13673B61" w14:textId="7D023CC4" w:rsidR="003C15AC" w:rsidRDefault="003C15AC" w:rsidP="003C4E66">
            <w:pPr>
              <w:jc w:val="right"/>
            </w:pPr>
          </w:p>
        </w:tc>
      </w:tr>
      <w:tr w:rsidR="003C15AC" w14:paraId="20F33664" w14:textId="77777777" w:rsidTr="00881669">
        <w:trPr>
          <w:trHeight w:val="359"/>
        </w:trPr>
        <w:tc>
          <w:tcPr>
            <w:tcW w:w="1530" w:type="dxa"/>
          </w:tcPr>
          <w:p w14:paraId="7A711088" w14:textId="05596F82" w:rsidR="003C15AC" w:rsidRDefault="003C15AC" w:rsidP="00B76E1A">
            <w:r>
              <w:t>Grants</w:t>
            </w:r>
          </w:p>
        </w:tc>
        <w:tc>
          <w:tcPr>
            <w:tcW w:w="1590" w:type="dxa"/>
          </w:tcPr>
          <w:p w14:paraId="5E942EE9" w14:textId="1C04113E" w:rsidR="003C15AC" w:rsidRPr="00217529" w:rsidRDefault="00217529" w:rsidP="002175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$1,498,396 </w:t>
            </w:r>
          </w:p>
        </w:tc>
        <w:tc>
          <w:tcPr>
            <w:tcW w:w="1590" w:type="dxa"/>
          </w:tcPr>
          <w:p w14:paraId="59222814" w14:textId="77777777" w:rsidR="003C15AC" w:rsidRDefault="00217529" w:rsidP="0088166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$1,498,396 </w:t>
            </w:r>
          </w:p>
          <w:p w14:paraId="75D88412" w14:textId="0D8597ED" w:rsidR="00881669" w:rsidRPr="00881669" w:rsidRDefault="00881669" w:rsidP="0088166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</w:tcPr>
          <w:p w14:paraId="1CC3EB8A" w14:textId="5768A8E9" w:rsidR="003C15AC" w:rsidRDefault="003C15AC" w:rsidP="003C4E66">
            <w:pPr>
              <w:jc w:val="right"/>
            </w:pPr>
            <w:r>
              <w:t>$</w:t>
            </w:r>
            <w:r w:rsidR="00217529">
              <w:t>159,044</w:t>
            </w:r>
          </w:p>
        </w:tc>
        <w:tc>
          <w:tcPr>
            <w:tcW w:w="1590" w:type="dxa"/>
          </w:tcPr>
          <w:p w14:paraId="0E4FA82B" w14:textId="489BD194" w:rsidR="003C15AC" w:rsidRDefault="003C15AC" w:rsidP="003C4E66">
            <w:pPr>
              <w:jc w:val="right"/>
            </w:pPr>
            <w:r>
              <w:t>$0</w:t>
            </w:r>
          </w:p>
        </w:tc>
      </w:tr>
      <w:tr w:rsidR="003C15AC" w:rsidRPr="003C4E66" w14:paraId="153E6325" w14:textId="77777777" w:rsidTr="003C15AC">
        <w:tc>
          <w:tcPr>
            <w:tcW w:w="1530" w:type="dxa"/>
          </w:tcPr>
          <w:p w14:paraId="50176CE4" w14:textId="1F2CF17B" w:rsidR="003C15AC" w:rsidRPr="003C4E66" w:rsidRDefault="003C15AC" w:rsidP="00B76E1A">
            <w:pPr>
              <w:jc w:val="right"/>
              <w:rPr>
                <w:b/>
              </w:rPr>
            </w:pPr>
            <w:r w:rsidRPr="003C4E66">
              <w:rPr>
                <w:b/>
              </w:rPr>
              <w:t>TOTALS</w:t>
            </w:r>
          </w:p>
        </w:tc>
        <w:tc>
          <w:tcPr>
            <w:tcW w:w="1590" w:type="dxa"/>
          </w:tcPr>
          <w:p w14:paraId="2DB95101" w14:textId="66687521" w:rsidR="003C15AC" w:rsidRPr="003C4E66" w:rsidRDefault="003C15AC" w:rsidP="003C4E66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217529">
              <w:rPr>
                <w:b/>
              </w:rPr>
              <w:t>5,414,396</w:t>
            </w:r>
          </w:p>
        </w:tc>
        <w:tc>
          <w:tcPr>
            <w:tcW w:w="1590" w:type="dxa"/>
          </w:tcPr>
          <w:p w14:paraId="3965559A" w14:textId="32096857" w:rsidR="003C15AC" w:rsidRPr="003C4E66" w:rsidRDefault="003C15AC" w:rsidP="003C4E66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217529">
              <w:rPr>
                <w:b/>
              </w:rPr>
              <w:t>4395,909</w:t>
            </w:r>
          </w:p>
        </w:tc>
        <w:tc>
          <w:tcPr>
            <w:tcW w:w="1590" w:type="dxa"/>
          </w:tcPr>
          <w:p w14:paraId="7EA2FCCD" w14:textId="2B6F9C52" w:rsidR="003C15AC" w:rsidRDefault="003C15AC" w:rsidP="003C4E66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217529">
              <w:rPr>
                <w:b/>
              </w:rPr>
              <w:t>1,822043</w:t>
            </w:r>
          </w:p>
        </w:tc>
        <w:tc>
          <w:tcPr>
            <w:tcW w:w="1590" w:type="dxa"/>
          </w:tcPr>
          <w:p w14:paraId="7F91BE4C" w14:textId="67191A97" w:rsidR="003C15AC" w:rsidRPr="003C4E66" w:rsidRDefault="003C15AC" w:rsidP="003C4E66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217529">
              <w:rPr>
                <w:b/>
              </w:rPr>
              <w:t>780,639</w:t>
            </w:r>
          </w:p>
        </w:tc>
      </w:tr>
    </w:tbl>
    <w:p w14:paraId="055CA62F" w14:textId="77777777" w:rsidR="00F47C2C" w:rsidRDefault="00F47C2C" w:rsidP="00F47C2C">
      <w:pPr>
        <w:spacing w:after="0" w:line="240" w:lineRule="auto"/>
      </w:pPr>
    </w:p>
    <w:p w14:paraId="20B52139" w14:textId="190D3E1C" w:rsidR="00683EA4" w:rsidRDefault="00683EA4" w:rsidP="00F47C2C">
      <w:pPr>
        <w:spacing w:after="0" w:line="240" w:lineRule="auto"/>
      </w:pPr>
      <w:r>
        <w:t xml:space="preserve">Revisions since the PLA board met in the spring include </w:t>
      </w:r>
      <w:r w:rsidR="00217529">
        <w:t>an increase in anticipate conference revenue and re-instatement of project budgets that has been zeroed out in the new low-mid-high budgeting process instituted by ALA finance.</w:t>
      </w:r>
    </w:p>
    <w:p w14:paraId="2124CF2C" w14:textId="77777777" w:rsidR="00391876" w:rsidRDefault="00391876" w:rsidP="00F47C2C">
      <w:pPr>
        <w:spacing w:after="0" w:line="240" w:lineRule="auto"/>
      </w:pPr>
    </w:p>
    <w:p w14:paraId="753C6558" w14:textId="17188ABB" w:rsidR="003C15AC" w:rsidRDefault="00F47C2C" w:rsidP="00F47C2C">
      <w:pPr>
        <w:spacing w:after="0" w:line="240" w:lineRule="auto"/>
      </w:pPr>
      <w:r>
        <w:t>We are projecting a net loss in our general fund projects of about $</w:t>
      </w:r>
      <w:r w:rsidR="007D5381">
        <w:t>408,000</w:t>
      </w:r>
      <w:r w:rsidR="003C15AC">
        <w:t xml:space="preserve">. This is </w:t>
      </w:r>
      <w:r w:rsidR="007D5381">
        <w:t>average</w:t>
      </w:r>
      <w:r w:rsidR="00A536CB">
        <w:t xml:space="preserve"> for PLA’s general fund. It</w:t>
      </w:r>
      <w:r w:rsidR="007D5381">
        <w:t xml:space="preserve"> can be attributed to conservative estimates for both </w:t>
      </w:r>
      <w:r w:rsidR="00881669">
        <w:t>partners</w:t>
      </w:r>
      <w:r w:rsidR="007D5381">
        <w:t xml:space="preserve">/individual giving and ad </w:t>
      </w:r>
      <w:proofErr w:type="gramStart"/>
      <w:r w:rsidR="007D5381">
        <w:t>sales</w:t>
      </w:r>
      <w:r w:rsidR="00A536CB">
        <w:t>, and</w:t>
      </w:r>
      <w:proofErr w:type="gramEnd"/>
      <w:r w:rsidR="00A536CB">
        <w:t xml:space="preserve"> sustaining projects that generally operate at a net loss, such as Public Libraries (for which ad sales and subscriptions reduce but do not eliminate the net loss) and</w:t>
      </w:r>
      <w:r w:rsidR="007D5381">
        <w:t xml:space="preserve"> Digitallearn.org </w:t>
      </w:r>
      <w:r w:rsidR="00A536CB">
        <w:t>(which is expected to sell</w:t>
      </w:r>
      <w:r w:rsidR="007D5381">
        <w:t xml:space="preserve"> at least two custom sites</w:t>
      </w:r>
      <w:r w:rsidR="00A536CB">
        <w:t>, to help underwrite a portion of its maintenance costs)</w:t>
      </w:r>
      <w:r w:rsidR="007D5381">
        <w:t>.</w:t>
      </w:r>
    </w:p>
    <w:p w14:paraId="51324F15" w14:textId="77777777" w:rsidR="003C15AC" w:rsidRDefault="003C15AC" w:rsidP="00F47C2C">
      <w:pPr>
        <w:spacing w:after="0" w:line="240" w:lineRule="auto"/>
      </w:pPr>
    </w:p>
    <w:p w14:paraId="3D59429D" w14:textId="238ED81D" w:rsidR="00F47C2C" w:rsidRDefault="00F47C2C" w:rsidP="00F47C2C">
      <w:pPr>
        <w:spacing w:after="0" w:line="240" w:lineRule="auto"/>
      </w:pPr>
      <w:r>
        <w:t>FY2</w:t>
      </w:r>
      <w:r w:rsidR="007D5381">
        <w:t>2</w:t>
      </w:r>
      <w:r>
        <w:t xml:space="preserve"> is a PLA conference year</w:t>
      </w:r>
      <w:r w:rsidR="00E31F7E">
        <w:t xml:space="preserve">, </w:t>
      </w:r>
      <w:r>
        <w:t xml:space="preserve">and the conference is our primary revenue generator. </w:t>
      </w:r>
      <w:r w:rsidR="007D5381">
        <w:t xml:space="preserve">While we look forward to being together in person, we recognize that the 22 conference will likely be a smaller in-person event, and therefore has been budgeted $750,000 less than the most recent conference. We also assume a smaller exhibit footprint as vendor budget contract. </w:t>
      </w:r>
      <w:r w:rsidR="00881669">
        <w:t>To counter this</w:t>
      </w:r>
      <w:r w:rsidR="00A536CB" w:rsidRPr="00A536CB">
        <w:t xml:space="preserve"> </w:t>
      </w:r>
      <w:r w:rsidR="00A536CB">
        <w:t>slightly</w:t>
      </w:r>
      <w:r w:rsidR="00881669">
        <w:t>, PLA will raise registration rates by $25.00.</w:t>
      </w:r>
    </w:p>
    <w:p w14:paraId="1A87091E" w14:textId="6DD0151D" w:rsidR="00F47C2C" w:rsidRDefault="00F47C2C" w:rsidP="00F47C2C">
      <w:pPr>
        <w:spacing w:after="0" w:line="240" w:lineRule="auto"/>
      </w:pPr>
    </w:p>
    <w:p w14:paraId="48C095BB" w14:textId="6B6BCFF9" w:rsidR="00E31F7E" w:rsidRDefault="007D5381" w:rsidP="00F47C2C">
      <w:pPr>
        <w:spacing w:after="0" w:line="240" w:lineRule="auto"/>
      </w:pPr>
      <w:r>
        <w:t xml:space="preserve">Grants continue to be a bright spot for PLA. We anticipate nearly $1.5 million in grant funds in 2022. Of this, a little under $950,000 </w:t>
      </w:r>
      <w:r w:rsidR="00881669">
        <w:t xml:space="preserve">will be spent </w:t>
      </w:r>
      <w:r w:rsidR="00683EA4">
        <w:t xml:space="preserve">from </w:t>
      </w:r>
      <w:r w:rsidR="00E31F7E">
        <w:t>the Gates Foundation general operating grant received in 2017</w:t>
      </w:r>
      <w:r w:rsidR="00683EA4">
        <w:t xml:space="preserve">, which </w:t>
      </w:r>
      <w:r w:rsidR="00881669">
        <w:t>underwrites some portion of</w:t>
      </w:r>
      <w:r w:rsidR="00683EA4">
        <w:t xml:space="preserve"> </w:t>
      </w:r>
      <w:r w:rsidR="00B22867" w:rsidRPr="00B22867">
        <w:t>11</w:t>
      </w:r>
      <w:r w:rsidR="00683EA4" w:rsidRPr="00B22867">
        <w:t xml:space="preserve"> FTE</w:t>
      </w:r>
      <w:r w:rsidR="00683EA4">
        <w:t xml:space="preserve"> staff positions, </w:t>
      </w:r>
      <w:r w:rsidR="00881669">
        <w:t>PLA’s growing data collection and management portfolio, and leadership development programming</w:t>
      </w:r>
      <w:r w:rsidR="00E31F7E">
        <w:t xml:space="preserve">. </w:t>
      </w:r>
      <w:r w:rsidR="00683EA4">
        <w:t>The remaining $</w:t>
      </w:r>
      <w:r w:rsidR="00881669">
        <w:t>5</w:t>
      </w:r>
      <w:r w:rsidR="00683EA4">
        <w:t xml:space="preserve">00,000 in grants is split </w:t>
      </w:r>
      <w:r w:rsidR="00881669">
        <w:t>primarily between ongoing work supporting access to health insurance sign-up, corporate funding from Microsoft to address digital divides and skills gaps, and new money from AT&amp;T related to digital citizenship</w:t>
      </w:r>
      <w:r w:rsidR="00683EA4">
        <w:t>.</w:t>
      </w:r>
    </w:p>
    <w:p w14:paraId="3F204040" w14:textId="77777777" w:rsidR="00E31F7E" w:rsidRDefault="00E31F7E" w:rsidP="00F47C2C">
      <w:pPr>
        <w:spacing w:after="0" w:line="240" w:lineRule="auto"/>
      </w:pPr>
    </w:p>
    <w:p w14:paraId="6F40D98B" w14:textId="3907BEDB" w:rsidR="00EC0317" w:rsidRDefault="00F47C2C" w:rsidP="00B76E1A">
      <w:pPr>
        <w:spacing w:after="0" w:line="240" w:lineRule="auto"/>
      </w:pPr>
      <w:r>
        <w:lastRenderedPageBreak/>
        <w:t xml:space="preserve">ALA will </w:t>
      </w:r>
      <w:proofErr w:type="gramStart"/>
      <w:r>
        <w:t>open up</w:t>
      </w:r>
      <w:proofErr w:type="gramEnd"/>
      <w:r>
        <w:t xml:space="preserve"> the </w:t>
      </w:r>
      <w:r w:rsidR="00A536CB">
        <w:t xml:space="preserve">FY22 </w:t>
      </w:r>
      <w:r>
        <w:t xml:space="preserve">budget for final revision in late summer. If revisions are required </w:t>
      </w:r>
      <w:r w:rsidR="00EC0317">
        <w:t xml:space="preserve">after June, </w:t>
      </w:r>
      <w:r>
        <w:t xml:space="preserve">they will be </w:t>
      </w:r>
      <w:proofErr w:type="gramStart"/>
      <w:r>
        <w:t>made</w:t>
      </w:r>
      <w:proofErr w:type="gramEnd"/>
      <w:r>
        <w:t xml:space="preserve"> and </w:t>
      </w:r>
      <w:r w:rsidR="00EC0317">
        <w:t>the board will vote</w:t>
      </w:r>
      <w:r>
        <w:t xml:space="preserve"> virtually</w:t>
      </w:r>
      <w:r w:rsidR="00EC0317">
        <w:t xml:space="preserve"> on a final budget</w:t>
      </w:r>
      <w:r w:rsidR="00343276">
        <w:t xml:space="preserve"> before mid-September.</w:t>
      </w:r>
    </w:p>
    <w:p w14:paraId="62BC2EEF" w14:textId="03F87F86" w:rsidR="00C66F39" w:rsidRDefault="00FB6C1A" w:rsidP="00B76E1A">
      <w:pPr>
        <w:spacing w:after="0" w:line="240" w:lineRule="auto"/>
      </w:pPr>
      <w:r>
        <w:t xml:space="preserve"> </w:t>
      </w:r>
    </w:p>
    <w:sectPr w:rsidR="00C66F39" w:rsidSect="00AB70A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FCE56" w14:textId="77777777" w:rsidR="00036484" w:rsidRDefault="00036484" w:rsidP="0011078E">
      <w:pPr>
        <w:spacing w:after="0" w:line="240" w:lineRule="auto"/>
      </w:pPr>
      <w:r>
        <w:separator/>
      </w:r>
    </w:p>
  </w:endnote>
  <w:endnote w:type="continuationSeparator" w:id="0">
    <w:p w14:paraId="6F189648" w14:textId="77777777" w:rsidR="00036484" w:rsidRDefault="00036484" w:rsidP="0011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472B" w14:textId="19392AD5" w:rsidR="0063240F" w:rsidRDefault="0063240F">
    <w:pPr>
      <w:pStyle w:val="Footer"/>
      <w:jc w:val="right"/>
    </w:pPr>
  </w:p>
  <w:p w14:paraId="7904199B" w14:textId="77777777" w:rsidR="0063240F" w:rsidRPr="00ED0FD8" w:rsidRDefault="0063240F" w:rsidP="00ED0FD8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1ADD" w14:textId="77777777" w:rsidR="00036484" w:rsidRDefault="00036484" w:rsidP="0011078E">
      <w:pPr>
        <w:spacing w:after="0" w:line="240" w:lineRule="auto"/>
      </w:pPr>
      <w:r>
        <w:separator/>
      </w:r>
    </w:p>
  </w:footnote>
  <w:footnote w:type="continuationSeparator" w:id="0">
    <w:p w14:paraId="3729A1FF" w14:textId="77777777" w:rsidR="00036484" w:rsidRDefault="00036484" w:rsidP="0011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09B9" w14:textId="77777777" w:rsidR="00604E4C" w:rsidRPr="007C2FF7" w:rsidRDefault="00604E4C" w:rsidP="00604E4C">
    <w:pPr>
      <w:pStyle w:val="Header"/>
      <w:jc w:val="right"/>
      <w:rPr>
        <w:rFonts w:cstheme="minorHAnsi"/>
      </w:rPr>
    </w:pPr>
    <w:r w:rsidRPr="007C2FF7">
      <w:rPr>
        <w:rFonts w:cstheme="minorHAnsi"/>
      </w:rPr>
      <w:t>PLA Board of Directors</w:t>
    </w:r>
  </w:p>
  <w:p w14:paraId="2C6E0993" w14:textId="77777777" w:rsidR="00604E4C" w:rsidRPr="007C2FF7" w:rsidRDefault="00604E4C" w:rsidP="00604E4C">
    <w:pPr>
      <w:pStyle w:val="Header"/>
      <w:jc w:val="right"/>
      <w:rPr>
        <w:rFonts w:cstheme="minorHAnsi"/>
      </w:rPr>
    </w:pPr>
    <w:r>
      <w:rPr>
        <w:rFonts w:cstheme="minorHAnsi"/>
      </w:rPr>
      <w:t xml:space="preserve">June 18, </w:t>
    </w:r>
    <w:proofErr w:type="gramStart"/>
    <w:r w:rsidRPr="007C2FF7">
      <w:rPr>
        <w:rFonts w:cstheme="minorHAnsi"/>
      </w:rPr>
      <w:t>202</w:t>
    </w:r>
    <w:r>
      <w:rPr>
        <w:rFonts w:cstheme="minorHAnsi"/>
      </w:rPr>
      <w:t>1</w:t>
    </w:r>
    <w:proofErr w:type="gramEnd"/>
    <w:r w:rsidRPr="007C2FF7">
      <w:rPr>
        <w:rFonts w:cstheme="minorHAnsi"/>
      </w:rPr>
      <w:t xml:space="preserve"> Virtual Meeting</w:t>
    </w:r>
  </w:p>
  <w:p w14:paraId="1472208D" w14:textId="7DEB6923" w:rsidR="00604E4C" w:rsidRPr="007C2FF7" w:rsidRDefault="00604E4C" w:rsidP="00604E4C">
    <w:pPr>
      <w:pStyle w:val="Header"/>
      <w:jc w:val="right"/>
      <w:rPr>
        <w:rFonts w:cstheme="minorHAnsi"/>
      </w:rPr>
    </w:pPr>
    <w:r w:rsidRPr="007C2FF7">
      <w:rPr>
        <w:rFonts w:cstheme="minorHAnsi"/>
      </w:rPr>
      <w:t>Document no.: 2021.</w:t>
    </w:r>
    <w:r>
      <w:rPr>
        <w:rFonts w:cstheme="minorHAnsi"/>
      </w:rPr>
      <w:t>7</w:t>
    </w:r>
    <w:r>
      <w:rPr>
        <w:rFonts w:cstheme="minorHAnsi"/>
      </w:rPr>
      <w:t>9</w:t>
    </w:r>
  </w:p>
  <w:p w14:paraId="54C47F77" w14:textId="77777777" w:rsidR="0063240F" w:rsidRPr="00913926" w:rsidRDefault="0063240F" w:rsidP="00913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6F6"/>
    <w:multiLevelType w:val="hybridMultilevel"/>
    <w:tmpl w:val="09BA8272"/>
    <w:lvl w:ilvl="0" w:tplc="868E8C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83B5B"/>
    <w:multiLevelType w:val="hybridMultilevel"/>
    <w:tmpl w:val="7E7C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52628"/>
    <w:multiLevelType w:val="hybridMultilevel"/>
    <w:tmpl w:val="3B3247D0"/>
    <w:lvl w:ilvl="0" w:tplc="868E8C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44A9D"/>
    <w:multiLevelType w:val="hybridMultilevel"/>
    <w:tmpl w:val="A9BAB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03"/>
    <w:rsid w:val="000040B5"/>
    <w:rsid w:val="00017506"/>
    <w:rsid w:val="00036484"/>
    <w:rsid w:val="00037846"/>
    <w:rsid w:val="00046FBF"/>
    <w:rsid w:val="00053B7D"/>
    <w:rsid w:val="00091201"/>
    <w:rsid w:val="0009748B"/>
    <w:rsid w:val="000B1A22"/>
    <w:rsid w:val="000B6646"/>
    <w:rsid w:val="000D5771"/>
    <w:rsid w:val="000F6976"/>
    <w:rsid w:val="000F76AA"/>
    <w:rsid w:val="0011078E"/>
    <w:rsid w:val="001B1E75"/>
    <w:rsid w:val="001F2FF7"/>
    <w:rsid w:val="002061EA"/>
    <w:rsid w:val="00213294"/>
    <w:rsid w:val="002136A3"/>
    <w:rsid w:val="00217529"/>
    <w:rsid w:val="002222AD"/>
    <w:rsid w:val="00257BD4"/>
    <w:rsid w:val="002618EC"/>
    <w:rsid w:val="00267575"/>
    <w:rsid w:val="002A7C4B"/>
    <w:rsid w:val="002B3D91"/>
    <w:rsid w:val="002D4C74"/>
    <w:rsid w:val="002D7F40"/>
    <w:rsid w:val="00314E14"/>
    <w:rsid w:val="00332A22"/>
    <w:rsid w:val="00343276"/>
    <w:rsid w:val="00353253"/>
    <w:rsid w:val="00391876"/>
    <w:rsid w:val="0039721A"/>
    <w:rsid w:val="003A20B2"/>
    <w:rsid w:val="003A3B14"/>
    <w:rsid w:val="003A76DA"/>
    <w:rsid w:val="003B54EC"/>
    <w:rsid w:val="003C15AC"/>
    <w:rsid w:val="003C4E66"/>
    <w:rsid w:val="003F2164"/>
    <w:rsid w:val="004079F4"/>
    <w:rsid w:val="00442869"/>
    <w:rsid w:val="004446B2"/>
    <w:rsid w:val="004502C5"/>
    <w:rsid w:val="00472735"/>
    <w:rsid w:val="00474F4C"/>
    <w:rsid w:val="004814E2"/>
    <w:rsid w:val="004B1B12"/>
    <w:rsid w:val="004D0F04"/>
    <w:rsid w:val="004E478A"/>
    <w:rsid w:val="005732FB"/>
    <w:rsid w:val="00576F8F"/>
    <w:rsid w:val="005933A4"/>
    <w:rsid w:val="005960C4"/>
    <w:rsid w:val="005973F8"/>
    <w:rsid w:val="005A353E"/>
    <w:rsid w:val="005D40B0"/>
    <w:rsid w:val="0060461C"/>
    <w:rsid w:val="00604E4C"/>
    <w:rsid w:val="00620053"/>
    <w:rsid w:val="0062042E"/>
    <w:rsid w:val="0063240F"/>
    <w:rsid w:val="0063336E"/>
    <w:rsid w:val="00647A8C"/>
    <w:rsid w:val="00661C7B"/>
    <w:rsid w:val="00683EA4"/>
    <w:rsid w:val="0069282A"/>
    <w:rsid w:val="00695049"/>
    <w:rsid w:val="006A2B85"/>
    <w:rsid w:val="006E4032"/>
    <w:rsid w:val="006E4491"/>
    <w:rsid w:val="006F4F54"/>
    <w:rsid w:val="007212A8"/>
    <w:rsid w:val="00724068"/>
    <w:rsid w:val="007302EF"/>
    <w:rsid w:val="0074629E"/>
    <w:rsid w:val="00752158"/>
    <w:rsid w:val="00783180"/>
    <w:rsid w:val="007841FA"/>
    <w:rsid w:val="00784F0E"/>
    <w:rsid w:val="00787D0F"/>
    <w:rsid w:val="007A1B3E"/>
    <w:rsid w:val="007A65D7"/>
    <w:rsid w:val="007C3709"/>
    <w:rsid w:val="007C7830"/>
    <w:rsid w:val="007D5381"/>
    <w:rsid w:val="00801200"/>
    <w:rsid w:val="00836D59"/>
    <w:rsid w:val="00862CE7"/>
    <w:rsid w:val="0087391D"/>
    <w:rsid w:val="00881669"/>
    <w:rsid w:val="00886CCA"/>
    <w:rsid w:val="008941DA"/>
    <w:rsid w:val="008A5D06"/>
    <w:rsid w:val="008B1C62"/>
    <w:rsid w:val="008C7D16"/>
    <w:rsid w:val="008D432E"/>
    <w:rsid w:val="008F6A16"/>
    <w:rsid w:val="00906AF5"/>
    <w:rsid w:val="00913926"/>
    <w:rsid w:val="00937625"/>
    <w:rsid w:val="0094311F"/>
    <w:rsid w:val="00952F29"/>
    <w:rsid w:val="009572C3"/>
    <w:rsid w:val="00967CAB"/>
    <w:rsid w:val="009A4A7D"/>
    <w:rsid w:val="009B5C6D"/>
    <w:rsid w:val="009B5D65"/>
    <w:rsid w:val="009B5E5A"/>
    <w:rsid w:val="009E7CFE"/>
    <w:rsid w:val="009F1C50"/>
    <w:rsid w:val="00A038BA"/>
    <w:rsid w:val="00A12578"/>
    <w:rsid w:val="00A149CF"/>
    <w:rsid w:val="00A4086D"/>
    <w:rsid w:val="00A536CB"/>
    <w:rsid w:val="00A609EF"/>
    <w:rsid w:val="00A830FA"/>
    <w:rsid w:val="00A95E32"/>
    <w:rsid w:val="00A96DA5"/>
    <w:rsid w:val="00AB70A9"/>
    <w:rsid w:val="00AB772A"/>
    <w:rsid w:val="00AC2EE9"/>
    <w:rsid w:val="00AC78FC"/>
    <w:rsid w:val="00AF192C"/>
    <w:rsid w:val="00AF42AA"/>
    <w:rsid w:val="00B12D85"/>
    <w:rsid w:val="00B22867"/>
    <w:rsid w:val="00B44801"/>
    <w:rsid w:val="00B76E1A"/>
    <w:rsid w:val="00B82B6B"/>
    <w:rsid w:val="00B9718C"/>
    <w:rsid w:val="00BA3604"/>
    <w:rsid w:val="00BA3DF0"/>
    <w:rsid w:val="00BC4001"/>
    <w:rsid w:val="00BD3CCB"/>
    <w:rsid w:val="00BE08BA"/>
    <w:rsid w:val="00BE5CE8"/>
    <w:rsid w:val="00BE6688"/>
    <w:rsid w:val="00BE7ED0"/>
    <w:rsid w:val="00C01B63"/>
    <w:rsid w:val="00C067B4"/>
    <w:rsid w:val="00C15AD0"/>
    <w:rsid w:val="00C20000"/>
    <w:rsid w:val="00C22270"/>
    <w:rsid w:val="00C367D6"/>
    <w:rsid w:val="00C5274C"/>
    <w:rsid w:val="00C54333"/>
    <w:rsid w:val="00C6602A"/>
    <w:rsid w:val="00C66F39"/>
    <w:rsid w:val="00C94803"/>
    <w:rsid w:val="00CA4B32"/>
    <w:rsid w:val="00CB595B"/>
    <w:rsid w:val="00CC4B8D"/>
    <w:rsid w:val="00CF3D95"/>
    <w:rsid w:val="00D04C30"/>
    <w:rsid w:val="00D26591"/>
    <w:rsid w:val="00D44576"/>
    <w:rsid w:val="00E31F7E"/>
    <w:rsid w:val="00E46097"/>
    <w:rsid w:val="00E47D3A"/>
    <w:rsid w:val="00E52633"/>
    <w:rsid w:val="00E56603"/>
    <w:rsid w:val="00E6386F"/>
    <w:rsid w:val="00E67F39"/>
    <w:rsid w:val="00E90905"/>
    <w:rsid w:val="00E96AAF"/>
    <w:rsid w:val="00EA4CBE"/>
    <w:rsid w:val="00EC0317"/>
    <w:rsid w:val="00EC44D5"/>
    <w:rsid w:val="00ED0FD8"/>
    <w:rsid w:val="00ED4042"/>
    <w:rsid w:val="00F03950"/>
    <w:rsid w:val="00F1006B"/>
    <w:rsid w:val="00F13371"/>
    <w:rsid w:val="00F42CA0"/>
    <w:rsid w:val="00F45B6C"/>
    <w:rsid w:val="00F47C2C"/>
    <w:rsid w:val="00F64255"/>
    <w:rsid w:val="00F81813"/>
    <w:rsid w:val="00FB6C1A"/>
    <w:rsid w:val="00FD2913"/>
    <w:rsid w:val="00FE0517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083DA"/>
  <w15:docId w15:val="{87BFD098-0724-4693-838D-8BE9DD9A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0F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78E"/>
  </w:style>
  <w:style w:type="paragraph" w:styleId="Footer">
    <w:name w:val="footer"/>
    <w:basedOn w:val="Normal"/>
    <w:link w:val="FooterChar"/>
    <w:uiPriority w:val="99"/>
    <w:unhideWhenUsed/>
    <w:rsid w:val="0011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78E"/>
  </w:style>
  <w:style w:type="character" w:customStyle="1" w:styleId="Heading2Char">
    <w:name w:val="Heading 2 Char"/>
    <w:basedOn w:val="DefaultParagraphFont"/>
    <w:link w:val="Heading2"/>
    <w:uiPriority w:val="9"/>
    <w:rsid w:val="00A830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7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3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bmacikas</dc:creator>
  <cp:lastModifiedBy>Megan Stewart</cp:lastModifiedBy>
  <cp:revision>3</cp:revision>
  <cp:lastPrinted>2019-05-22T22:19:00Z</cp:lastPrinted>
  <dcterms:created xsi:type="dcterms:W3CDTF">2021-05-25T19:54:00Z</dcterms:created>
  <dcterms:modified xsi:type="dcterms:W3CDTF">2021-06-10T16:50:00Z</dcterms:modified>
</cp:coreProperties>
</file>