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06186217"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0116FE">
        <w:rPr>
          <w:rFonts w:asciiTheme="minorHAnsi" w:hAnsiTheme="minorHAnsi"/>
        </w:rPr>
        <w:t>Advocacy and Awareness</w:t>
      </w:r>
      <w:r>
        <w:rPr>
          <w:rFonts w:asciiTheme="minorHAnsi" w:hAnsiTheme="minorHAnsi"/>
        </w:rPr>
        <w:t xml:space="preserve"> Report </w:t>
      </w:r>
      <w:bookmarkStart w:id="0" w:name="_GoBack"/>
      <w:bookmarkEnd w:id="0"/>
    </w:p>
    <w:p w14:paraId="7D7F2693" w14:textId="66B6316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E87670">
        <w:rPr>
          <w:rFonts w:asciiTheme="minorHAnsi" w:hAnsiTheme="minorHAnsi"/>
        </w:rPr>
        <w:t>April 13, 2020</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3B357501" w:rsidR="00DD1B11" w:rsidRDefault="00DD1B11" w:rsidP="000116FE">
      <w:pPr>
        <w:ind w:left="2160" w:hanging="2160"/>
        <w:rPr>
          <w:rFonts w:asciiTheme="minorHAnsi" w:hAnsiTheme="minorHAnsi"/>
          <w:i/>
        </w:rPr>
      </w:pPr>
      <w:r>
        <w:rPr>
          <w:rFonts w:asciiTheme="minorHAnsi" w:hAnsiTheme="minorHAnsi"/>
          <w:b/>
        </w:rPr>
        <w:t>ACTION REQUESTED/INFORMATION/REPORT:</w:t>
      </w:r>
      <w:r w:rsidR="000116FE">
        <w:rPr>
          <w:rFonts w:asciiTheme="minorHAnsi" w:hAnsiTheme="minorHAnsi"/>
          <w:b/>
        </w:rPr>
        <w:t xml:space="preserve"> </w:t>
      </w:r>
      <w:r>
        <w:rPr>
          <w:rFonts w:asciiTheme="minorHAnsi" w:hAnsiTheme="minorHAnsi"/>
        </w:rPr>
        <w:t>Information</w:t>
      </w:r>
    </w:p>
    <w:p w14:paraId="2CCF2489" w14:textId="4B9E54D1" w:rsidR="00DD1B11" w:rsidRDefault="00DD1B11" w:rsidP="000116FE">
      <w:pPr>
        <w:ind w:left="2880" w:hanging="2880"/>
        <w:rPr>
          <w:rFonts w:asciiTheme="minorHAnsi" w:hAnsiTheme="minorHAnsi"/>
        </w:rPr>
      </w:pPr>
      <w:r>
        <w:rPr>
          <w:rFonts w:ascii="Calibri" w:hAnsi="Calibri"/>
          <w:b/>
        </w:rPr>
        <w:t>ACTION REQUESTED BY</w:t>
      </w:r>
      <w:r>
        <w:rPr>
          <w:rFonts w:asciiTheme="minorHAnsi" w:hAnsiTheme="minorHAnsi"/>
          <w:b/>
        </w:rPr>
        <w:t>:</w:t>
      </w:r>
      <w:r w:rsidR="000116FE">
        <w:rPr>
          <w:rFonts w:asciiTheme="minorHAnsi" w:hAnsiTheme="minorHAnsi"/>
          <w:b/>
        </w:rPr>
        <w:t xml:space="preserve"> </w:t>
      </w:r>
      <w:r>
        <w:rPr>
          <w:rFonts w:asciiTheme="minorHAnsi" w:hAnsiTheme="minorHAnsi"/>
        </w:rPr>
        <w:t>N/A</w:t>
      </w:r>
    </w:p>
    <w:p w14:paraId="6299D693" w14:textId="75E93B05" w:rsidR="00DD1B11" w:rsidRDefault="00DD1B11" w:rsidP="000116FE">
      <w:pPr>
        <w:rPr>
          <w:rFonts w:asciiTheme="minorHAnsi" w:hAnsiTheme="minorHAnsi"/>
        </w:rPr>
      </w:pPr>
      <w:r>
        <w:rPr>
          <w:rFonts w:asciiTheme="minorHAnsi" w:hAnsiTheme="minorHAnsi"/>
          <w:b/>
        </w:rPr>
        <w:t>DRAFT OF MOTION:</w:t>
      </w:r>
      <w:r w:rsidR="000116FE">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5F0B0C46" w14:textId="1F695F54" w:rsidR="000116FE" w:rsidRPr="000116FE" w:rsidRDefault="008C61E9" w:rsidP="000116FE">
      <w:pPr>
        <w:rPr>
          <w:rFonts w:asciiTheme="minorHAnsi" w:hAnsiTheme="minorHAnsi"/>
          <w:b/>
          <w:bCs/>
          <w:color w:val="7030A0"/>
        </w:rPr>
      </w:pPr>
      <w:r>
        <w:rPr>
          <w:rFonts w:asciiTheme="minorHAnsi" w:hAnsiTheme="minorHAnsi"/>
          <w:b/>
          <w:bCs/>
          <w:color w:val="7030A0"/>
        </w:rPr>
        <w:t xml:space="preserve">PLA Strategic Plan </w:t>
      </w:r>
      <w:r w:rsidR="000116FE" w:rsidRPr="000116FE">
        <w:rPr>
          <w:rFonts w:asciiTheme="minorHAnsi" w:hAnsiTheme="minorHAnsi"/>
          <w:b/>
          <w:bCs/>
          <w:color w:val="7030A0"/>
        </w:rPr>
        <w:t>Goal: Advocacy and Awareness</w:t>
      </w:r>
    </w:p>
    <w:p w14:paraId="6C64E82D" w14:textId="0986F216" w:rsidR="000116FE" w:rsidRPr="00D44753" w:rsidRDefault="000116FE" w:rsidP="000116FE">
      <w:pPr>
        <w:pStyle w:val="ListParagraph"/>
        <w:numPr>
          <w:ilvl w:val="0"/>
          <w:numId w:val="25"/>
        </w:numPr>
        <w:rPr>
          <w:rFonts w:asciiTheme="minorHAnsi" w:hAnsiTheme="minorHAnsi"/>
          <w:b/>
          <w:bCs/>
          <w:color w:val="7030A0"/>
        </w:rPr>
      </w:pPr>
      <w:r w:rsidRPr="000116FE">
        <w:rPr>
          <w:rFonts w:asciiTheme="minorHAnsi" w:hAnsiTheme="minorHAnsi"/>
          <w:b/>
          <w:bCs/>
          <w:color w:val="7030A0"/>
        </w:rPr>
        <w:t>PLA leads in public library advocacy and influencing perceptions of public libraries.</w:t>
      </w:r>
    </w:p>
    <w:p w14:paraId="004714CA" w14:textId="77777777" w:rsidR="00427B50" w:rsidRDefault="00427B50" w:rsidP="00307E02">
      <w:pPr>
        <w:rPr>
          <w:rFonts w:asciiTheme="minorHAnsi" w:hAnsiTheme="minorHAnsi"/>
          <w:b/>
        </w:rPr>
      </w:pPr>
    </w:p>
    <w:p w14:paraId="76171D1D" w14:textId="61E530DD" w:rsidR="002C6935" w:rsidRPr="00427B50" w:rsidRDefault="002C6935" w:rsidP="002C6935">
      <w:pPr>
        <w:rPr>
          <w:rFonts w:asciiTheme="minorHAnsi" w:hAnsiTheme="minorHAnsi"/>
          <w:b/>
        </w:rPr>
      </w:pPr>
      <w:bookmarkStart w:id="1" w:name="_Hlk36370408"/>
      <w:r>
        <w:rPr>
          <w:rFonts w:asciiTheme="minorHAnsi" w:hAnsiTheme="minorHAnsi"/>
          <w:b/>
        </w:rPr>
        <w:t>MEAC AND PLDS</w:t>
      </w:r>
    </w:p>
    <w:p w14:paraId="6FC4E2DC" w14:textId="77777777" w:rsidR="002C6935" w:rsidRPr="0059741A" w:rsidRDefault="002C6935" w:rsidP="002C6935">
      <w:pPr>
        <w:rPr>
          <w:rFonts w:asciiTheme="minorHAnsi" w:hAnsiTheme="minorHAnsi"/>
          <w:bCs/>
          <w:i/>
          <w:iCs/>
        </w:rPr>
      </w:pPr>
      <w:r w:rsidRPr="0059741A">
        <w:rPr>
          <w:rFonts w:asciiTheme="minorHAnsi" w:hAnsiTheme="minorHAnsi"/>
          <w:bCs/>
          <w:i/>
          <w:iCs/>
        </w:rPr>
        <w:t>Submitted by Emily Plagman, Manager, Impact and Advocacy</w:t>
      </w:r>
    </w:p>
    <w:bookmarkEnd w:id="1"/>
    <w:p w14:paraId="2D4ABA3B" w14:textId="4DF662DD" w:rsidR="002C6935" w:rsidRDefault="002C6935" w:rsidP="00307E02">
      <w:pPr>
        <w:rPr>
          <w:rFonts w:asciiTheme="minorHAnsi" w:hAnsiTheme="minorHAnsi"/>
          <w:b/>
        </w:rPr>
      </w:pPr>
    </w:p>
    <w:p w14:paraId="1E85B96F" w14:textId="322659E6" w:rsidR="00FF4126" w:rsidRPr="00FF4126" w:rsidRDefault="00FF4126" w:rsidP="00FF4126">
      <w:pPr>
        <w:rPr>
          <w:rFonts w:asciiTheme="minorHAnsi" w:hAnsiTheme="minorHAnsi"/>
          <w:bCs/>
        </w:rPr>
      </w:pPr>
      <w:r w:rsidRPr="00FF4126">
        <w:rPr>
          <w:rFonts w:asciiTheme="minorHAnsi" w:hAnsiTheme="minorHAnsi"/>
          <w:bCs/>
        </w:rPr>
        <w:t>At the end of February, the Public Library Association’s Measurement, Evaluation and Assessment Committee (MEAC) met to discuss the future of its Public Library Data Service (PLDS) survey. Over the past year, the MEAC had decided to cancel FY19 survey collection efforts to focus its work instead on gathering input from library staff in town hall meetings and email discussions, as well as soliciting current PLDS subscribers. Library staff reported that they wanted less redundancy in data collection, better peer comparison data about library operations, improved data training related to community indicators, and a user-friendly interface for analysis and reporting</w:t>
      </w:r>
      <w:r w:rsidRPr="00FF4126">
        <w:rPr>
          <w:rFonts w:asciiTheme="minorHAnsi" w:hAnsiTheme="minorHAnsi"/>
          <w:bCs/>
          <w:i/>
          <w:iCs/>
        </w:rPr>
        <w:t>.</w:t>
      </w:r>
      <w:r w:rsidRPr="00FF4126">
        <w:rPr>
          <w:rFonts w:asciiTheme="minorHAnsi" w:hAnsiTheme="minorHAnsi"/>
          <w:bCs/>
        </w:rPr>
        <w:t xml:space="preserve"> They have hosted 3 “town halls” where public library staff were asked about their data needs and the tools they use. The committee also collected email feedback from PLDS subscribers about their use of the tool and data. The summarized results are:</w:t>
      </w:r>
    </w:p>
    <w:p w14:paraId="0B27A6AD" w14:textId="77777777" w:rsidR="00FF4126" w:rsidRPr="00FF4126" w:rsidRDefault="00FF4126" w:rsidP="00FF4126">
      <w:pPr>
        <w:rPr>
          <w:rFonts w:asciiTheme="minorHAnsi" w:hAnsiTheme="minorHAnsi"/>
          <w:bCs/>
        </w:rPr>
      </w:pPr>
    </w:p>
    <w:p w14:paraId="0B31FC0A" w14:textId="77777777" w:rsidR="00FF4126" w:rsidRPr="00FF4126" w:rsidRDefault="00FF4126" w:rsidP="00FF4126">
      <w:pPr>
        <w:numPr>
          <w:ilvl w:val="0"/>
          <w:numId w:val="27"/>
        </w:numPr>
        <w:rPr>
          <w:rFonts w:asciiTheme="minorHAnsi" w:hAnsiTheme="minorHAnsi"/>
          <w:bCs/>
        </w:rPr>
      </w:pPr>
      <w:r w:rsidRPr="00FF4126">
        <w:rPr>
          <w:rFonts w:asciiTheme="minorHAnsi" w:hAnsiTheme="minorHAnsi"/>
          <w:bCs/>
        </w:rPr>
        <w:t xml:space="preserve">PLDS Town Hall Discussion (just under 200 attendees): </w:t>
      </w:r>
    </w:p>
    <w:p w14:paraId="179EC029" w14:textId="77777777" w:rsidR="00FF4126" w:rsidRPr="00FF4126" w:rsidRDefault="00FF4126" w:rsidP="00FF4126">
      <w:pPr>
        <w:numPr>
          <w:ilvl w:val="1"/>
          <w:numId w:val="27"/>
        </w:numPr>
        <w:rPr>
          <w:rFonts w:asciiTheme="minorHAnsi" w:hAnsiTheme="minorHAnsi"/>
          <w:bCs/>
        </w:rPr>
      </w:pPr>
      <w:r w:rsidRPr="00FF4126">
        <w:rPr>
          <w:rFonts w:asciiTheme="minorHAnsi" w:hAnsiTheme="minorHAnsi"/>
          <w:bCs/>
        </w:rPr>
        <w:t>Libraries need data about operations: these data were most consistently identified as salary and staffing data and how to allocate those resources most effectively. These types of data were typically cited along with needing benchmarking or peer comparison data.</w:t>
      </w:r>
    </w:p>
    <w:p w14:paraId="403EA509" w14:textId="77777777" w:rsidR="00FF4126" w:rsidRPr="00FF4126" w:rsidRDefault="00FF4126" w:rsidP="00FF4126">
      <w:pPr>
        <w:numPr>
          <w:ilvl w:val="1"/>
          <w:numId w:val="27"/>
        </w:numPr>
        <w:rPr>
          <w:rFonts w:asciiTheme="minorHAnsi" w:hAnsiTheme="minorHAnsi"/>
          <w:bCs/>
        </w:rPr>
      </w:pPr>
      <w:r w:rsidRPr="00FF4126">
        <w:rPr>
          <w:rFonts w:asciiTheme="minorHAnsi" w:hAnsiTheme="minorHAnsi"/>
          <w:bCs/>
        </w:rPr>
        <w:t>Libraries need data about library value to the community: Attendees were less specific about the types of data they needed</w:t>
      </w:r>
      <w:sdt>
        <w:sdtPr>
          <w:rPr>
            <w:rFonts w:asciiTheme="minorHAnsi" w:hAnsiTheme="minorHAnsi"/>
            <w:bCs/>
          </w:rPr>
          <w:tag w:val="goog_rdk_5"/>
          <w:id w:val="1035086363"/>
        </w:sdtPr>
        <w:sdtEndPr/>
        <w:sdtContent>
          <w:r w:rsidRPr="00FF4126">
            <w:rPr>
              <w:rFonts w:asciiTheme="minorHAnsi" w:hAnsiTheme="minorHAnsi"/>
              <w:bCs/>
            </w:rPr>
            <w:t xml:space="preserve"> for this topic</w:t>
          </w:r>
        </w:sdtContent>
      </w:sdt>
      <w:r w:rsidRPr="00FF4126">
        <w:rPr>
          <w:rFonts w:asciiTheme="minorHAnsi" w:hAnsiTheme="minorHAnsi"/>
          <w:bCs/>
        </w:rPr>
        <w:t xml:space="preserve"> unless the comment was tied to a specific program and its relation to the community.  The comments were not as closely tied to needing benchmarking data.</w:t>
      </w:r>
    </w:p>
    <w:p w14:paraId="3E4E1054" w14:textId="77777777" w:rsidR="00FF4126" w:rsidRPr="00FF4126" w:rsidRDefault="00FF4126" w:rsidP="00FF4126">
      <w:pPr>
        <w:numPr>
          <w:ilvl w:val="1"/>
          <w:numId w:val="27"/>
        </w:numPr>
        <w:rPr>
          <w:rFonts w:asciiTheme="minorHAnsi" w:hAnsiTheme="minorHAnsi"/>
          <w:bCs/>
        </w:rPr>
      </w:pPr>
      <w:r w:rsidRPr="00FF4126">
        <w:rPr>
          <w:rFonts w:asciiTheme="minorHAnsi" w:hAnsiTheme="minorHAnsi"/>
          <w:bCs/>
        </w:rPr>
        <w:t>Additionally, libraries want more support using data. Support should be tied to better national library data standards or related to collecting, reporting, and using data for decisions.</w:t>
      </w:r>
    </w:p>
    <w:p w14:paraId="53D539FC" w14:textId="77777777" w:rsidR="00FF4126" w:rsidRPr="00FF4126" w:rsidRDefault="00FF4126" w:rsidP="00FF4126">
      <w:pPr>
        <w:numPr>
          <w:ilvl w:val="0"/>
          <w:numId w:val="27"/>
        </w:numPr>
        <w:rPr>
          <w:rFonts w:asciiTheme="minorHAnsi" w:hAnsiTheme="minorHAnsi"/>
          <w:bCs/>
        </w:rPr>
      </w:pPr>
      <w:r w:rsidRPr="00FF4126">
        <w:rPr>
          <w:rFonts w:asciiTheme="minorHAnsi" w:hAnsiTheme="minorHAnsi"/>
          <w:bCs/>
        </w:rPr>
        <w:t>PLDS subscriber email (114 total invitees; 15 respondents):</w:t>
      </w:r>
    </w:p>
    <w:p w14:paraId="361E5FB9" w14:textId="77777777" w:rsidR="00FF4126" w:rsidRPr="00FF4126" w:rsidRDefault="00FF4126" w:rsidP="00FF4126">
      <w:pPr>
        <w:numPr>
          <w:ilvl w:val="1"/>
          <w:numId w:val="27"/>
        </w:numPr>
        <w:rPr>
          <w:rFonts w:asciiTheme="minorHAnsi" w:hAnsiTheme="minorHAnsi"/>
          <w:bCs/>
        </w:rPr>
      </w:pPr>
      <w:r w:rsidRPr="00FF4126">
        <w:rPr>
          <w:rFonts w:asciiTheme="minorHAnsi" w:hAnsiTheme="minorHAnsi"/>
          <w:bCs/>
        </w:rPr>
        <w:t>Run reports once or several times/year but users also reported that the interface is difficult to use.</w:t>
      </w:r>
    </w:p>
    <w:p w14:paraId="464B1A9E" w14:textId="72D00A41" w:rsidR="00FF4126" w:rsidRPr="00FF4126" w:rsidRDefault="00FF4126" w:rsidP="00FF4126">
      <w:pPr>
        <w:numPr>
          <w:ilvl w:val="1"/>
          <w:numId w:val="27"/>
        </w:numPr>
        <w:rPr>
          <w:rFonts w:asciiTheme="minorHAnsi" w:hAnsiTheme="minorHAnsi"/>
          <w:bCs/>
        </w:rPr>
      </w:pPr>
      <w:r w:rsidRPr="00FF4126">
        <w:rPr>
          <w:rFonts w:asciiTheme="minorHAnsi" w:hAnsiTheme="minorHAnsi"/>
          <w:bCs/>
        </w:rPr>
        <w:t xml:space="preserve">Rely on a few key </w:t>
      </w:r>
      <w:sdt>
        <w:sdtPr>
          <w:rPr>
            <w:rFonts w:asciiTheme="minorHAnsi" w:hAnsiTheme="minorHAnsi"/>
            <w:bCs/>
          </w:rPr>
          <w:tag w:val="goog_rdk_8"/>
          <w:id w:val="-802919101"/>
        </w:sdtPr>
        <w:sdtEndPr/>
        <w:sdtContent>
          <w:r w:rsidRPr="00FF4126">
            <w:rPr>
              <w:rFonts w:asciiTheme="minorHAnsi" w:hAnsiTheme="minorHAnsi"/>
              <w:bCs/>
            </w:rPr>
            <w:t>PLDS</w:t>
          </w:r>
        </w:sdtContent>
      </w:sdt>
      <w:sdt>
        <w:sdtPr>
          <w:rPr>
            <w:rFonts w:asciiTheme="minorHAnsi" w:hAnsiTheme="minorHAnsi"/>
            <w:bCs/>
          </w:rPr>
          <w:tag w:val="goog_rdk_9"/>
          <w:id w:val="218019151"/>
        </w:sdtPr>
        <w:sdtEndPr/>
        <w:sdtContent>
          <w:r w:rsidRPr="00FF4126">
            <w:rPr>
              <w:rFonts w:asciiTheme="minorHAnsi" w:hAnsiTheme="minorHAnsi"/>
              <w:bCs/>
            </w:rPr>
            <w:t xml:space="preserve"> </w:t>
          </w:r>
        </w:sdtContent>
      </w:sdt>
      <w:r w:rsidRPr="00FF4126">
        <w:rPr>
          <w:rFonts w:asciiTheme="minorHAnsi" w:hAnsiTheme="minorHAnsi"/>
          <w:bCs/>
        </w:rPr>
        <w:t>reports for budgeting purposes</w:t>
      </w:r>
      <w:sdt>
        <w:sdtPr>
          <w:rPr>
            <w:rFonts w:asciiTheme="minorHAnsi" w:hAnsiTheme="minorHAnsi"/>
            <w:bCs/>
          </w:rPr>
          <w:tag w:val="goog_rdk_10"/>
          <w:id w:val="-254214632"/>
        </w:sdtPr>
        <w:sdtEndPr/>
        <w:sdtContent>
          <w:r w:rsidRPr="00FF4126">
            <w:rPr>
              <w:rFonts w:asciiTheme="minorHAnsi" w:hAnsiTheme="minorHAnsi"/>
              <w:bCs/>
            </w:rPr>
            <w:t>,</w:t>
          </w:r>
        </w:sdtContent>
      </w:sdt>
      <w:r w:rsidRPr="00FF4126">
        <w:rPr>
          <w:rFonts w:asciiTheme="minorHAnsi" w:hAnsiTheme="minorHAnsi"/>
          <w:bCs/>
        </w:rPr>
        <w:t xml:space="preserve"> primarily </w:t>
      </w:r>
      <w:sdt>
        <w:sdtPr>
          <w:rPr>
            <w:rFonts w:asciiTheme="minorHAnsi" w:hAnsiTheme="minorHAnsi"/>
            <w:bCs/>
          </w:rPr>
          <w:tag w:val="goog_rdk_12"/>
          <w:id w:val="1113402263"/>
        </w:sdtPr>
        <w:sdtEndPr/>
        <w:sdtContent>
          <w:r w:rsidRPr="00FF4126">
            <w:rPr>
              <w:rFonts w:asciiTheme="minorHAnsi" w:hAnsiTheme="minorHAnsi"/>
              <w:bCs/>
            </w:rPr>
            <w:t xml:space="preserve">regarding </w:t>
          </w:r>
        </w:sdtContent>
      </w:sdt>
      <w:sdt>
        <w:sdtPr>
          <w:rPr>
            <w:rFonts w:asciiTheme="minorHAnsi" w:hAnsiTheme="minorHAnsi"/>
            <w:bCs/>
          </w:rPr>
          <w:tag w:val="goog_rdk_13"/>
          <w:id w:val="-1887550409"/>
          <w:showingPlcHdr/>
        </w:sdtPr>
        <w:sdtEndPr/>
        <w:sdtContent>
          <w:r>
            <w:rPr>
              <w:rFonts w:asciiTheme="minorHAnsi" w:hAnsiTheme="minorHAnsi"/>
              <w:bCs/>
            </w:rPr>
            <w:t xml:space="preserve">     </w:t>
          </w:r>
        </w:sdtContent>
      </w:sdt>
      <w:r w:rsidRPr="00FF4126">
        <w:rPr>
          <w:rFonts w:asciiTheme="minorHAnsi" w:hAnsiTheme="minorHAnsi"/>
          <w:bCs/>
        </w:rPr>
        <w:t>circulation, reference, program attendance, visits, staffing, and budget.</w:t>
      </w:r>
    </w:p>
    <w:p w14:paraId="4A48F424" w14:textId="77777777" w:rsidR="00FF4126" w:rsidRPr="00FF4126" w:rsidRDefault="00FF4126" w:rsidP="00FF4126">
      <w:pPr>
        <w:numPr>
          <w:ilvl w:val="1"/>
          <w:numId w:val="27"/>
        </w:numPr>
        <w:rPr>
          <w:rFonts w:asciiTheme="minorHAnsi" w:hAnsiTheme="minorHAnsi"/>
          <w:bCs/>
        </w:rPr>
      </w:pPr>
      <w:bookmarkStart w:id="2" w:name="_heading=h.gjdgxs"/>
      <w:bookmarkEnd w:id="2"/>
      <w:r w:rsidRPr="00FF4126">
        <w:rPr>
          <w:rFonts w:asciiTheme="minorHAnsi" w:hAnsiTheme="minorHAnsi"/>
          <w:bCs/>
        </w:rPr>
        <w:t>Develop customized</w:t>
      </w:r>
      <w:sdt>
        <w:sdtPr>
          <w:rPr>
            <w:rFonts w:asciiTheme="minorHAnsi" w:hAnsiTheme="minorHAnsi"/>
            <w:bCs/>
          </w:rPr>
          <w:tag w:val="goog_rdk_14"/>
          <w:id w:val="1035845582"/>
        </w:sdtPr>
        <w:sdtEndPr/>
        <w:sdtContent>
          <w:r w:rsidRPr="00FF4126">
            <w:rPr>
              <w:rFonts w:asciiTheme="minorHAnsi" w:hAnsiTheme="minorHAnsi"/>
              <w:bCs/>
            </w:rPr>
            <w:t xml:space="preserve"> </w:t>
          </w:r>
        </w:sdtContent>
      </w:sdt>
      <w:r w:rsidRPr="00FF4126">
        <w:rPr>
          <w:rFonts w:asciiTheme="minorHAnsi" w:hAnsiTheme="minorHAnsi"/>
          <w:bCs/>
        </w:rPr>
        <w:t>peer comparison</w:t>
      </w:r>
      <w:sdt>
        <w:sdtPr>
          <w:rPr>
            <w:rFonts w:asciiTheme="minorHAnsi" w:hAnsiTheme="minorHAnsi"/>
            <w:bCs/>
          </w:rPr>
          <w:tag w:val="goog_rdk_16"/>
          <w:id w:val="-1876914920"/>
        </w:sdtPr>
        <w:sdtEndPr/>
        <w:sdtContent>
          <w:r w:rsidRPr="00FF4126">
            <w:rPr>
              <w:rFonts w:asciiTheme="minorHAnsi" w:hAnsiTheme="minorHAnsi"/>
              <w:bCs/>
            </w:rPr>
            <w:t xml:space="preserve"> </w:t>
          </w:r>
        </w:sdtContent>
      </w:sdt>
      <w:r w:rsidRPr="00FF4126">
        <w:rPr>
          <w:rFonts w:asciiTheme="minorHAnsi" w:hAnsiTheme="minorHAnsi"/>
          <w:bCs/>
        </w:rPr>
        <w:t xml:space="preserve">reports to make budget change justifications to leadership/boards/communities. </w:t>
      </w:r>
    </w:p>
    <w:p w14:paraId="6BCAF3A0" w14:textId="77777777" w:rsidR="00FF4126" w:rsidRPr="00FF4126" w:rsidRDefault="00FF4126" w:rsidP="00FF4126">
      <w:pPr>
        <w:rPr>
          <w:rFonts w:asciiTheme="minorHAnsi" w:hAnsiTheme="minorHAnsi"/>
          <w:bCs/>
        </w:rPr>
      </w:pPr>
    </w:p>
    <w:p w14:paraId="63F12634" w14:textId="77777777" w:rsidR="00FF4126" w:rsidRPr="00FF4126" w:rsidRDefault="00FF4126" w:rsidP="00FF4126">
      <w:pPr>
        <w:rPr>
          <w:rFonts w:asciiTheme="minorHAnsi" w:hAnsiTheme="minorHAnsi"/>
          <w:bCs/>
          <w:i/>
          <w:iCs/>
        </w:rPr>
      </w:pPr>
      <w:r w:rsidRPr="00FF4126">
        <w:rPr>
          <w:rFonts w:asciiTheme="minorHAnsi" w:hAnsiTheme="minorHAnsi"/>
          <w:bCs/>
        </w:rPr>
        <w:lastRenderedPageBreak/>
        <w:t>These activities were intended to get a sense of demand for the PLDS as well as</w:t>
      </w:r>
      <w:sdt>
        <w:sdtPr>
          <w:rPr>
            <w:rFonts w:asciiTheme="minorHAnsi" w:hAnsiTheme="minorHAnsi"/>
            <w:bCs/>
          </w:rPr>
          <w:tag w:val="goog_rdk_17"/>
          <w:id w:val="802047156"/>
        </w:sdtPr>
        <w:sdtEndPr/>
        <w:sdtContent>
          <w:r w:rsidRPr="00FF4126">
            <w:rPr>
              <w:rFonts w:asciiTheme="minorHAnsi" w:hAnsiTheme="minorHAnsi"/>
              <w:bCs/>
            </w:rPr>
            <w:t xml:space="preserve"> determine</w:t>
          </w:r>
        </w:sdtContent>
      </w:sdt>
      <w:r w:rsidRPr="00FF4126">
        <w:rPr>
          <w:rFonts w:asciiTheme="minorHAnsi" w:hAnsiTheme="minorHAnsi"/>
          <w:bCs/>
        </w:rPr>
        <w:t xml:space="preserve"> how valuable the data are to the field. The results indicate that there is significant potential for more users of a PLA data collection effort about libraries if 1) the reporting interface and resulting data visualizations are more user friendly and 2)</w:t>
      </w:r>
      <w:sdt>
        <w:sdtPr>
          <w:rPr>
            <w:rFonts w:asciiTheme="minorHAnsi" w:hAnsiTheme="minorHAnsi"/>
            <w:bCs/>
          </w:rPr>
          <w:tag w:val="goog_rdk_18"/>
          <w:id w:val="96691340"/>
        </w:sdtPr>
        <w:sdtEndPr/>
        <w:sdtContent>
          <w:r w:rsidRPr="00FF4126">
            <w:rPr>
              <w:rFonts w:asciiTheme="minorHAnsi" w:hAnsiTheme="minorHAnsi"/>
              <w:bCs/>
            </w:rPr>
            <w:t xml:space="preserve"> the effort </w:t>
          </w:r>
        </w:sdtContent>
      </w:sdt>
      <w:r w:rsidRPr="00FF4126">
        <w:rPr>
          <w:rFonts w:asciiTheme="minorHAnsi" w:hAnsiTheme="minorHAnsi"/>
          <w:bCs/>
        </w:rPr>
        <w:t xml:space="preserve">incorporated more data </w:t>
      </w:r>
      <w:sdt>
        <w:sdtPr>
          <w:rPr>
            <w:rFonts w:asciiTheme="minorHAnsi" w:hAnsiTheme="minorHAnsi"/>
            <w:bCs/>
          </w:rPr>
          <w:tag w:val="goog_rdk_20"/>
          <w:id w:val="-760913157"/>
        </w:sdtPr>
        <w:sdtEndPr/>
        <w:sdtContent>
          <w:r w:rsidRPr="00FF4126">
            <w:rPr>
              <w:rFonts w:asciiTheme="minorHAnsi" w:hAnsiTheme="minorHAnsi"/>
              <w:bCs/>
            </w:rPr>
            <w:t>regarding</w:t>
          </w:r>
        </w:sdtContent>
      </w:sdt>
      <w:r w:rsidRPr="00FF4126">
        <w:rPr>
          <w:rFonts w:asciiTheme="minorHAnsi" w:hAnsiTheme="minorHAnsi"/>
          <w:bCs/>
        </w:rPr>
        <w:t xml:space="preserve"> libraries’ roles in their communities.</w:t>
      </w:r>
      <w:r w:rsidRPr="00FF4126">
        <w:rPr>
          <w:rFonts w:asciiTheme="minorHAnsi" w:hAnsiTheme="minorHAnsi"/>
          <w:bCs/>
          <w:i/>
          <w:iCs/>
        </w:rPr>
        <w:t xml:space="preserve"> As a result of this work and other data collection efforts PLA has underway, the MEAC voted to sunset the PLDS survey.</w:t>
      </w:r>
      <w:r w:rsidRPr="00FF4126">
        <w:rPr>
          <w:rFonts w:asciiTheme="minorHAnsi" w:hAnsiTheme="minorHAnsi"/>
          <w:bCs/>
        </w:rPr>
        <w:t> </w:t>
      </w:r>
    </w:p>
    <w:p w14:paraId="14E7679D" w14:textId="77777777" w:rsidR="00FF4126" w:rsidRDefault="00FF4126" w:rsidP="00FF4126">
      <w:pPr>
        <w:rPr>
          <w:rFonts w:asciiTheme="minorHAnsi" w:hAnsiTheme="minorHAnsi"/>
          <w:bCs/>
        </w:rPr>
      </w:pPr>
    </w:p>
    <w:p w14:paraId="35537414" w14:textId="045390D1" w:rsidR="00FF4126" w:rsidRPr="00FF4126" w:rsidRDefault="00FF4126" w:rsidP="00FF4126">
      <w:pPr>
        <w:rPr>
          <w:rFonts w:asciiTheme="minorHAnsi" w:hAnsiTheme="minorHAnsi"/>
          <w:bCs/>
        </w:rPr>
      </w:pPr>
      <w:r w:rsidRPr="00FF4126">
        <w:rPr>
          <w:rFonts w:asciiTheme="minorHAnsi" w:hAnsiTheme="minorHAnsi"/>
          <w:bCs/>
        </w:rPr>
        <w:t>To that end, the MEAC and PLA are committing efforts toward:</w:t>
      </w:r>
    </w:p>
    <w:p w14:paraId="5D98FF47" w14:textId="77777777" w:rsidR="00FF4126" w:rsidRPr="00FF4126" w:rsidRDefault="00FF4126" w:rsidP="00FF4126">
      <w:pPr>
        <w:numPr>
          <w:ilvl w:val="0"/>
          <w:numId w:val="28"/>
        </w:numPr>
        <w:rPr>
          <w:rFonts w:asciiTheme="minorHAnsi" w:hAnsiTheme="minorHAnsi"/>
          <w:bCs/>
        </w:rPr>
      </w:pPr>
      <w:r w:rsidRPr="00FF4126">
        <w:rPr>
          <w:rFonts w:asciiTheme="minorHAnsi" w:hAnsiTheme="minorHAnsi"/>
          <w:bCs/>
        </w:rPr>
        <w:t>Focusing on future data collection work on trending activities, such as technology;</w:t>
      </w:r>
    </w:p>
    <w:p w14:paraId="518622BB" w14:textId="77777777" w:rsidR="00FF4126" w:rsidRPr="00FF4126" w:rsidRDefault="00FF4126" w:rsidP="00FF4126">
      <w:pPr>
        <w:numPr>
          <w:ilvl w:val="0"/>
          <w:numId w:val="28"/>
        </w:numPr>
        <w:rPr>
          <w:rFonts w:asciiTheme="minorHAnsi" w:hAnsiTheme="minorHAnsi"/>
          <w:bCs/>
        </w:rPr>
      </w:pPr>
      <w:r w:rsidRPr="00FF4126">
        <w:rPr>
          <w:rFonts w:asciiTheme="minorHAnsi" w:hAnsiTheme="minorHAnsi"/>
          <w:bCs/>
        </w:rPr>
        <w:t>developing a set of “typical libraries” that will help libraries better understand who their peers are and what key operational data points look like for those groups; and</w:t>
      </w:r>
    </w:p>
    <w:p w14:paraId="21EF34E8" w14:textId="77777777" w:rsidR="00FF4126" w:rsidRPr="00FF4126" w:rsidRDefault="00FF4126" w:rsidP="00FF4126">
      <w:pPr>
        <w:numPr>
          <w:ilvl w:val="0"/>
          <w:numId w:val="28"/>
        </w:numPr>
        <w:rPr>
          <w:rFonts w:asciiTheme="minorHAnsi" w:hAnsiTheme="minorHAnsi"/>
          <w:bCs/>
        </w:rPr>
      </w:pPr>
      <w:r w:rsidRPr="00FF4126">
        <w:rPr>
          <w:rFonts w:asciiTheme="minorHAnsi" w:hAnsiTheme="minorHAnsi"/>
          <w:bCs/>
        </w:rPr>
        <w:t>increasing training opportunities to help library staff gain confidence in their own data skills and build a better understanding of how to use existing tools and data sets to understand their community.</w:t>
      </w:r>
    </w:p>
    <w:p w14:paraId="003B92BA" w14:textId="77777777" w:rsidR="002C6935" w:rsidRDefault="002C6935" w:rsidP="00307E02">
      <w:pPr>
        <w:rPr>
          <w:rFonts w:asciiTheme="minorHAnsi" w:hAnsiTheme="minorHAnsi"/>
          <w:b/>
        </w:rPr>
      </w:pPr>
    </w:p>
    <w:p w14:paraId="7C493107" w14:textId="77777777" w:rsidR="00D44753" w:rsidRDefault="00D44753" w:rsidP="00763BC8">
      <w:pPr>
        <w:rPr>
          <w:rFonts w:asciiTheme="minorHAnsi" w:hAnsiTheme="minorHAnsi"/>
          <w:b/>
        </w:rPr>
      </w:pPr>
      <w:bookmarkStart w:id="3" w:name="_Hlk31968685"/>
    </w:p>
    <w:p w14:paraId="6A72C7A7" w14:textId="1901FCBA" w:rsidR="00763BC8" w:rsidRPr="00427B50" w:rsidRDefault="00763BC8" w:rsidP="00763BC8">
      <w:pPr>
        <w:rPr>
          <w:rFonts w:asciiTheme="minorHAnsi" w:hAnsiTheme="minorHAnsi"/>
          <w:b/>
        </w:rPr>
      </w:pPr>
      <w:r>
        <w:rPr>
          <w:rFonts w:asciiTheme="minorHAnsi" w:hAnsiTheme="minorHAnsi"/>
          <w:b/>
        </w:rPr>
        <w:t>PROJECT OUTCOME</w:t>
      </w:r>
    </w:p>
    <w:p w14:paraId="506250BF" w14:textId="77777777" w:rsidR="00763BC8" w:rsidRPr="0059741A" w:rsidRDefault="00763BC8" w:rsidP="00763BC8">
      <w:pPr>
        <w:rPr>
          <w:rFonts w:asciiTheme="minorHAnsi" w:hAnsiTheme="minorHAnsi"/>
          <w:bCs/>
          <w:i/>
          <w:iCs/>
        </w:rPr>
      </w:pPr>
      <w:r w:rsidRPr="0059741A">
        <w:rPr>
          <w:rFonts w:asciiTheme="minorHAnsi" w:hAnsiTheme="minorHAnsi"/>
          <w:bCs/>
          <w:i/>
          <w:iCs/>
        </w:rPr>
        <w:t>Submitted by Emily Plagman, Manager, Impact and Advocacy</w:t>
      </w:r>
    </w:p>
    <w:p w14:paraId="66C08B9F" w14:textId="63BC850D" w:rsidR="00763BC8" w:rsidRDefault="00763BC8" w:rsidP="00763BC8">
      <w:pPr>
        <w:rPr>
          <w:rFonts w:asciiTheme="minorHAnsi" w:hAnsiTheme="minorHAnsi"/>
          <w:b/>
        </w:rPr>
      </w:pPr>
    </w:p>
    <w:p w14:paraId="11D86816" w14:textId="1EEAC1FF" w:rsidR="0063387E" w:rsidRPr="0063387E" w:rsidRDefault="0063387E" w:rsidP="0063387E">
      <w:pPr>
        <w:rPr>
          <w:rFonts w:asciiTheme="minorHAnsi" w:hAnsiTheme="minorHAnsi"/>
          <w:bCs/>
        </w:rPr>
      </w:pPr>
      <w:r w:rsidRPr="0063387E">
        <w:rPr>
          <w:rFonts w:asciiTheme="minorHAnsi" w:hAnsiTheme="minorHAnsi"/>
          <w:bCs/>
        </w:rPr>
        <w:t xml:space="preserve">On April 1, ACRL and PLA hosted a joint webinar, “Project Outcome: Evaluation Online Library Learning.” Over 330 attendees joined the webinar which had a both an academic and public library presenter discussion their virtual programming work and how they evaluate its impact.  Additionally, ACRL and PLA staff have released a user experience survey to registered Project Outcome users. The results will be used to inform opportunities to adapt the model to be more cost efficient and update it to reflect more advanced outcome measurement needs in the field. Staff will update the board of the findings in the summer. </w:t>
      </w:r>
    </w:p>
    <w:p w14:paraId="4FF684EA" w14:textId="7E29C90E" w:rsidR="00763BC8" w:rsidRDefault="00763BC8" w:rsidP="00763BC8">
      <w:pPr>
        <w:rPr>
          <w:rFonts w:asciiTheme="minorHAnsi" w:hAnsiTheme="minorHAnsi"/>
          <w:b/>
        </w:rPr>
      </w:pPr>
    </w:p>
    <w:p w14:paraId="2BF17DC5" w14:textId="77777777" w:rsidR="00763BC8" w:rsidRDefault="00763BC8" w:rsidP="002D6D92">
      <w:pPr>
        <w:rPr>
          <w:rFonts w:ascii="Calibri" w:eastAsiaTheme="minorHAnsi" w:hAnsi="Calibri" w:cs="Calibri"/>
          <w:b/>
          <w:bCs/>
        </w:rPr>
      </w:pPr>
    </w:p>
    <w:p w14:paraId="0F2D16E0" w14:textId="6E2AF78C" w:rsidR="002D6D92" w:rsidRPr="00C07B3F" w:rsidRDefault="002D6D92" w:rsidP="002D6D92">
      <w:pPr>
        <w:rPr>
          <w:rFonts w:ascii="Calibri" w:eastAsiaTheme="minorHAnsi" w:hAnsi="Calibri" w:cs="Calibri"/>
          <w:b/>
          <w:bCs/>
        </w:rPr>
      </w:pPr>
      <w:r w:rsidRPr="00C07B3F">
        <w:rPr>
          <w:rFonts w:ascii="Calibri" w:eastAsiaTheme="minorHAnsi" w:hAnsi="Calibri" w:cs="Calibri"/>
          <w:b/>
          <w:bCs/>
        </w:rPr>
        <w:t>2020 CENSUS</w:t>
      </w:r>
    </w:p>
    <w:p w14:paraId="4FD33B95" w14:textId="77777777" w:rsidR="002D6D92" w:rsidRPr="00C07B3F" w:rsidRDefault="002D6D92" w:rsidP="002D6D92">
      <w:pPr>
        <w:rPr>
          <w:rFonts w:ascii="Calibri" w:eastAsiaTheme="minorHAnsi" w:hAnsi="Calibri" w:cs="Calibri"/>
          <w:i/>
          <w:iCs/>
        </w:rPr>
      </w:pPr>
      <w:r w:rsidRPr="00C07B3F">
        <w:rPr>
          <w:rFonts w:ascii="Calibri" w:eastAsiaTheme="minorHAnsi" w:hAnsi="Calibri" w:cs="Calibri"/>
          <w:i/>
          <w:iCs/>
        </w:rPr>
        <w:t>Submitted by Larra Clark, Deputy Director</w:t>
      </w:r>
    </w:p>
    <w:p w14:paraId="6F7D8AEE" w14:textId="389A2231" w:rsidR="00BD5035" w:rsidRDefault="00BD5035" w:rsidP="009219CD">
      <w:pPr>
        <w:rPr>
          <w:rFonts w:ascii="Calibri" w:eastAsiaTheme="minorHAnsi" w:hAnsi="Calibri" w:cs="Calibri"/>
          <w:b/>
          <w:bCs/>
        </w:rPr>
      </w:pPr>
    </w:p>
    <w:p w14:paraId="24A3E7B5" w14:textId="77777777" w:rsidR="004E2E23" w:rsidRDefault="004E2E23" w:rsidP="004E2E23">
      <w:pPr>
        <w:rPr>
          <w:rFonts w:ascii="Calibri" w:eastAsiaTheme="minorHAnsi" w:hAnsi="Calibri" w:cs="Calibri"/>
        </w:rPr>
      </w:pPr>
      <w:r>
        <w:rPr>
          <w:rFonts w:ascii="Calibri" w:eastAsiaTheme="minorHAnsi" w:hAnsi="Calibri" w:cs="Calibri"/>
        </w:rPr>
        <w:t xml:space="preserve">As with everything, the current pandemic also is disrupting 2020 Census operations. The Census Bureau is re-evaluating operations on a roughly biweekly basis and providing updates </w:t>
      </w:r>
      <w:hyperlink r:id="rId8" w:history="1">
        <w:r>
          <w:rPr>
            <w:rStyle w:val="Hyperlink"/>
            <w:rFonts w:ascii="Calibri" w:eastAsiaTheme="minorHAnsi" w:hAnsi="Calibri" w:cs="Calibri"/>
          </w:rPr>
          <w:t>here</w:t>
        </w:r>
      </w:hyperlink>
      <w:r>
        <w:rPr>
          <w:rFonts w:ascii="Calibri" w:eastAsiaTheme="minorHAnsi" w:hAnsi="Calibri" w:cs="Calibri"/>
        </w:rPr>
        <w:t>. The shared ALA-PLA home page (</w:t>
      </w:r>
      <w:hyperlink r:id="rId9" w:history="1">
        <w:r>
          <w:rPr>
            <w:rStyle w:val="Hyperlink"/>
            <w:rFonts w:ascii="Calibri" w:eastAsiaTheme="minorHAnsi" w:hAnsi="Calibri" w:cs="Calibri"/>
          </w:rPr>
          <w:t>www.ala.org/census</w:t>
        </w:r>
      </w:hyperlink>
      <w:r>
        <w:rPr>
          <w:rFonts w:ascii="Calibri" w:eastAsiaTheme="minorHAnsi" w:hAnsi="Calibri" w:cs="Calibri"/>
        </w:rPr>
        <w:t xml:space="preserve">) continues to be updated. Much later than expected, we also received outreach from funders seeking to invest in public library 2020 Census outreach. This will allow us to offer more mini-grants to libraries, in addition to the </w:t>
      </w:r>
      <w:hyperlink r:id="rId10" w:history="1">
        <w:r>
          <w:rPr>
            <w:rStyle w:val="Hyperlink"/>
            <w:rFonts w:ascii="Calibri" w:eastAsiaTheme="minorHAnsi" w:hAnsi="Calibri" w:cs="Calibri"/>
          </w:rPr>
          <w:t>original 59</w:t>
        </w:r>
      </w:hyperlink>
      <w:r>
        <w:rPr>
          <w:rFonts w:ascii="Calibri" w:eastAsiaTheme="minorHAnsi" w:hAnsi="Calibri" w:cs="Calibri"/>
        </w:rPr>
        <w:t xml:space="preserve"> out of 500+ submitted applications, and do other Census-related work. Announcements related to these projects are currently in the works. </w:t>
      </w:r>
    </w:p>
    <w:p w14:paraId="3EFCE1F9" w14:textId="77777777" w:rsidR="004E2E23" w:rsidRDefault="004E2E23" w:rsidP="004E2E23">
      <w:pPr>
        <w:rPr>
          <w:rFonts w:ascii="Calibri" w:eastAsiaTheme="minorHAnsi" w:hAnsi="Calibri" w:cs="Calibri"/>
        </w:rPr>
      </w:pPr>
    </w:p>
    <w:p w14:paraId="0675D16C" w14:textId="77777777" w:rsidR="004E2E23" w:rsidRDefault="004E2E23" w:rsidP="004E2E23">
      <w:pPr>
        <w:rPr>
          <w:rFonts w:ascii="Calibri" w:eastAsiaTheme="minorHAnsi" w:hAnsi="Calibri" w:cs="Calibri"/>
        </w:rPr>
      </w:pPr>
      <w:r>
        <w:rPr>
          <w:rFonts w:ascii="Calibri" w:eastAsiaTheme="minorHAnsi" w:hAnsi="Calibri" w:cs="Calibri"/>
        </w:rPr>
        <w:t xml:space="preserve">Obviously, public library programs have been cancelled, and our buildings are closed to people who might have used our computers to complete the online self-response. In a call with grantees in March, however, we heard that </w:t>
      </w:r>
      <w:hyperlink r:id="rId11" w:history="1">
        <w:r>
          <w:rPr>
            <w:rStyle w:val="Hyperlink"/>
            <w:rFonts w:ascii="Calibri" w:eastAsiaTheme="minorHAnsi" w:hAnsi="Calibri" w:cs="Calibri"/>
          </w:rPr>
          <w:t>outreach continues</w:t>
        </w:r>
      </w:hyperlink>
      <w:r>
        <w:rPr>
          <w:rFonts w:ascii="Calibri" w:eastAsiaTheme="minorHAnsi" w:hAnsi="Calibri" w:cs="Calibri"/>
        </w:rPr>
        <w:t xml:space="preserve">, and more than 60% of respondents to PLA’s survey report they are using social media to promote participation in the 2020 Census. Finally, before our current crisis, we had a standing-room-only attendance at our </w:t>
      </w:r>
      <w:hyperlink r:id="rId12" w:history="1">
        <w:r>
          <w:rPr>
            <w:rStyle w:val="Hyperlink"/>
            <w:rFonts w:ascii="Calibri" w:eastAsiaTheme="minorHAnsi" w:hAnsi="Calibri" w:cs="Calibri"/>
          </w:rPr>
          <w:t>2020 Census program at PLA 2020</w:t>
        </w:r>
      </w:hyperlink>
      <w:r>
        <w:rPr>
          <w:rFonts w:ascii="Calibri" w:eastAsiaTheme="minorHAnsi" w:hAnsi="Calibri" w:cs="Calibri"/>
        </w:rPr>
        <w:t xml:space="preserve"> and a sold-out </w:t>
      </w:r>
      <w:hyperlink r:id="rId13" w:history="1">
        <w:r>
          <w:rPr>
            <w:rStyle w:val="Hyperlink"/>
            <w:rFonts w:ascii="Calibri" w:eastAsiaTheme="minorHAnsi" w:hAnsi="Calibri" w:cs="Calibri"/>
          </w:rPr>
          <w:t>American Libraries Live! webinar</w:t>
        </w:r>
      </w:hyperlink>
      <w:r>
        <w:rPr>
          <w:rFonts w:ascii="Calibri" w:eastAsiaTheme="minorHAnsi" w:hAnsi="Calibri" w:cs="Calibri"/>
        </w:rPr>
        <w:t xml:space="preserve"> on March 4. Thanks again to all members of the joint ALA/PLA 2020 Census Library Outreach and Education Task Force for their work.</w:t>
      </w:r>
    </w:p>
    <w:bookmarkEnd w:id="3"/>
    <w:p w14:paraId="2251273E" w14:textId="77777777" w:rsidR="00D44753" w:rsidRDefault="00D44753" w:rsidP="009219CD">
      <w:pPr>
        <w:rPr>
          <w:rFonts w:ascii="Calibri" w:eastAsiaTheme="minorHAnsi" w:hAnsi="Calibri" w:cs="Calibri"/>
          <w:b/>
          <w:bCs/>
        </w:rPr>
      </w:pPr>
    </w:p>
    <w:p w14:paraId="0A4974D6" w14:textId="2F210F35" w:rsidR="002500FC" w:rsidRDefault="002500FC" w:rsidP="009219CD">
      <w:pPr>
        <w:rPr>
          <w:rFonts w:ascii="Calibri" w:eastAsiaTheme="minorHAnsi" w:hAnsi="Calibri" w:cs="Calibri"/>
        </w:rPr>
      </w:pPr>
      <w:r>
        <w:rPr>
          <w:rFonts w:ascii="Calibri" w:eastAsiaTheme="minorHAnsi" w:hAnsi="Calibri" w:cs="Calibri"/>
          <w:b/>
          <w:bCs/>
        </w:rPr>
        <w:lastRenderedPageBreak/>
        <w:t>AWARDS</w:t>
      </w:r>
    </w:p>
    <w:p w14:paraId="53BD1D33" w14:textId="0528D9AA" w:rsidR="002500FC" w:rsidRPr="002500FC" w:rsidRDefault="002500FC" w:rsidP="009219CD">
      <w:pPr>
        <w:rPr>
          <w:rFonts w:ascii="Calibri" w:eastAsiaTheme="minorHAnsi" w:hAnsi="Calibri" w:cs="Calibri"/>
          <w:i/>
          <w:iCs/>
        </w:rPr>
      </w:pPr>
      <w:r>
        <w:rPr>
          <w:rFonts w:ascii="Calibri" w:eastAsiaTheme="minorHAnsi" w:hAnsi="Calibri" w:cs="Calibri"/>
          <w:i/>
          <w:iCs/>
        </w:rPr>
        <w:t xml:space="preserve">Submitted by Megan Stewart, </w:t>
      </w:r>
      <w:r w:rsidR="00BD5035">
        <w:rPr>
          <w:rFonts w:ascii="Calibri" w:eastAsiaTheme="minorHAnsi" w:hAnsi="Calibri" w:cs="Calibri"/>
          <w:i/>
          <w:iCs/>
        </w:rPr>
        <w:t>Program</w:t>
      </w:r>
      <w:r>
        <w:rPr>
          <w:rFonts w:ascii="Calibri" w:eastAsiaTheme="minorHAnsi" w:hAnsi="Calibri" w:cs="Calibri"/>
          <w:i/>
          <w:iCs/>
        </w:rPr>
        <w:t xml:space="preserve"> Coordinator</w:t>
      </w:r>
    </w:p>
    <w:p w14:paraId="41BC140A" w14:textId="77777777" w:rsidR="00F54634" w:rsidRDefault="00F54634" w:rsidP="00F54634">
      <w:pPr>
        <w:rPr>
          <w:rFonts w:asciiTheme="minorHAnsi" w:hAnsiTheme="minorHAnsi" w:cstheme="minorHAnsi"/>
        </w:rPr>
      </w:pPr>
    </w:p>
    <w:p w14:paraId="3E96B177" w14:textId="77777777" w:rsidR="00C63645" w:rsidRDefault="00C63645" w:rsidP="00C63645">
      <w:pPr>
        <w:rPr>
          <w:rFonts w:asciiTheme="minorHAnsi" w:hAnsiTheme="minorHAnsi" w:cstheme="minorHAnsi"/>
        </w:rPr>
      </w:pPr>
      <w:r w:rsidRPr="00154CBC">
        <w:rPr>
          <w:rFonts w:asciiTheme="minorHAnsi" w:hAnsiTheme="minorHAnsi" w:cstheme="minorHAnsi"/>
        </w:rPr>
        <w:t xml:space="preserve">PLA opened its call for applications for the </w:t>
      </w:r>
      <w:r>
        <w:rPr>
          <w:rFonts w:asciiTheme="minorHAnsi" w:hAnsiTheme="minorHAnsi" w:cstheme="minorHAnsi"/>
        </w:rPr>
        <w:t>2019-2020</w:t>
      </w:r>
      <w:r w:rsidRPr="00154CBC">
        <w:rPr>
          <w:rFonts w:asciiTheme="minorHAnsi" w:hAnsiTheme="minorHAnsi" w:cstheme="minorHAnsi"/>
        </w:rPr>
        <w:t xml:space="preserve"> awards cycle on </w:t>
      </w:r>
      <w:r>
        <w:rPr>
          <w:rFonts w:asciiTheme="minorHAnsi" w:hAnsiTheme="minorHAnsi" w:cstheme="minorHAnsi"/>
        </w:rPr>
        <w:t>Tuesday</w:t>
      </w:r>
      <w:r w:rsidRPr="00154CBC">
        <w:rPr>
          <w:rFonts w:asciiTheme="minorHAnsi" w:hAnsiTheme="minorHAnsi" w:cstheme="minorHAnsi"/>
        </w:rPr>
        <w:t>, September 1</w:t>
      </w:r>
      <w:r>
        <w:rPr>
          <w:rFonts w:asciiTheme="minorHAnsi" w:hAnsiTheme="minorHAnsi" w:cstheme="minorHAnsi"/>
        </w:rPr>
        <w:t>0</w:t>
      </w:r>
      <w:r w:rsidRPr="00154CBC">
        <w:rPr>
          <w:rFonts w:asciiTheme="minorHAnsi" w:hAnsiTheme="minorHAnsi" w:cstheme="minorHAnsi"/>
        </w:rPr>
        <w:t>, 201</w:t>
      </w:r>
      <w:r>
        <w:rPr>
          <w:rFonts w:asciiTheme="minorHAnsi" w:hAnsiTheme="minorHAnsi" w:cstheme="minorHAnsi"/>
        </w:rPr>
        <w:t>9</w:t>
      </w:r>
      <w:r w:rsidRPr="00154CBC">
        <w:rPr>
          <w:rFonts w:asciiTheme="minorHAnsi" w:hAnsiTheme="minorHAnsi" w:cstheme="minorHAnsi"/>
        </w:rPr>
        <w:t xml:space="preserve">. The call for nominations closed on </w:t>
      </w:r>
      <w:r>
        <w:rPr>
          <w:rFonts w:asciiTheme="minorHAnsi" w:hAnsiTheme="minorHAnsi" w:cstheme="minorHAnsi"/>
        </w:rPr>
        <w:t>Friday</w:t>
      </w:r>
      <w:r w:rsidRPr="00154CBC">
        <w:rPr>
          <w:rFonts w:asciiTheme="minorHAnsi" w:hAnsiTheme="minorHAnsi" w:cstheme="minorHAnsi"/>
        </w:rPr>
        <w:t xml:space="preserve">, December </w:t>
      </w:r>
      <w:r>
        <w:rPr>
          <w:rFonts w:asciiTheme="minorHAnsi" w:hAnsiTheme="minorHAnsi" w:cstheme="minorHAnsi"/>
        </w:rPr>
        <w:t>6</w:t>
      </w:r>
      <w:r w:rsidRPr="00154CBC">
        <w:rPr>
          <w:rFonts w:asciiTheme="minorHAnsi" w:hAnsiTheme="minorHAnsi" w:cstheme="minorHAnsi"/>
        </w:rPr>
        <w:t>, 201</w:t>
      </w:r>
      <w:r>
        <w:rPr>
          <w:rFonts w:asciiTheme="minorHAnsi" w:hAnsiTheme="minorHAnsi" w:cstheme="minorHAnsi"/>
        </w:rPr>
        <w:t>9</w:t>
      </w:r>
      <w:r w:rsidRPr="00154CBC">
        <w:rPr>
          <w:rFonts w:asciiTheme="minorHAnsi" w:hAnsiTheme="minorHAnsi" w:cstheme="minorHAnsi"/>
        </w:rPr>
        <w:t xml:space="preserve">. PLA accepted applications for ten (10) awards and grants during this awards cycle. </w:t>
      </w:r>
    </w:p>
    <w:p w14:paraId="3622FEC5" w14:textId="77777777" w:rsidR="00C63645" w:rsidRDefault="00C63645" w:rsidP="00C63645">
      <w:pPr>
        <w:rPr>
          <w:rFonts w:asciiTheme="minorHAnsi" w:hAnsiTheme="minorHAnsi" w:cstheme="minorHAnsi"/>
        </w:rPr>
      </w:pPr>
    </w:p>
    <w:p w14:paraId="771FDD15" w14:textId="1030808D" w:rsidR="009219CD" w:rsidRPr="00C63645" w:rsidRDefault="00C63645" w:rsidP="00F85EDE">
      <w:pPr>
        <w:rPr>
          <w:rFonts w:asciiTheme="minorHAnsi" w:hAnsiTheme="minorHAnsi" w:cstheme="minorHAnsi"/>
        </w:rPr>
      </w:pPr>
      <w:r>
        <w:rPr>
          <w:rFonts w:asciiTheme="minorHAnsi" w:hAnsiTheme="minorHAnsi" w:cstheme="minorHAnsi"/>
        </w:rPr>
        <w:t xml:space="preserve">PLA announced the winners for the 2019-2020 awards cycle via press release on Tuesday, March 10, 2020. The press release is available at </w:t>
      </w:r>
      <w:hyperlink r:id="rId14" w:history="1">
        <w:r w:rsidRPr="00D6733A">
          <w:rPr>
            <w:rStyle w:val="Hyperlink"/>
            <w:rFonts w:asciiTheme="minorHAnsi" w:hAnsiTheme="minorHAnsi" w:cstheme="minorHAnsi"/>
          </w:rPr>
          <w:t>http://www.ala.org/news/press-releases/2020/03/public-library-association-announces-2020-award-winners</w:t>
        </w:r>
      </w:hyperlink>
      <w:r>
        <w:rPr>
          <w:rFonts w:asciiTheme="minorHAnsi" w:hAnsiTheme="minorHAnsi" w:cstheme="minorHAnsi"/>
        </w:rPr>
        <w:t xml:space="preserve">. The award winners’ names have also been posted on the PLA awards webpage at this link: </w:t>
      </w:r>
      <w:hyperlink r:id="rId15" w:history="1">
        <w:r w:rsidRPr="004A5630">
          <w:rPr>
            <w:rStyle w:val="Hyperlink"/>
            <w:rFonts w:asciiTheme="minorHAnsi" w:hAnsiTheme="minorHAnsi" w:cstheme="minorHAnsi"/>
          </w:rPr>
          <w:t>http://www.ala.org/pla/awards/</w:t>
        </w:r>
      </w:hyperlink>
      <w:r>
        <w:rPr>
          <w:rFonts w:asciiTheme="minorHAnsi" w:hAnsiTheme="minorHAnsi" w:cstheme="minorHAnsi"/>
        </w:rPr>
        <w:t xml:space="preserve">. </w:t>
      </w:r>
    </w:p>
    <w:p w14:paraId="1B8201A6" w14:textId="77777777" w:rsidR="00751566" w:rsidRPr="000116FE" w:rsidRDefault="00751566" w:rsidP="00F85EDE">
      <w:pPr>
        <w:rPr>
          <w:rFonts w:ascii="Calibri" w:eastAsiaTheme="minorHAnsi" w:hAnsi="Calibri" w:cs="Calibri"/>
          <w:b/>
          <w:bCs/>
        </w:rPr>
      </w:pPr>
    </w:p>
    <w:sectPr w:rsidR="00751566" w:rsidRPr="000116FE" w:rsidSect="00C450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E6AD" w14:textId="77777777" w:rsidR="00A026DC" w:rsidRDefault="00A026DC" w:rsidP="00835953">
      <w:r>
        <w:separator/>
      </w:r>
    </w:p>
  </w:endnote>
  <w:endnote w:type="continuationSeparator" w:id="0">
    <w:p w14:paraId="08B0C006" w14:textId="77777777" w:rsidR="00A026DC" w:rsidRDefault="00A026D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3759510A"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AA3F" w14:textId="77777777" w:rsidR="00A026DC" w:rsidRDefault="00A026DC" w:rsidP="00835953">
      <w:r>
        <w:separator/>
      </w:r>
    </w:p>
  </w:footnote>
  <w:footnote w:type="continuationSeparator" w:id="0">
    <w:p w14:paraId="3FDFA995" w14:textId="77777777" w:rsidR="00A026DC" w:rsidRDefault="00A026D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A0D58D6" w14:textId="73A60C7F" w:rsidR="00CB6F49" w:rsidRDefault="00E87670" w:rsidP="00427B50">
    <w:pPr>
      <w:pStyle w:val="Header"/>
      <w:jc w:val="right"/>
      <w:rPr>
        <w:rFonts w:asciiTheme="minorHAnsi" w:hAnsiTheme="minorHAnsi"/>
      </w:rPr>
    </w:pPr>
    <w:r>
      <w:rPr>
        <w:rFonts w:asciiTheme="minorHAnsi" w:hAnsiTheme="minorHAnsi"/>
      </w:rPr>
      <w:t>Spring</w:t>
    </w:r>
    <w:r w:rsidR="00CB6F49" w:rsidRPr="00CB6F49">
      <w:rPr>
        <w:rFonts w:asciiTheme="minorHAnsi" w:hAnsiTheme="minorHAnsi"/>
      </w:rPr>
      <w:t xml:space="preserve"> 2020 Board Meeting </w:t>
    </w:r>
  </w:p>
  <w:p w14:paraId="1CD6F1DB" w14:textId="7AE49446"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B23C0D">
      <w:rPr>
        <w:rFonts w:asciiTheme="minorHAnsi" w:hAnsiTheme="minorHAnsi"/>
      </w:rPr>
      <w:t>52</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3FBD"/>
    <w:multiLevelType w:val="multilevel"/>
    <w:tmpl w:val="08EE0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5666"/>
    <w:multiLevelType w:val="hybridMultilevel"/>
    <w:tmpl w:val="7DC4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0770E"/>
    <w:multiLevelType w:val="multilevel"/>
    <w:tmpl w:val="3E583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9B41FF"/>
    <w:multiLevelType w:val="hybridMultilevel"/>
    <w:tmpl w:val="18D86DD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23"/>
  </w:num>
  <w:num w:numId="6">
    <w:abstractNumId w:val="24"/>
  </w:num>
  <w:num w:numId="7">
    <w:abstractNumId w:val="22"/>
  </w:num>
  <w:num w:numId="8">
    <w:abstractNumId w:val="16"/>
  </w:num>
  <w:num w:numId="9">
    <w:abstractNumId w:val="14"/>
  </w:num>
  <w:num w:numId="10">
    <w:abstractNumId w:val="8"/>
  </w:num>
  <w:num w:numId="11">
    <w:abstractNumId w:val="17"/>
  </w:num>
  <w:num w:numId="12">
    <w:abstractNumId w:val="0"/>
  </w:num>
  <w:num w:numId="13">
    <w:abstractNumId w:val="9"/>
  </w:num>
  <w:num w:numId="14">
    <w:abstractNumId w:val="13"/>
  </w:num>
  <w:num w:numId="15">
    <w:abstractNumId w:val="1"/>
  </w:num>
  <w:num w:numId="16">
    <w:abstractNumId w:val="6"/>
  </w:num>
  <w:num w:numId="17">
    <w:abstractNumId w:val="25"/>
  </w:num>
  <w:num w:numId="18">
    <w:abstractNumId w:val="7"/>
  </w:num>
  <w:num w:numId="19">
    <w:abstractNumId w:val="5"/>
  </w:num>
  <w:num w:numId="20">
    <w:abstractNumId w:val="21"/>
  </w:num>
  <w:num w:numId="21">
    <w:abstractNumId w:val="11"/>
  </w:num>
  <w:num w:numId="22">
    <w:abstractNumId w:val="12"/>
  </w:num>
  <w:num w:numId="23">
    <w:abstractNumId w:val="20"/>
  </w:num>
  <w:num w:numId="24">
    <w:abstractNumId w:val="15"/>
  </w:num>
  <w:num w:numId="25">
    <w:abstractNumId w:val="26"/>
  </w:num>
  <w:num w:numId="26">
    <w:abstractNumId w:val="3"/>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5B55"/>
    <w:rsid w:val="000116FE"/>
    <w:rsid w:val="00021DB7"/>
    <w:rsid w:val="00025335"/>
    <w:rsid w:val="000332C9"/>
    <w:rsid w:val="000359ED"/>
    <w:rsid w:val="0004704A"/>
    <w:rsid w:val="0005048D"/>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4145"/>
    <w:rsid w:val="0017246B"/>
    <w:rsid w:val="001734F8"/>
    <w:rsid w:val="00173AEE"/>
    <w:rsid w:val="001856F8"/>
    <w:rsid w:val="001A709A"/>
    <w:rsid w:val="001C1FCD"/>
    <w:rsid w:val="001D1269"/>
    <w:rsid w:val="001F52A2"/>
    <w:rsid w:val="00203593"/>
    <w:rsid w:val="0021042E"/>
    <w:rsid w:val="00211EF2"/>
    <w:rsid w:val="00217969"/>
    <w:rsid w:val="00226B41"/>
    <w:rsid w:val="0023120E"/>
    <w:rsid w:val="0023449D"/>
    <w:rsid w:val="002406B9"/>
    <w:rsid w:val="002427CC"/>
    <w:rsid w:val="002466C4"/>
    <w:rsid w:val="00247C0D"/>
    <w:rsid w:val="002500FC"/>
    <w:rsid w:val="00256710"/>
    <w:rsid w:val="00270DB5"/>
    <w:rsid w:val="00273FD6"/>
    <w:rsid w:val="002B06F9"/>
    <w:rsid w:val="002B765E"/>
    <w:rsid w:val="002C6935"/>
    <w:rsid w:val="002D6D92"/>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D02AE"/>
    <w:rsid w:val="003D196C"/>
    <w:rsid w:val="003D2C5D"/>
    <w:rsid w:val="003E7778"/>
    <w:rsid w:val="0042524D"/>
    <w:rsid w:val="00425F1F"/>
    <w:rsid w:val="00427B50"/>
    <w:rsid w:val="004351F1"/>
    <w:rsid w:val="0043774E"/>
    <w:rsid w:val="004433B2"/>
    <w:rsid w:val="004547C4"/>
    <w:rsid w:val="004567CA"/>
    <w:rsid w:val="0046669C"/>
    <w:rsid w:val="004C199C"/>
    <w:rsid w:val="004C70CD"/>
    <w:rsid w:val="004D3C8E"/>
    <w:rsid w:val="004E2E23"/>
    <w:rsid w:val="0050103E"/>
    <w:rsid w:val="00503F82"/>
    <w:rsid w:val="00524B4A"/>
    <w:rsid w:val="00536149"/>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387E"/>
    <w:rsid w:val="00637AA4"/>
    <w:rsid w:val="00645B29"/>
    <w:rsid w:val="00651831"/>
    <w:rsid w:val="00663F1F"/>
    <w:rsid w:val="00667DAE"/>
    <w:rsid w:val="0067319A"/>
    <w:rsid w:val="0068110B"/>
    <w:rsid w:val="00686011"/>
    <w:rsid w:val="00692F37"/>
    <w:rsid w:val="00694B07"/>
    <w:rsid w:val="0069719D"/>
    <w:rsid w:val="006A4455"/>
    <w:rsid w:val="006B4DF8"/>
    <w:rsid w:val="006B7262"/>
    <w:rsid w:val="006C052E"/>
    <w:rsid w:val="006C7BD5"/>
    <w:rsid w:val="006D0EFC"/>
    <w:rsid w:val="006E23C7"/>
    <w:rsid w:val="006E38E2"/>
    <w:rsid w:val="00702831"/>
    <w:rsid w:val="00705AD6"/>
    <w:rsid w:val="00712A8F"/>
    <w:rsid w:val="007215F6"/>
    <w:rsid w:val="00721958"/>
    <w:rsid w:val="007343B2"/>
    <w:rsid w:val="00744EC4"/>
    <w:rsid w:val="00746EBB"/>
    <w:rsid w:val="00751566"/>
    <w:rsid w:val="007569B0"/>
    <w:rsid w:val="0076016D"/>
    <w:rsid w:val="00763510"/>
    <w:rsid w:val="00763BC8"/>
    <w:rsid w:val="00771CA1"/>
    <w:rsid w:val="007753A1"/>
    <w:rsid w:val="0077729C"/>
    <w:rsid w:val="007834C5"/>
    <w:rsid w:val="00785C59"/>
    <w:rsid w:val="0079490D"/>
    <w:rsid w:val="00796F2E"/>
    <w:rsid w:val="007A210D"/>
    <w:rsid w:val="007C51C6"/>
    <w:rsid w:val="007D430A"/>
    <w:rsid w:val="007E059E"/>
    <w:rsid w:val="0080316C"/>
    <w:rsid w:val="00816B32"/>
    <w:rsid w:val="0082048C"/>
    <w:rsid w:val="008305E0"/>
    <w:rsid w:val="00835953"/>
    <w:rsid w:val="0087313F"/>
    <w:rsid w:val="00880AAD"/>
    <w:rsid w:val="008812E9"/>
    <w:rsid w:val="0089738B"/>
    <w:rsid w:val="008A0476"/>
    <w:rsid w:val="008A0C4F"/>
    <w:rsid w:val="008A0E90"/>
    <w:rsid w:val="008A51AF"/>
    <w:rsid w:val="008A7A09"/>
    <w:rsid w:val="008C1295"/>
    <w:rsid w:val="008C61E9"/>
    <w:rsid w:val="008C6AC5"/>
    <w:rsid w:val="008E0B46"/>
    <w:rsid w:val="008E39E3"/>
    <w:rsid w:val="008E56F5"/>
    <w:rsid w:val="008F082B"/>
    <w:rsid w:val="008F0E17"/>
    <w:rsid w:val="008F3E8D"/>
    <w:rsid w:val="0090328F"/>
    <w:rsid w:val="00912A95"/>
    <w:rsid w:val="009204C9"/>
    <w:rsid w:val="009219CD"/>
    <w:rsid w:val="009223C0"/>
    <w:rsid w:val="00931C4E"/>
    <w:rsid w:val="00935422"/>
    <w:rsid w:val="00944261"/>
    <w:rsid w:val="009517AA"/>
    <w:rsid w:val="00957BDC"/>
    <w:rsid w:val="0097672F"/>
    <w:rsid w:val="00985D4E"/>
    <w:rsid w:val="0098675F"/>
    <w:rsid w:val="00994013"/>
    <w:rsid w:val="009B76FB"/>
    <w:rsid w:val="009C5517"/>
    <w:rsid w:val="00A026DC"/>
    <w:rsid w:val="00A1377D"/>
    <w:rsid w:val="00A14EF4"/>
    <w:rsid w:val="00A15DD4"/>
    <w:rsid w:val="00A16121"/>
    <w:rsid w:val="00A22CB1"/>
    <w:rsid w:val="00A25B34"/>
    <w:rsid w:val="00A269D0"/>
    <w:rsid w:val="00A37744"/>
    <w:rsid w:val="00A41365"/>
    <w:rsid w:val="00A4461B"/>
    <w:rsid w:val="00A546F4"/>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23C0D"/>
    <w:rsid w:val="00B30B65"/>
    <w:rsid w:val="00B32CB5"/>
    <w:rsid w:val="00B371CD"/>
    <w:rsid w:val="00B42804"/>
    <w:rsid w:val="00B432CF"/>
    <w:rsid w:val="00B47476"/>
    <w:rsid w:val="00B64959"/>
    <w:rsid w:val="00B66C34"/>
    <w:rsid w:val="00B76D52"/>
    <w:rsid w:val="00B86363"/>
    <w:rsid w:val="00B95697"/>
    <w:rsid w:val="00BA406A"/>
    <w:rsid w:val="00BB5BF0"/>
    <w:rsid w:val="00BD5035"/>
    <w:rsid w:val="00BD61C0"/>
    <w:rsid w:val="00BE037B"/>
    <w:rsid w:val="00BF5AFD"/>
    <w:rsid w:val="00BF6F45"/>
    <w:rsid w:val="00C02820"/>
    <w:rsid w:val="00C07B3F"/>
    <w:rsid w:val="00C12BCB"/>
    <w:rsid w:val="00C271BF"/>
    <w:rsid w:val="00C33993"/>
    <w:rsid w:val="00C415C9"/>
    <w:rsid w:val="00C450B6"/>
    <w:rsid w:val="00C512A0"/>
    <w:rsid w:val="00C63645"/>
    <w:rsid w:val="00C70CDA"/>
    <w:rsid w:val="00C75495"/>
    <w:rsid w:val="00C758C7"/>
    <w:rsid w:val="00C819D0"/>
    <w:rsid w:val="00C874FD"/>
    <w:rsid w:val="00C95C49"/>
    <w:rsid w:val="00CA1241"/>
    <w:rsid w:val="00CA4E0B"/>
    <w:rsid w:val="00CB3199"/>
    <w:rsid w:val="00CB6F49"/>
    <w:rsid w:val="00CC29EF"/>
    <w:rsid w:val="00CD72B5"/>
    <w:rsid w:val="00CE22E6"/>
    <w:rsid w:val="00CE2628"/>
    <w:rsid w:val="00CE4BA4"/>
    <w:rsid w:val="00CF75BF"/>
    <w:rsid w:val="00D0639D"/>
    <w:rsid w:val="00D15DEB"/>
    <w:rsid w:val="00D3381C"/>
    <w:rsid w:val="00D413DF"/>
    <w:rsid w:val="00D44753"/>
    <w:rsid w:val="00D44DD8"/>
    <w:rsid w:val="00D63777"/>
    <w:rsid w:val="00D6774D"/>
    <w:rsid w:val="00D707A9"/>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772EB"/>
    <w:rsid w:val="00E83506"/>
    <w:rsid w:val="00E87670"/>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54634"/>
    <w:rsid w:val="00F62109"/>
    <w:rsid w:val="00F6345B"/>
    <w:rsid w:val="00F63979"/>
    <w:rsid w:val="00F85EDE"/>
    <w:rsid w:val="00F902E4"/>
    <w:rsid w:val="00F93728"/>
    <w:rsid w:val="00F969F9"/>
    <w:rsid w:val="00FA30D8"/>
    <w:rsid w:val="00FA7148"/>
    <w:rsid w:val="00FB6359"/>
    <w:rsid w:val="00FD09E2"/>
    <w:rsid w:val="00FE4AF6"/>
    <w:rsid w:val="00FF4126"/>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63BC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39"/>
    <w:rsid w:val="00F54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4">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831916790">
      <w:bodyDiv w:val="1"/>
      <w:marLeft w:val="0"/>
      <w:marRight w:val="0"/>
      <w:marTop w:val="0"/>
      <w:marBottom w:val="0"/>
      <w:divBdr>
        <w:top w:val="none" w:sz="0" w:space="0" w:color="auto"/>
        <w:left w:val="none" w:sz="0" w:space="0" w:color="auto"/>
        <w:bottom w:val="none" w:sz="0" w:space="0" w:color="auto"/>
        <w:right w:val="none" w:sz="0" w:space="0" w:color="auto"/>
      </w:divBdr>
    </w:div>
    <w:div w:id="840504710">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531870575">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823309804">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en/news-events/operational-adjustments-covid-19.html" TargetMode="External"/><Relationship Id="rId13" Type="http://schemas.openxmlformats.org/officeDocument/2006/relationships/hyperlink" Target="https://alapublishing.webex.com/recordingservice/sites/alapublishing/recording/48c89c8452f24161aadc2ee1371527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ericanlibrariesmagazine.org/blogs/the-scoop/pla-2020-closing-in-cens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librariesmagazine.org/blogs/the-scoop/2020-census-covid-19/" TargetMode="External"/><Relationship Id="rId5" Type="http://schemas.openxmlformats.org/officeDocument/2006/relationships/webSettings" Target="webSettings.xml"/><Relationship Id="rId15" Type="http://schemas.openxmlformats.org/officeDocument/2006/relationships/hyperlink" Target="http://www.ala.org/pla/awards/" TargetMode="External"/><Relationship Id="rId10" Type="http://schemas.openxmlformats.org/officeDocument/2006/relationships/hyperlink" Target="http://www.ala.org/news/member-news/2019/12/ala-awards-more-100000-59-library-census-equity-fund-grant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a.org/census" TargetMode="External"/><Relationship Id="rId14" Type="http://schemas.openxmlformats.org/officeDocument/2006/relationships/hyperlink" Target="http://www.ala.org/news/press-releases/2020/03/public-library-association-announces-2020-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9276-1B9C-4C67-A2A9-54C9F6F1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12</cp:revision>
  <dcterms:created xsi:type="dcterms:W3CDTF">2020-02-14T19:42:00Z</dcterms:created>
  <dcterms:modified xsi:type="dcterms:W3CDTF">2020-04-21T18:09:00Z</dcterms:modified>
</cp:coreProperties>
</file>