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2D9E" w14:textId="2BD94130" w:rsidR="00EB527F" w:rsidRPr="00BE7E5D" w:rsidRDefault="00EB527F" w:rsidP="00EB527F">
      <w:pPr>
        <w:rPr>
          <w:sz w:val="24"/>
          <w:szCs w:val="24"/>
        </w:rPr>
      </w:pPr>
      <w:r w:rsidRPr="00BE7E5D">
        <w:rPr>
          <w:b/>
          <w:sz w:val="24"/>
          <w:szCs w:val="24"/>
        </w:rPr>
        <w:t xml:space="preserve">TO: </w:t>
      </w:r>
      <w:r w:rsidRPr="00BE7E5D">
        <w:rPr>
          <w:b/>
          <w:sz w:val="24"/>
          <w:szCs w:val="24"/>
        </w:rPr>
        <w:tab/>
      </w:r>
      <w:r w:rsidRPr="00BE7E5D">
        <w:rPr>
          <w:b/>
          <w:sz w:val="24"/>
          <w:szCs w:val="24"/>
        </w:rPr>
        <w:tab/>
      </w:r>
      <w:r w:rsidRPr="00BE7E5D">
        <w:rPr>
          <w:bCs/>
          <w:sz w:val="24"/>
          <w:szCs w:val="24"/>
        </w:rPr>
        <w:t>PLA Board of Directors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Angela Maycock, Manager of Continuing Education, </w:t>
      </w:r>
      <w:hyperlink r:id="rId7" w:history="1">
        <w:r w:rsidRPr="009624B1">
          <w:rPr>
            <w:rStyle w:val="Hyperlink"/>
            <w:sz w:val="24"/>
            <w:szCs w:val="24"/>
          </w:rPr>
          <w:t>amaycock@ala.org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E7E5D">
        <w:rPr>
          <w:b/>
          <w:sz w:val="24"/>
          <w:szCs w:val="24"/>
        </w:rPr>
        <w:t>RE:</w:t>
      </w:r>
      <w:r w:rsidRPr="00BE7E5D">
        <w:rPr>
          <w:sz w:val="24"/>
          <w:szCs w:val="24"/>
        </w:rPr>
        <w:tab/>
      </w:r>
      <w:r w:rsidRPr="00BE7E5D">
        <w:rPr>
          <w:sz w:val="24"/>
          <w:szCs w:val="24"/>
        </w:rPr>
        <w:tab/>
      </w:r>
      <w:r w:rsidR="009D3CE3">
        <w:rPr>
          <w:sz w:val="24"/>
          <w:szCs w:val="24"/>
        </w:rPr>
        <w:t>Continuing Education</w:t>
      </w:r>
      <w:r>
        <w:rPr>
          <w:sz w:val="24"/>
          <w:szCs w:val="24"/>
        </w:rPr>
        <w:br/>
      </w:r>
      <w:r w:rsidRPr="00BE7E5D">
        <w:rPr>
          <w:b/>
          <w:sz w:val="24"/>
          <w:szCs w:val="24"/>
        </w:rPr>
        <w:t>DATE:</w:t>
      </w:r>
      <w:r w:rsidRPr="00BE7E5D">
        <w:rPr>
          <w:sz w:val="24"/>
          <w:szCs w:val="24"/>
        </w:rPr>
        <w:tab/>
      </w:r>
      <w:r w:rsidRPr="00BE7E5D">
        <w:rPr>
          <w:sz w:val="24"/>
          <w:szCs w:val="24"/>
        </w:rPr>
        <w:tab/>
      </w:r>
      <w:r w:rsidR="00362DEC">
        <w:rPr>
          <w:sz w:val="24"/>
          <w:szCs w:val="24"/>
        </w:rPr>
        <w:t>September 2</w:t>
      </w:r>
      <w:r w:rsidR="009D3CE3">
        <w:rPr>
          <w:sz w:val="24"/>
          <w:szCs w:val="24"/>
        </w:rPr>
        <w:t>9</w:t>
      </w:r>
      <w:r w:rsidR="00362DEC">
        <w:rPr>
          <w:sz w:val="24"/>
          <w:szCs w:val="24"/>
        </w:rPr>
        <w:t>, 2019</w:t>
      </w:r>
    </w:p>
    <w:p w14:paraId="13C7E3B0" w14:textId="77777777" w:rsidR="00EB527F" w:rsidRPr="00BE7E5D" w:rsidRDefault="00EB527F" w:rsidP="00EB527F">
      <w:pPr>
        <w:rPr>
          <w:sz w:val="24"/>
          <w:szCs w:val="24"/>
        </w:rPr>
      </w:pPr>
      <w:r w:rsidRPr="00BE7E5D">
        <w:rPr>
          <w:b/>
          <w:sz w:val="24"/>
          <w:szCs w:val="24"/>
        </w:rPr>
        <w:t>ACTION REQUESTED/INFORMATION/REPORT:</w:t>
      </w:r>
      <w:r w:rsidRPr="00BE7E5D">
        <w:rPr>
          <w:sz w:val="24"/>
          <w:szCs w:val="24"/>
        </w:rPr>
        <w:tab/>
        <w:t>Report</w:t>
      </w:r>
      <w:bookmarkStart w:id="0" w:name="_GoBack"/>
      <w:bookmarkEnd w:id="0"/>
      <w:r>
        <w:rPr>
          <w:i/>
          <w:szCs w:val="24"/>
        </w:rPr>
        <w:br/>
      </w:r>
      <w:r w:rsidRPr="00BE7E5D">
        <w:rPr>
          <w:rFonts w:ascii="Calibri" w:hAnsi="Calibri"/>
          <w:b/>
          <w:sz w:val="24"/>
          <w:szCs w:val="24"/>
        </w:rPr>
        <w:t>ACTION REQUESTED BY</w:t>
      </w:r>
      <w:r w:rsidRPr="00BE7E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Pr="00BE7E5D">
        <w:rPr>
          <w:b/>
          <w:sz w:val="24"/>
          <w:szCs w:val="24"/>
        </w:rPr>
        <w:t xml:space="preserve">DRAFT OF MOTION: </w:t>
      </w:r>
      <w:r w:rsidRPr="00BE7E5D">
        <w:rPr>
          <w:sz w:val="24"/>
          <w:szCs w:val="24"/>
        </w:rPr>
        <w:tab/>
        <w:t>N/A</w:t>
      </w:r>
    </w:p>
    <w:p w14:paraId="76768FE1" w14:textId="4FDC3141" w:rsidR="00EB527F" w:rsidRDefault="00EB527F" w:rsidP="00EB527F">
      <w:pPr>
        <w:rPr>
          <w:sz w:val="24"/>
          <w:szCs w:val="24"/>
        </w:rPr>
      </w:pPr>
      <w:r>
        <w:rPr>
          <w:b/>
          <w:sz w:val="24"/>
          <w:szCs w:val="24"/>
        </w:rPr>
        <w:t>OVERVIEW</w:t>
      </w:r>
      <w:r>
        <w:rPr>
          <w:sz w:val="24"/>
          <w:szCs w:val="24"/>
        </w:rPr>
        <w:br/>
        <w:t xml:space="preserve">This report covers </w:t>
      </w:r>
      <w:r w:rsidR="0085032B">
        <w:rPr>
          <w:sz w:val="24"/>
          <w:szCs w:val="24"/>
        </w:rPr>
        <w:t xml:space="preserve">evaluation results from </w:t>
      </w:r>
      <w:r w:rsidRPr="00C749C9">
        <w:rPr>
          <w:sz w:val="24"/>
          <w:szCs w:val="24"/>
        </w:rPr>
        <w:t xml:space="preserve">PLA educational programming at the 2019 ALA Annual Conference </w:t>
      </w:r>
      <w:r w:rsidR="009B2E7E">
        <w:rPr>
          <w:sz w:val="24"/>
          <w:szCs w:val="24"/>
        </w:rPr>
        <w:t xml:space="preserve">as well as </w:t>
      </w:r>
      <w:r>
        <w:rPr>
          <w:sz w:val="24"/>
          <w:szCs w:val="24"/>
        </w:rPr>
        <w:t>PLA o</w:t>
      </w:r>
      <w:r w:rsidRPr="00C749C9">
        <w:rPr>
          <w:sz w:val="24"/>
          <w:szCs w:val="24"/>
        </w:rPr>
        <w:t xml:space="preserve">nline </w:t>
      </w:r>
      <w:r>
        <w:rPr>
          <w:sz w:val="24"/>
          <w:szCs w:val="24"/>
        </w:rPr>
        <w:t>l</w:t>
      </w:r>
      <w:r w:rsidRPr="00C749C9">
        <w:rPr>
          <w:sz w:val="24"/>
          <w:szCs w:val="24"/>
        </w:rPr>
        <w:t>earning</w:t>
      </w:r>
      <w:r>
        <w:rPr>
          <w:sz w:val="24"/>
          <w:szCs w:val="24"/>
        </w:rPr>
        <w:t>.</w:t>
      </w:r>
    </w:p>
    <w:p w14:paraId="3D7AACBD" w14:textId="77777777" w:rsidR="00EB527F" w:rsidRPr="004846F0" w:rsidRDefault="00EB527F" w:rsidP="00EB527F">
      <w:pPr>
        <w:rPr>
          <w:b/>
          <w:sz w:val="24"/>
          <w:szCs w:val="24"/>
        </w:rPr>
      </w:pPr>
      <w:r w:rsidRPr="004846F0">
        <w:rPr>
          <w:b/>
          <w:sz w:val="24"/>
          <w:szCs w:val="24"/>
        </w:rPr>
        <w:t>KEY CURRENT ACTIVITIES</w:t>
      </w:r>
      <w:r>
        <w:rPr>
          <w:b/>
          <w:sz w:val="24"/>
          <w:szCs w:val="24"/>
        </w:rPr>
        <w:t>/METRICS</w:t>
      </w:r>
    </w:p>
    <w:p w14:paraId="201CEBA0" w14:textId="2B82F77B" w:rsidR="00E46215" w:rsidRDefault="00EB527F" w:rsidP="00E46215">
      <w:pPr>
        <w:rPr>
          <w:sz w:val="24"/>
          <w:szCs w:val="24"/>
        </w:rPr>
      </w:pPr>
      <w:r w:rsidRPr="003716BB">
        <w:rPr>
          <w:b/>
          <w:sz w:val="24"/>
          <w:szCs w:val="24"/>
        </w:rPr>
        <w:t>PLA @ ALA Annual Conference</w:t>
      </w:r>
      <w:r>
        <w:rPr>
          <w:b/>
          <w:sz w:val="24"/>
          <w:szCs w:val="24"/>
        </w:rPr>
        <w:br/>
      </w:r>
      <w:r w:rsidR="00E46215">
        <w:rPr>
          <w:sz w:val="24"/>
          <w:szCs w:val="24"/>
        </w:rPr>
        <w:t>At the 2019 ALA Annual Conference in Washington, DC, PLA offer</w:t>
      </w:r>
      <w:r w:rsidR="003223F5">
        <w:rPr>
          <w:sz w:val="24"/>
          <w:szCs w:val="24"/>
        </w:rPr>
        <w:t>ed</w:t>
      </w:r>
      <w:r w:rsidR="00E46215">
        <w:rPr>
          <w:sz w:val="24"/>
          <w:szCs w:val="24"/>
        </w:rPr>
        <w:t xml:space="preserve"> a half-day preconference</w:t>
      </w:r>
      <w:r w:rsidR="00474B9D">
        <w:rPr>
          <w:sz w:val="24"/>
          <w:szCs w:val="24"/>
        </w:rPr>
        <w:t xml:space="preserve"> for 72 attendees</w:t>
      </w:r>
      <w:r w:rsidR="00E46215">
        <w:rPr>
          <w:sz w:val="24"/>
          <w:szCs w:val="24"/>
        </w:rPr>
        <w:t xml:space="preserve"> titled, “</w:t>
      </w:r>
      <w:r w:rsidR="00E46215" w:rsidRPr="004805AD">
        <w:rPr>
          <w:sz w:val="24"/>
          <w:szCs w:val="24"/>
        </w:rPr>
        <w:t>Librarians and Social Workers: Partnerships that Work for Connecting People in Need”</w:t>
      </w:r>
      <w:r w:rsidR="00E46215">
        <w:rPr>
          <w:sz w:val="24"/>
          <w:szCs w:val="24"/>
        </w:rPr>
        <w:t xml:space="preserve"> </w:t>
      </w:r>
      <w:r w:rsidR="003223F5">
        <w:rPr>
          <w:sz w:val="24"/>
          <w:szCs w:val="24"/>
        </w:rPr>
        <w:t>along with 17 PLA sponsored programs</w:t>
      </w:r>
      <w:r w:rsidR="00E46215">
        <w:rPr>
          <w:sz w:val="24"/>
          <w:szCs w:val="24"/>
        </w:rPr>
        <w:t xml:space="preserve">. </w:t>
      </w:r>
      <w:r w:rsidR="00474B9D">
        <w:rPr>
          <w:sz w:val="24"/>
          <w:szCs w:val="24"/>
        </w:rPr>
        <w:t>A</w:t>
      </w:r>
      <w:r w:rsidR="00972104">
        <w:rPr>
          <w:sz w:val="24"/>
          <w:szCs w:val="24"/>
        </w:rPr>
        <w:t xml:space="preserve">ttendance at </w:t>
      </w:r>
      <w:r w:rsidR="00DA4149">
        <w:rPr>
          <w:sz w:val="24"/>
          <w:szCs w:val="24"/>
        </w:rPr>
        <w:t xml:space="preserve">all </w:t>
      </w:r>
      <w:r w:rsidR="00972104">
        <w:rPr>
          <w:sz w:val="24"/>
          <w:szCs w:val="24"/>
        </w:rPr>
        <w:t>PLA sponsored educational programming in DC</w:t>
      </w:r>
      <w:r w:rsidR="00972104" w:rsidRPr="00972104">
        <w:rPr>
          <w:sz w:val="24"/>
          <w:szCs w:val="24"/>
        </w:rPr>
        <w:t xml:space="preserve"> </w:t>
      </w:r>
      <w:r w:rsidR="00DA4149">
        <w:rPr>
          <w:sz w:val="24"/>
          <w:szCs w:val="24"/>
        </w:rPr>
        <w:t>(</w:t>
      </w:r>
      <w:r w:rsidR="00DA4149" w:rsidRPr="00972104">
        <w:rPr>
          <w:sz w:val="24"/>
          <w:szCs w:val="24"/>
        </w:rPr>
        <w:t>programs and preconference</w:t>
      </w:r>
      <w:r w:rsidR="00DA4149">
        <w:rPr>
          <w:sz w:val="24"/>
          <w:szCs w:val="24"/>
        </w:rPr>
        <w:t xml:space="preserve">) </w:t>
      </w:r>
      <w:r w:rsidR="00972104" w:rsidRPr="00972104">
        <w:rPr>
          <w:sz w:val="24"/>
          <w:szCs w:val="24"/>
        </w:rPr>
        <w:t>totaled 2,517.</w:t>
      </w:r>
      <w:r w:rsidR="00DA4149">
        <w:rPr>
          <w:sz w:val="24"/>
          <w:szCs w:val="24"/>
        </w:rPr>
        <w:t xml:space="preserve"> PLA used Project Outcome based paper surveys to evaluate</w:t>
      </w:r>
      <w:r w:rsidR="00972104">
        <w:rPr>
          <w:sz w:val="24"/>
          <w:szCs w:val="24"/>
        </w:rPr>
        <w:t xml:space="preserve"> </w:t>
      </w:r>
      <w:r w:rsidR="00DA4149">
        <w:rPr>
          <w:sz w:val="24"/>
          <w:szCs w:val="24"/>
        </w:rPr>
        <w:t xml:space="preserve">its </w:t>
      </w:r>
      <w:r w:rsidR="00DA4149" w:rsidRPr="00972104">
        <w:rPr>
          <w:sz w:val="24"/>
          <w:szCs w:val="24"/>
        </w:rPr>
        <w:t>programs and preconference</w:t>
      </w:r>
      <w:r w:rsidR="00DA4149">
        <w:rPr>
          <w:sz w:val="24"/>
          <w:szCs w:val="24"/>
        </w:rPr>
        <w:t xml:space="preserve"> at Annual Conference. </w:t>
      </w:r>
      <w:r w:rsidR="00972104">
        <w:rPr>
          <w:sz w:val="24"/>
          <w:szCs w:val="24"/>
        </w:rPr>
        <w:t>See attached memo for f</w:t>
      </w:r>
      <w:r w:rsidR="003223F5">
        <w:rPr>
          <w:sz w:val="24"/>
          <w:szCs w:val="24"/>
        </w:rPr>
        <w:t>ull attendance and evaluation results.</w:t>
      </w:r>
    </w:p>
    <w:p w14:paraId="555EE6FE" w14:textId="3296E180" w:rsidR="00A45610" w:rsidRPr="003223F5" w:rsidRDefault="00C06BE3" w:rsidP="008B36DD">
      <w:pPr>
        <w:rPr>
          <w:b/>
          <w:sz w:val="24"/>
          <w:szCs w:val="24"/>
        </w:rPr>
      </w:pPr>
      <w:r w:rsidRPr="003716BB">
        <w:rPr>
          <w:b/>
          <w:sz w:val="24"/>
          <w:szCs w:val="24"/>
        </w:rPr>
        <w:t>PLA 2020 Conference</w:t>
      </w:r>
      <w:r w:rsidR="00EB527F">
        <w:rPr>
          <w:b/>
          <w:sz w:val="24"/>
          <w:szCs w:val="24"/>
        </w:rPr>
        <w:br/>
      </w:r>
      <w:r w:rsidR="0038538D">
        <w:rPr>
          <w:sz w:val="24"/>
          <w:szCs w:val="24"/>
        </w:rPr>
        <w:t>See PLA 2020 Report for update on programming</w:t>
      </w:r>
      <w:r w:rsidR="00C62971">
        <w:rPr>
          <w:sz w:val="24"/>
          <w:szCs w:val="24"/>
        </w:rPr>
        <w:t xml:space="preserve"> for the PLA 2020 Conference in Nashville.</w:t>
      </w:r>
    </w:p>
    <w:p w14:paraId="23E32CE4" w14:textId="54C3CABD" w:rsidR="00C06BE3" w:rsidRPr="00D435A9" w:rsidRDefault="00C06BE3" w:rsidP="008B36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 </w:t>
      </w:r>
      <w:r w:rsidRPr="003716BB">
        <w:rPr>
          <w:b/>
          <w:sz w:val="24"/>
          <w:szCs w:val="24"/>
        </w:rPr>
        <w:t>Online Learning</w:t>
      </w:r>
      <w:r w:rsidR="00EB527F">
        <w:rPr>
          <w:b/>
          <w:sz w:val="24"/>
          <w:szCs w:val="24"/>
        </w:rPr>
        <w:br/>
      </w:r>
      <w:r w:rsidRPr="00D435A9">
        <w:rPr>
          <w:sz w:val="24"/>
          <w:szCs w:val="24"/>
        </w:rPr>
        <w:t xml:space="preserve">Since our last update to the Board in </w:t>
      </w:r>
      <w:r w:rsidR="002C54AE">
        <w:rPr>
          <w:sz w:val="24"/>
          <w:szCs w:val="24"/>
        </w:rPr>
        <w:t>May</w:t>
      </w:r>
      <w:r>
        <w:rPr>
          <w:sz w:val="24"/>
          <w:szCs w:val="24"/>
        </w:rPr>
        <w:t xml:space="preserve"> 2019</w:t>
      </w:r>
      <w:r w:rsidRPr="00D435A9">
        <w:rPr>
          <w:sz w:val="24"/>
          <w:szCs w:val="24"/>
        </w:rPr>
        <w:t>, PLA has offered the following free webinars: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142"/>
        <w:gridCol w:w="1593"/>
      </w:tblGrid>
      <w:tr w:rsidR="00C06BE3" w:rsidRPr="002C0A21" w14:paraId="4A8B3263" w14:textId="77777777" w:rsidTr="00391AF9">
        <w:tc>
          <w:tcPr>
            <w:tcW w:w="1615" w:type="dxa"/>
          </w:tcPr>
          <w:p w14:paraId="5D3DE16C" w14:textId="77777777" w:rsidR="00C06BE3" w:rsidRPr="002C0A21" w:rsidRDefault="00C06BE3" w:rsidP="003922AC">
            <w:pPr>
              <w:rPr>
                <w:rFonts w:cstheme="minorHAnsi"/>
                <w:b/>
                <w:sz w:val="24"/>
                <w:szCs w:val="24"/>
              </w:rPr>
            </w:pPr>
            <w:r w:rsidRPr="002C0A2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142" w:type="dxa"/>
          </w:tcPr>
          <w:p w14:paraId="29FDC7B9" w14:textId="77777777" w:rsidR="00C06BE3" w:rsidRPr="002C0A21" w:rsidRDefault="00C06BE3" w:rsidP="003922AC">
            <w:pPr>
              <w:rPr>
                <w:rFonts w:cstheme="minorHAnsi"/>
                <w:b/>
                <w:sz w:val="24"/>
                <w:szCs w:val="24"/>
              </w:rPr>
            </w:pPr>
            <w:r w:rsidRPr="002C0A2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593" w:type="dxa"/>
          </w:tcPr>
          <w:p w14:paraId="07E3D5BC" w14:textId="77777777" w:rsidR="00C06BE3" w:rsidRPr="002C0A21" w:rsidRDefault="00C06BE3" w:rsidP="003922AC">
            <w:pPr>
              <w:rPr>
                <w:rFonts w:cstheme="minorHAnsi"/>
                <w:b/>
                <w:sz w:val="24"/>
                <w:szCs w:val="24"/>
              </w:rPr>
            </w:pPr>
            <w:r w:rsidRPr="002C0A21">
              <w:rPr>
                <w:rFonts w:cstheme="minorHAnsi"/>
                <w:b/>
                <w:sz w:val="24"/>
                <w:szCs w:val="24"/>
              </w:rPr>
              <w:t>Registration</w:t>
            </w:r>
          </w:p>
        </w:tc>
      </w:tr>
      <w:tr w:rsidR="00C06BE3" w:rsidRPr="002C0A21" w14:paraId="16325381" w14:textId="77777777" w:rsidTr="00391AF9">
        <w:tc>
          <w:tcPr>
            <w:tcW w:w="1615" w:type="dxa"/>
          </w:tcPr>
          <w:p w14:paraId="5918D66E" w14:textId="6527FB0A" w:rsidR="00C06BE3" w:rsidRPr="002C0A21" w:rsidRDefault="002C54AE" w:rsidP="00392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</w:t>
            </w:r>
            <w:r w:rsidR="001F329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14:paraId="28E72B54" w14:textId="2ED91035" w:rsidR="00C06BE3" w:rsidRPr="002C0A21" w:rsidRDefault="002C54AE" w:rsidP="003922AC">
            <w:pPr>
              <w:rPr>
                <w:rFonts w:cstheme="minorHAnsi"/>
                <w:sz w:val="24"/>
                <w:szCs w:val="24"/>
              </w:rPr>
            </w:pPr>
            <w:r w:rsidRPr="00AF3C6C">
              <w:rPr>
                <w:sz w:val="24"/>
                <w:szCs w:val="24"/>
              </w:rPr>
              <w:t>The Public Library</w:t>
            </w:r>
            <w:r>
              <w:rPr>
                <w:sz w:val="24"/>
                <w:szCs w:val="24"/>
              </w:rPr>
              <w:t>’</w:t>
            </w:r>
            <w:r w:rsidRPr="00AF3C6C">
              <w:rPr>
                <w:sz w:val="24"/>
                <w:szCs w:val="24"/>
              </w:rPr>
              <w:t>s Role during Elections: Voter Education in the Age of Misinformation</w:t>
            </w:r>
          </w:p>
        </w:tc>
        <w:tc>
          <w:tcPr>
            <w:tcW w:w="1593" w:type="dxa"/>
          </w:tcPr>
          <w:p w14:paraId="47760889" w14:textId="2B1B95D2" w:rsidR="00C06BE3" w:rsidRPr="002C0A21" w:rsidRDefault="002C54AE" w:rsidP="00392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</w:t>
            </w:r>
          </w:p>
        </w:tc>
      </w:tr>
      <w:tr w:rsidR="00C06BE3" w:rsidRPr="002C0A21" w14:paraId="076F37C5" w14:textId="77777777" w:rsidTr="00391AF9">
        <w:tc>
          <w:tcPr>
            <w:tcW w:w="1615" w:type="dxa"/>
          </w:tcPr>
          <w:p w14:paraId="23BA2646" w14:textId="3386693E" w:rsidR="00C06BE3" w:rsidRPr="002C0A21" w:rsidRDefault="00391AF9" w:rsidP="00392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30</w:t>
            </w:r>
          </w:p>
        </w:tc>
        <w:tc>
          <w:tcPr>
            <w:tcW w:w="6142" w:type="dxa"/>
          </w:tcPr>
          <w:p w14:paraId="375B1DED" w14:textId="3DB66F5D" w:rsidR="00C06BE3" w:rsidRPr="002C0A21" w:rsidRDefault="00391AF9" w:rsidP="00392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1AF9">
              <w:rPr>
                <w:rFonts w:cstheme="minorHAnsi"/>
                <w:sz w:val="24"/>
                <w:szCs w:val="24"/>
              </w:rPr>
              <w:t>DigitalLead</w:t>
            </w:r>
            <w:proofErr w:type="spellEnd"/>
            <w:r w:rsidRPr="00391AF9">
              <w:rPr>
                <w:rFonts w:cstheme="minorHAnsi"/>
                <w:sz w:val="24"/>
                <w:szCs w:val="24"/>
              </w:rPr>
              <w:t xml:space="preserve"> Hotspot Lending</w:t>
            </w:r>
          </w:p>
        </w:tc>
        <w:tc>
          <w:tcPr>
            <w:tcW w:w="1593" w:type="dxa"/>
          </w:tcPr>
          <w:p w14:paraId="3D97E66A" w14:textId="1ADB05B3" w:rsidR="00C06BE3" w:rsidRPr="002C0A21" w:rsidRDefault="00391AF9" w:rsidP="003922AC">
            <w:pPr>
              <w:rPr>
                <w:rFonts w:cstheme="minorHAnsi"/>
                <w:sz w:val="24"/>
                <w:szCs w:val="24"/>
              </w:rPr>
            </w:pPr>
            <w:r w:rsidRPr="00391AF9">
              <w:rPr>
                <w:rFonts w:cstheme="minorHAnsi"/>
                <w:sz w:val="24"/>
                <w:szCs w:val="24"/>
              </w:rPr>
              <w:t>721</w:t>
            </w:r>
          </w:p>
        </w:tc>
      </w:tr>
      <w:tr w:rsidR="00391AF9" w:rsidRPr="002C0A21" w14:paraId="6302340F" w14:textId="77777777" w:rsidTr="00391AF9">
        <w:tc>
          <w:tcPr>
            <w:tcW w:w="1615" w:type="dxa"/>
          </w:tcPr>
          <w:p w14:paraId="2D799E69" w14:textId="3F635AD3" w:rsidR="00391AF9" w:rsidRDefault="00391AF9" w:rsidP="00392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 15</w:t>
            </w:r>
          </w:p>
        </w:tc>
        <w:tc>
          <w:tcPr>
            <w:tcW w:w="6142" w:type="dxa"/>
          </w:tcPr>
          <w:p w14:paraId="2DBEFBC3" w14:textId="72F0DAF3" w:rsidR="00391AF9" w:rsidRPr="00391AF9" w:rsidRDefault="00391AF9" w:rsidP="003922AC">
            <w:pPr>
              <w:rPr>
                <w:rFonts w:cstheme="minorHAnsi"/>
                <w:sz w:val="24"/>
                <w:szCs w:val="24"/>
              </w:rPr>
            </w:pPr>
            <w:r w:rsidRPr="00391A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roject </w:t>
            </w:r>
            <w:r w:rsidRPr="00391AF9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utcome:</w:t>
            </w:r>
            <w:r w:rsidRPr="00391AF9">
              <w:rPr>
                <w:rFonts w:cstheme="minorHAnsi"/>
                <w:sz w:val="24"/>
                <w:szCs w:val="24"/>
              </w:rPr>
              <w:t xml:space="preserve"> Learning Good Data Visualization</w:t>
            </w:r>
          </w:p>
        </w:tc>
        <w:tc>
          <w:tcPr>
            <w:tcW w:w="1593" w:type="dxa"/>
          </w:tcPr>
          <w:p w14:paraId="12CD249C" w14:textId="19E4A093" w:rsidR="00391AF9" w:rsidRPr="00391AF9" w:rsidRDefault="00391AF9" w:rsidP="003922AC">
            <w:pPr>
              <w:rPr>
                <w:rFonts w:cstheme="minorHAnsi"/>
                <w:sz w:val="24"/>
                <w:szCs w:val="24"/>
              </w:rPr>
            </w:pPr>
            <w:r w:rsidRPr="00391AF9">
              <w:rPr>
                <w:rFonts w:cstheme="minorHAnsi"/>
                <w:sz w:val="24"/>
                <w:szCs w:val="24"/>
              </w:rPr>
              <w:t>1009</w:t>
            </w:r>
          </w:p>
        </w:tc>
      </w:tr>
      <w:tr w:rsidR="00391AF9" w:rsidRPr="002C0A21" w14:paraId="1C89F8B5" w14:textId="77777777" w:rsidTr="00391AF9">
        <w:tc>
          <w:tcPr>
            <w:tcW w:w="1615" w:type="dxa"/>
          </w:tcPr>
          <w:p w14:paraId="6B3D994C" w14:textId="6B2F87F9" w:rsidR="00391AF9" w:rsidRDefault="00391AF9" w:rsidP="003922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 26</w:t>
            </w:r>
          </w:p>
        </w:tc>
        <w:tc>
          <w:tcPr>
            <w:tcW w:w="6142" w:type="dxa"/>
          </w:tcPr>
          <w:p w14:paraId="352EE52E" w14:textId="4F902C70" w:rsidR="00391AF9" w:rsidRPr="00391AF9" w:rsidRDefault="00391AF9" w:rsidP="00392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1AF9">
              <w:rPr>
                <w:rFonts w:cstheme="minorHAnsi"/>
                <w:sz w:val="24"/>
                <w:szCs w:val="24"/>
              </w:rPr>
              <w:t>DigitalLead</w:t>
            </w:r>
            <w:proofErr w:type="spellEnd"/>
            <w:r w:rsidRPr="00391AF9">
              <w:rPr>
                <w:rFonts w:cstheme="minorHAnsi"/>
                <w:sz w:val="24"/>
                <w:szCs w:val="24"/>
              </w:rPr>
              <w:t xml:space="preserve"> Building Digital Skills</w:t>
            </w:r>
          </w:p>
        </w:tc>
        <w:tc>
          <w:tcPr>
            <w:tcW w:w="1593" w:type="dxa"/>
          </w:tcPr>
          <w:p w14:paraId="631AF731" w14:textId="6905B3A7" w:rsidR="00391AF9" w:rsidRPr="00391AF9" w:rsidRDefault="00391AF9" w:rsidP="003922AC">
            <w:pPr>
              <w:rPr>
                <w:rFonts w:cstheme="minorHAnsi"/>
                <w:sz w:val="24"/>
                <w:szCs w:val="24"/>
              </w:rPr>
            </w:pPr>
            <w:r w:rsidRPr="00391AF9">
              <w:rPr>
                <w:rFonts w:cstheme="minorHAnsi"/>
                <w:sz w:val="24"/>
                <w:szCs w:val="24"/>
              </w:rPr>
              <w:t>901</w:t>
            </w:r>
          </w:p>
        </w:tc>
      </w:tr>
    </w:tbl>
    <w:p w14:paraId="3017E6CA" w14:textId="34EB529D" w:rsidR="002C54AE" w:rsidRDefault="007337AD" w:rsidP="00E27134">
      <w:pPr>
        <w:rPr>
          <w:sz w:val="24"/>
          <w:szCs w:val="24"/>
        </w:rPr>
      </w:pPr>
      <w:r>
        <w:rPr>
          <w:sz w:val="24"/>
          <w:szCs w:val="24"/>
        </w:rPr>
        <w:t>At the same time</w:t>
      </w:r>
      <w:r w:rsidR="00391AF9">
        <w:rPr>
          <w:sz w:val="24"/>
          <w:szCs w:val="24"/>
        </w:rPr>
        <w:t xml:space="preserve">, PLA has accelerated its paid webinar offerings. </w:t>
      </w:r>
      <w:r w:rsidR="00F51794">
        <w:rPr>
          <w:sz w:val="24"/>
          <w:szCs w:val="24"/>
        </w:rPr>
        <w:t>“</w:t>
      </w:r>
      <w:r w:rsidR="00F51794" w:rsidRPr="00AF3C6C">
        <w:rPr>
          <w:sz w:val="24"/>
          <w:szCs w:val="24"/>
        </w:rPr>
        <w:t>It</w:t>
      </w:r>
      <w:r w:rsidR="002C54AE">
        <w:rPr>
          <w:sz w:val="24"/>
          <w:szCs w:val="24"/>
        </w:rPr>
        <w:t>’</w:t>
      </w:r>
      <w:r w:rsidR="00F51794" w:rsidRPr="00AF3C6C">
        <w:rPr>
          <w:sz w:val="24"/>
          <w:szCs w:val="24"/>
        </w:rPr>
        <w:t>s All in the Data: Unreturned Materials as Barriers to Access</w:t>
      </w:r>
      <w:r w:rsidR="00F51794">
        <w:rPr>
          <w:sz w:val="24"/>
          <w:szCs w:val="24"/>
        </w:rPr>
        <w:t>”</w:t>
      </w:r>
      <w:r w:rsidR="00F51794" w:rsidRPr="00AF3C6C">
        <w:rPr>
          <w:sz w:val="24"/>
          <w:szCs w:val="24"/>
        </w:rPr>
        <w:t xml:space="preserve"> </w:t>
      </w:r>
      <w:r w:rsidR="002C54AE">
        <w:rPr>
          <w:sz w:val="24"/>
          <w:szCs w:val="24"/>
        </w:rPr>
        <w:t>was</w:t>
      </w:r>
      <w:r w:rsidR="00F51794">
        <w:rPr>
          <w:sz w:val="24"/>
          <w:szCs w:val="24"/>
        </w:rPr>
        <w:t xml:space="preserve"> offered </w:t>
      </w:r>
      <w:r w:rsidR="00F51794" w:rsidRPr="00AF3C6C">
        <w:rPr>
          <w:sz w:val="24"/>
          <w:szCs w:val="24"/>
        </w:rPr>
        <w:t>on July 11</w:t>
      </w:r>
      <w:r w:rsidR="002C54AE">
        <w:rPr>
          <w:sz w:val="24"/>
          <w:szCs w:val="24"/>
        </w:rPr>
        <w:t xml:space="preserve"> </w:t>
      </w:r>
      <w:r w:rsidR="00391AF9">
        <w:rPr>
          <w:sz w:val="24"/>
          <w:szCs w:val="24"/>
        </w:rPr>
        <w:t>to</w:t>
      </w:r>
      <w:r w:rsidR="002C54AE">
        <w:rPr>
          <w:sz w:val="24"/>
          <w:szCs w:val="24"/>
        </w:rPr>
        <w:t xml:space="preserve"> 125 </w:t>
      </w:r>
      <w:r w:rsidR="00391AF9">
        <w:rPr>
          <w:sz w:val="24"/>
          <w:szCs w:val="24"/>
        </w:rPr>
        <w:t xml:space="preserve">paid </w:t>
      </w:r>
      <w:r w:rsidR="002C54AE">
        <w:rPr>
          <w:sz w:val="24"/>
          <w:szCs w:val="24"/>
        </w:rPr>
        <w:t>attendees</w:t>
      </w:r>
      <w:r w:rsidR="003137D5">
        <w:rPr>
          <w:sz w:val="24"/>
          <w:szCs w:val="24"/>
        </w:rPr>
        <w:t>,</w:t>
      </w:r>
      <w:r w:rsidR="00391AF9">
        <w:rPr>
          <w:sz w:val="24"/>
          <w:szCs w:val="24"/>
        </w:rPr>
        <w:t xml:space="preserve"> and </w:t>
      </w:r>
      <w:r w:rsidR="002C54AE">
        <w:rPr>
          <w:sz w:val="24"/>
          <w:szCs w:val="24"/>
        </w:rPr>
        <w:t>“</w:t>
      </w:r>
      <w:r w:rsidR="002C54AE" w:rsidRPr="002C54AE">
        <w:rPr>
          <w:sz w:val="24"/>
          <w:szCs w:val="24"/>
        </w:rPr>
        <w:t>Understanding Trauma-Informed Approaches in Public Libraries</w:t>
      </w:r>
      <w:r w:rsidR="002C54AE">
        <w:rPr>
          <w:sz w:val="24"/>
          <w:szCs w:val="24"/>
        </w:rPr>
        <w:t>”</w:t>
      </w:r>
      <w:r w:rsidR="002C54AE" w:rsidRPr="002C54AE">
        <w:rPr>
          <w:sz w:val="24"/>
          <w:szCs w:val="24"/>
        </w:rPr>
        <w:t xml:space="preserve"> </w:t>
      </w:r>
      <w:r w:rsidR="002C54AE">
        <w:rPr>
          <w:sz w:val="24"/>
          <w:szCs w:val="24"/>
        </w:rPr>
        <w:t xml:space="preserve">was offered </w:t>
      </w:r>
      <w:r w:rsidR="002C54AE" w:rsidRPr="00AF3C6C">
        <w:rPr>
          <w:sz w:val="24"/>
          <w:szCs w:val="24"/>
        </w:rPr>
        <w:t xml:space="preserve">on </w:t>
      </w:r>
      <w:r w:rsidR="002C54AE">
        <w:rPr>
          <w:sz w:val="24"/>
          <w:szCs w:val="24"/>
        </w:rPr>
        <w:t xml:space="preserve">September 24 </w:t>
      </w:r>
      <w:r w:rsidR="00391AF9">
        <w:rPr>
          <w:sz w:val="24"/>
          <w:szCs w:val="24"/>
        </w:rPr>
        <w:t xml:space="preserve">to </w:t>
      </w:r>
      <w:r w:rsidR="002C54AE">
        <w:rPr>
          <w:sz w:val="24"/>
          <w:szCs w:val="24"/>
        </w:rPr>
        <w:t xml:space="preserve">117 </w:t>
      </w:r>
      <w:r w:rsidR="00391AF9">
        <w:rPr>
          <w:sz w:val="24"/>
          <w:szCs w:val="24"/>
        </w:rPr>
        <w:t xml:space="preserve">paid </w:t>
      </w:r>
      <w:r w:rsidR="002C54AE">
        <w:rPr>
          <w:sz w:val="24"/>
          <w:szCs w:val="24"/>
        </w:rPr>
        <w:t>attendees</w:t>
      </w:r>
      <w:r w:rsidR="00391AF9">
        <w:rPr>
          <w:sz w:val="24"/>
          <w:szCs w:val="24"/>
        </w:rPr>
        <w:t xml:space="preserve">. </w:t>
      </w:r>
      <w:r w:rsidR="00050106">
        <w:rPr>
          <w:sz w:val="24"/>
          <w:szCs w:val="24"/>
        </w:rPr>
        <w:t>Given these results, PLA will continue to pursue paid webinars, with events planned for October, November, and December 2019 and into 2020.</w:t>
      </w:r>
    </w:p>
    <w:p w14:paraId="13389CC0" w14:textId="3C6A3945" w:rsidR="00DD7317" w:rsidRDefault="005A77A7" w:rsidP="00E271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 will </w:t>
      </w:r>
      <w:r w:rsidR="005712A4">
        <w:rPr>
          <w:sz w:val="24"/>
          <w:szCs w:val="24"/>
        </w:rPr>
        <w:t xml:space="preserve">close its </w:t>
      </w:r>
      <w:r w:rsidR="003137D5">
        <w:rPr>
          <w:sz w:val="24"/>
          <w:szCs w:val="24"/>
        </w:rPr>
        <w:t xml:space="preserve">next </w:t>
      </w:r>
      <w:r w:rsidR="005712A4">
        <w:rPr>
          <w:sz w:val="24"/>
          <w:szCs w:val="24"/>
        </w:rPr>
        <w:t xml:space="preserve">biannual call for webinar proposals on </w:t>
      </w:r>
      <w:r>
        <w:rPr>
          <w:sz w:val="24"/>
          <w:szCs w:val="24"/>
        </w:rPr>
        <w:t>November 30. The last call generated</w:t>
      </w:r>
      <w:r w:rsidR="005712A4">
        <w:rPr>
          <w:sz w:val="24"/>
          <w:szCs w:val="24"/>
        </w:rPr>
        <w:t xml:space="preserve"> 10 proposals that </w:t>
      </w:r>
      <w:r w:rsidR="003137D5">
        <w:rPr>
          <w:sz w:val="24"/>
          <w:szCs w:val="24"/>
        </w:rPr>
        <w:t xml:space="preserve">were </w:t>
      </w:r>
      <w:r w:rsidR="005712A4">
        <w:rPr>
          <w:sz w:val="24"/>
          <w:szCs w:val="24"/>
        </w:rPr>
        <w:t>review</w:t>
      </w:r>
      <w:r w:rsidR="003137D5">
        <w:rPr>
          <w:sz w:val="24"/>
          <w:szCs w:val="24"/>
        </w:rPr>
        <w:t>ed</w:t>
      </w:r>
      <w:r w:rsidR="005712A4">
        <w:rPr>
          <w:sz w:val="24"/>
          <w:szCs w:val="24"/>
        </w:rPr>
        <w:t xml:space="preserve"> by the Continuing Education Advisory Group</w:t>
      </w:r>
      <w:r w:rsidR="00313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resulted in </w:t>
      </w:r>
      <w:r w:rsidR="00682E85">
        <w:rPr>
          <w:sz w:val="24"/>
          <w:szCs w:val="24"/>
        </w:rPr>
        <w:t>6</w:t>
      </w:r>
      <w:r>
        <w:rPr>
          <w:sz w:val="24"/>
          <w:szCs w:val="24"/>
        </w:rPr>
        <w:t xml:space="preserve"> webinars selected</w:t>
      </w:r>
      <w:r w:rsidR="005712A4">
        <w:rPr>
          <w:sz w:val="24"/>
          <w:szCs w:val="24"/>
        </w:rPr>
        <w:t xml:space="preserve"> for presentation in 2019</w:t>
      </w:r>
      <w:r w:rsidR="003137D5">
        <w:rPr>
          <w:sz w:val="24"/>
          <w:szCs w:val="24"/>
        </w:rPr>
        <w:t xml:space="preserve"> and </w:t>
      </w:r>
      <w:r w:rsidR="00682E85">
        <w:rPr>
          <w:sz w:val="24"/>
          <w:szCs w:val="24"/>
        </w:rPr>
        <w:t xml:space="preserve">planned for early </w:t>
      </w:r>
      <w:r w:rsidR="003137D5">
        <w:rPr>
          <w:sz w:val="24"/>
          <w:szCs w:val="24"/>
        </w:rPr>
        <w:t>2020</w:t>
      </w:r>
      <w:r w:rsidR="005712A4">
        <w:rPr>
          <w:sz w:val="24"/>
          <w:szCs w:val="24"/>
        </w:rPr>
        <w:t>.</w:t>
      </w:r>
    </w:p>
    <w:p w14:paraId="081BB36E" w14:textId="07B51624" w:rsidR="00C3048C" w:rsidRDefault="00E27134" w:rsidP="00E27134">
      <w:pPr>
        <w:rPr>
          <w:sz w:val="24"/>
          <w:szCs w:val="24"/>
        </w:rPr>
      </w:pPr>
      <w:r w:rsidRPr="004846F0">
        <w:rPr>
          <w:b/>
          <w:sz w:val="24"/>
          <w:szCs w:val="24"/>
        </w:rPr>
        <w:t xml:space="preserve">BUDGET </w:t>
      </w:r>
      <w:r>
        <w:rPr>
          <w:b/>
          <w:sz w:val="24"/>
          <w:szCs w:val="24"/>
        </w:rPr>
        <w:br/>
      </w:r>
      <w:r w:rsidR="00C3048C">
        <w:rPr>
          <w:sz w:val="24"/>
          <w:szCs w:val="24"/>
        </w:rPr>
        <w:t xml:space="preserve">PLA’s revenue on </w:t>
      </w:r>
      <w:r w:rsidR="00682E85">
        <w:rPr>
          <w:sz w:val="24"/>
          <w:szCs w:val="24"/>
        </w:rPr>
        <w:t>paid webinars in 2019 has been significant. T</w:t>
      </w:r>
      <w:r w:rsidR="00C3048C">
        <w:rPr>
          <w:sz w:val="24"/>
          <w:szCs w:val="24"/>
        </w:rPr>
        <w:t xml:space="preserve">he </w:t>
      </w:r>
      <w:r w:rsidR="00682E85">
        <w:rPr>
          <w:sz w:val="24"/>
          <w:szCs w:val="24"/>
        </w:rPr>
        <w:t>series of two C</w:t>
      </w:r>
      <w:r w:rsidR="00DD7317">
        <w:rPr>
          <w:sz w:val="24"/>
          <w:szCs w:val="24"/>
        </w:rPr>
        <w:t xml:space="preserve">ultural </w:t>
      </w:r>
      <w:r w:rsidR="00682E85">
        <w:rPr>
          <w:sz w:val="24"/>
          <w:szCs w:val="24"/>
        </w:rPr>
        <w:t>I</w:t>
      </w:r>
      <w:r w:rsidR="00DD7317">
        <w:rPr>
          <w:sz w:val="24"/>
          <w:szCs w:val="24"/>
        </w:rPr>
        <w:t xml:space="preserve">ntelligence (CQ) webinars </w:t>
      </w:r>
      <w:r w:rsidR="00682E85">
        <w:rPr>
          <w:sz w:val="24"/>
          <w:szCs w:val="24"/>
        </w:rPr>
        <w:t xml:space="preserve">offered </w:t>
      </w:r>
      <w:r w:rsidR="00C3048C">
        <w:rPr>
          <w:sz w:val="24"/>
          <w:szCs w:val="24"/>
        </w:rPr>
        <w:t xml:space="preserve">in April 2019 </w:t>
      </w:r>
      <w:r w:rsidR="00682E85">
        <w:rPr>
          <w:sz w:val="24"/>
          <w:szCs w:val="24"/>
        </w:rPr>
        <w:t xml:space="preserve">generated </w:t>
      </w:r>
      <w:r w:rsidR="00C3048C">
        <w:rPr>
          <w:sz w:val="24"/>
          <w:szCs w:val="24"/>
        </w:rPr>
        <w:t>$9,194</w:t>
      </w:r>
      <w:r w:rsidR="00682E85">
        <w:rPr>
          <w:sz w:val="24"/>
          <w:szCs w:val="24"/>
        </w:rPr>
        <w:t>; the Unreturned Materials webinar generated $</w:t>
      </w:r>
      <w:r w:rsidR="009E4684">
        <w:rPr>
          <w:sz w:val="24"/>
          <w:szCs w:val="24"/>
        </w:rPr>
        <w:t>8,054</w:t>
      </w:r>
      <w:r w:rsidR="00682E85">
        <w:rPr>
          <w:sz w:val="24"/>
          <w:szCs w:val="24"/>
        </w:rPr>
        <w:t>; and the Trauma-Informed Care webinar generated $8,933</w:t>
      </w:r>
      <w:r w:rsidR="00AE77E8">
        <w:rPr>
          <w:sz w:val="24"/>
          <w:szCs w:val="24"/>
        </w:rPr>
        <w:t>.</w:t>
      </w:r>
    </w:p>
    <w:p w14:paraId="15C3C8BB" w14:textId="617C0E13" w:rsidR="005A1739" w:rsidRDefault="005A1739" w:rsidP="00E27134">
      <w:pPr>
        <w:rPr>
          <w:sz w:val="24"/>
          <w:szCs w:val="24"/>
        </w:rPr>
      </w:pPr>
      <w:r w:rsidRPr="005A1739">
        <w:rPr>
          <w:sz w:val="24"/>
          <w:szCs w:val="24"/>
        </w:rPr>
        <w:t>PLA</w:t>
      </w:r>
      <w:r>
        <w:rPr>
          <w:sz w:val="24"/>
          <w:szCs w:val="24"/>
        </w:rPr>
        <w:t>’</w:t>
      </w:r>
      <w:r w:rsidRPr="005A1739">
        <w:rPr>
          <w:sz w:val="24"/>
          <w:szCs w:val="24"/>
        </w:rPr>
        <w:t>s half-day preconference at ALA Annual Conference</w:t>
      </w:r>
      <w:r w:rsidR="005B5337">
        <w:rPr>
          <w:sz w:val="24"/>
          <w:szCs w:val="24"/>
        </w:rPr>
        <w:t>, “</w:t>
      </w:r>
      <w:r w:rsidR="005B5337" w:rsidRPr="005B5337">
        <w:rPr>
          <w:sz w:val="24"/>
          <w:szCs w:val="24"/>
        </w:rPr>
        <w:t>Librarians and Social Workers: Partnerships that Work for Connecting People in Need</w:t>
      </w:r>
      <w:r w:rsidR="005B5337">
        <w:rPr>
          <w:sz w:val="24"/>
          <w:szCs w:val="24"/>
        </w:rPr>
        <w:t xml:space="preserve">,” </w:t>
      </w:r>
      <w:r w:rsidR="00347884">
        <w:rPr>
          <w:sz w:val="24"/>
          <w:szCs w:val="24"/>
        </w:rPr>
        <w:t xml:space="preserve">generated </w:t>
      </w:r>
      <w:r w:rsidRPr="005A1739">
        <w:rPr>
          <w:sz w:val="24"/>
          <w:szCs w:val="24"/>
        </w:rPr>
        <w:t>a total of $</w:t>
      </w:r>
      <w:r w:rsidR="00A45610">
        <w:rPr>
          <w:sz w:val="24"/>
          <w:szCs w:val="24"/>
        </w:rPr>
        <w:t>6,</w:t>
      </w:r>
      <w:r w:rsidR="00E35050">
        <w:rPr>
          <w:sz w:val="24"/>
          <w:szCs w:val="24"/>
        </w:rPr>
        <w:t>68</w:t>
      </w:r>
      <w:r w:rsidR="00A45610">
        <w:rPr>
          <w:sz w:val="24"/>
          <w:szCs w:val="24"/>
        </w:rPr>
        <w:t xml:space="preserve">0 </w:t>
      </w:r>
      <w:r w:rsidRPr="005A1739">
        <w:rPr>
          <w:sz w:val="24"/>
          <w:szCs w:val="24"/>
        </w:rPr>
        <w:t>in revenue.</w:t>
      </w:r>
    </w:p>
    <w:p w14:paraId="28CC9A7B" w14:textId="06EDB4B7" w:rsidR="00E27134" w:rsidRPr="00E27134" w:rsidRDefault="00E27134" w:rsidP="00E27134">
      <w:pPr>
        <w:rPr>
          <w:b/>
          <w:sz w:val="24"/>
          <w:szCs w:val="24"/>
        </w:rPr>
      </w:pPr>
      <w:r w:rsidRPr="006B491B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br/>
      </w:r>
      <w:r w:rsidRPr="00E12825">
        <w:rPr>
          <w:sz w:val="24"/>
          <w:szCs w:val="24"/>
        </w:rPr>
        <w:t>PLA collects evaluation data on each of its continuing education offerings, using Project Outcome-approved questions to measure</w:t>
      </w:r>
      <w:r>
        <w:rPr>
          <w:sz w:val="24"/>
          <w:szCs w:val="24"/>
        </w:rPr>
        <w:t xml:space="preserve"> attendees’</w:t>
      </w:r>
      <w:r w:rsidRPr="00E12825">
        <w:rPr>
          <w:sz w:val="24"/>
          <w:szCs w:val="24"/>
        </w:rPr>
        <w:t xml:space="preserve"> learning and confidence</w:t>
      </w:r>
      <w:r w:rsidR="00397FE7">
        <w:rPr>
          <w:sz w:val="24"/>
          <w:szCs w:val="24"/>
        </w:rPr>
        <w:t xml:space="preserve">. PLA’s intern, Carly Lawrence, </w:t>
      </w:r>
      <w:r>
        <w:rPr>
          <w:sz w:val="24"/>
          <w:szCs w:val="24"/>
        </w:rPr>
        <w:t>aggregate</w:t>
      </w:r>
      <w:r w:rsidR="00347884">
        <w:rPr>
          <w:sz w:val="24"/>
          <w:szCs w:val="24"/>
        </w:rPr>
        <w:t>d</w:t>
      </w:r>
      <w:r>
        <w:rPr>
          <w:sz w:val="24"/>
          <w:szCs w:val="24"/>
        </w:rPr>
        <w:t xml:space="preserve"> evaluation data</w:t>
      </w:r>
      <w:r w:rsidRPr="00E12825">
        <w:rPr>
          <w:sz w:val="24"/>
          <w:szCs w:val="24"/>
        </w:rPr>
        <w:t xml:space="preserve"> </w:t>
      </w:r>
      <w:r w:rsidR="00397FE7">
        <w:rPr>
          <w:sz w:val="24"/>
          <w:szCs w:val="24"/>
        </w:rPr>
        <w:t xml:space="preserve">across continuing education offerings, which will help PLA better use past evaluation data </w:t>
      </w:r>
      <w:r w:rsidRPr="00E12825">
        <w:rPr>
          <w:sz w:val="24"/>
          <w:szCs w:val="24"/>
        </w:rPr>
        <w:t>to make decisions</w:t>
      </w:r>
      <w:r w:rsidR="00397FE7">
        <w:rPr>
          <w:sz w:val="24"/>
          <w:szCs w:val="24"/>
        </w:rPr>
        <w:t xml:space="preserve"> about future offerings</w:t>
      </w:r>
      <w:r>
        <w:rPr>
          <w:sz w:val="24"/>
          <w:szCs w:val="24"/>
        </w:rPr>
        <w:t>.</w:t>
      </w:r>
    </w:p>
    <w:p w14:paraId="66375F89" w14:textId="77777777" w:rsidR="00C64FF4" w:rsidRPr="004846F0" w:rsidRDefault="00C64FF4" w:rsidP="00C64FF4">
      <w:pPr>
        <w:rPr>
          <w:b/>
          <w:sz w:val="24"/>
          <w:szCs w:val="24"/>
        </w:rPr>
      </w:pPr>
      <w:r w:rsidRPr="004846F0">
        <w:rPr>
          <w:b/>
          <w:sz w:val="24"/>
          <w:szCs w:val="24"/>
        </w:rPr>
        <w:t>PLA STRATEGIC GOAL</w:t>
      </w:r>
      <w:r>
        <w:rPr>
          <w:b/>
          <w:sz w:val="24"/>
          <w:szCs w:val="24"/>
        </w:rPr>
        <w:t xml:space="preserve"> LINK (check all that apply)</w:t>
      </w:r>
    </w:p>
    <w:p w14:paraId="7558F23E" w14:textId="77777777" w:rsidR="00C64FF4" w:rsidRPr="007638FA" w:rsidRDefault="00C64FF4" w:rsidP="00C64FF4">
      <w:pPr>
        <w:pStyle w:val="ListParagraph"/>
        <w:autoSpaceDE w:val="0"/>
        <w:autoSpaceDN w:val="0"/>
        <w:adjustRightInd w:val="0"/>
        <w:ind w:left="0"/>
        <w:rPr>
          <w:rFonts w:cs="Arial"/>
          <w:sz w:val="20"/>
        </w:rPr>
      </w:pPr>
      <w:r w:rsidRPr="007638FA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cs="Arial"/>
          <w:sz w:val="20"/>
        </w:rPr>
        <w:instrText xml:space="preserve"> FORMCHECKBOX </w:instrText>
      </w:r>
      <w:r w:rsidR="00C428FD">
        <w:rPr>
          <w:rFonts w:cs="Arial"/>
          <w:sz w:val="20"/>
        </w:rPr>
      </w:r>
      <w:r w:rsidR="00C428FD">
        <w:rPr>
          <w:rFonts w:cs="Arial"/>
          <w:sz w:val="20"/>
        </w:rPr>
        <w:fldChar w:fldCharType="separate"/>
      </w:r>
      <w:r w:rsidRPr="007638FA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TRANSFORMATION  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C428FD">
        <w:rPr>
          <w:rFonts w:cs="Arial"/>
          <w:sz w:val="20"/>
        </w:rPr>
      </w:r>
      <w:r w:rsidR="00C428F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LEADERSHIP   </w:t>
      </w:r>
      <w:r w:rsidRPr="007638F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cs="Arial"/>
          <w:sz w:val="20"/>
        </w:rPr>
        <w:instrText xml:space="preserve"> FORMCHECKBOX </w:instrText>
      </w:r>
      <w:r w:rsidR="00C428FD">
        <w:rPr>
          <w:rFonts w:cs="Arial"/>
          <w:sz w:val="20"/>
        </w:rPr>
      </w:r>
      <w:r w:rsidR="00C428FD">
        <w:rPr>
          <w:rFonts w:cs="Arial"/>
          <w:sz w:val="20"/>
        </w:rPr>
        <w:fldChar w:fldCharType="separate"/>
      </w:r>
      <w:r w:rsidRPr="007638FA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ADV. &amp; AWARENESS   </w:t>
      </w:r>
      <w:r w:rsidRPr="007638F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cs="Arial"/>
          <w:sz w:val="20"/>
        </w:rPr>
        <w:instrText xml:space="preserve"> FORMCHECKBOX </w:instrText>
      </w:r>
      <w:r w:rsidR="00C428FD">
        <w:rPr>
          <w:rFonts w:cs="Arial"/>
          <w:sz w:val="20"/>
        </w:rPr>
      </w:r>
      <w:r w:rsidR="00C428FD">
        <w:rPr>
          <w:rFonts w:cs="Arial"/>
          <w:sz w:val="20"/>
        </w:rPr>
        <w:fldChar w:fldCharType="separate"/>
      </w:r>
      <w:r w:rsidRPr="007638FA">
        <w:rPr>
          <w:rFonts w:cs="Arial"/>
          <w:sz w:val="20"/>
        </w:rPr>
        <w:fldChar w:fldCharType="end"/>
      </w:r>
      <w:r w:rsidRPr="007638FA">
        <w:rPr>
          <w:rFonts w:cs="Arial"/>
          <w:sz w:val="20"/>
        </w:rPr>
        <w:t xml:space="preserve"> E.D.I.S.J.   </w:t>
      </w:r>
      <w:r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sz w:val="20"/>
        </w:rPr>
        <w:instrText xml:space="preserve"> FORMCHECKBOX </w:instrText>
      </w:r>
      <w:r w:rsidR="00C428FD">
        <w:rPr>
          <w:rFonts w:cs="Arial"/>
          <w:sz w:val="20"/>
        </w:rPr>
      </w:r>
      <w:r w:rsidR="00C428F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  <w:r w:rsidRPr="007638FA">
        <w:rPr>
          <w:rFonts w:cs="Arial"/>
          <w:sz w:val="20"/>
        </w:rPr>
        <w:t xml:space="preserve"> ORG. EXCELLENCE</w:t>
      </w:r>
    </w:p>
    <w:p w14:paraId="70522ECE" w14:textId="77777777" w:rsidR="00C64FF4" w:rsidRPr="007638FA" w:rsidRDefault="00C64FF4" w:rsidP="00C64FF4">
      <w:pPr>
        <w:pStyle w:val="ListParagraph"/>
        <w:autoSpaceDE w:val="0"/>
        <w:autoSpaceDN w:val="0"/>
        <w:adjustRightInd w:val="0"/>
        <w:ind w:left="0"/>
        <w:rPr>
          <w:rFonts w:cs="Arial"/>
        </w:rPr>
      </w:pPr>
    </w:p>
    <w:p w14:paraId="1BDA7F76" w14:textId="77777777" w:rsidR="00C64FF4" w:rsidRPr="00BE7E5D" w:rsidRDefault="00C64FF4" w:rsidP="00C64FF4">
      <w:pPr>
        <w:rPr>
          <w:sz w:val="24"/>
          <w:szCs w:val="24"/>
        </w:rPr>
      </w:pPr>
    </w:p>
    <w:p w14:paraId="223C74A2" w14:textId="4B61AAD8" w:rsidR="001B710A" w:rsidRPr="00793EAE" w:rsidRDefault="001B710A" w:rsidP="00BD036A"/>
    <w:sectPr w:rsidR="001B710A" w:rsidRPr="00793EAE" w:rsidSect="00BD036A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2417" w14:textId="77777777" w:rsidR="00DB5DE7" w:rsidRDefault="00DB5DE7" w:rsidP="008F6E68">
      <w:pPr>
        <w:spacing w:before="0"/>
      </w:pPr>
      <w:r>
        <w:separator/>
      </w:r>
    </w:p>
  </w:endnote>
  <w:endnote w:type="continuationSeparator" w:id="0">
    <w:p w14:paraId="243BC309" w14:textId="77777777" w:rsidR="00DB5DE7" w:rsidRDefault="00DB5DE7" w:rsidP="008F6E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936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5A1CD" w14:textId="1AD5A4E1" w:rsidR="008F6E68" w:rsidRDefault="00FD2681">
        <w:pPr>
          <w:pStyle w:val="Footer"/>
          <w:jc w:val="right"/>
        </w:pPr>
        <w:r>
          <w:fldChar w:fldCharType="begin"/>
        </w:r>
        <w:r w:rsidR="008F6E68">
          <w:instrText xml:space="preserve"> PAGE   \* MERGEFORMAT </w:instrText>
        </w:r>
        <w:r>
          <w:fldChar w:fldCharType="separate"/>
        </w:r>
        <w:r w:rsidR="00A42D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89D1202" w14:textId="77777777" w:rsidR="008F6E68" w:rsidRDefault="008F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532D" w14:textId="77777777" w:rsidR="00DB5DE7" w:rsidRDefault="00DB5DE7" w:rsidP="008F6E68">
      <w:pPr>
        <w:spacing w:before="0"/>
      </w:pPr>
      <w:r>
        <w:separator/>
      </w:r>
    </w:p>
  </w:footnote>
  <w:footnote w:type="continuationSeparator" w:id="0">
    <w:p w14:paraId="4CD4884F" w14:textId="77777777" w:rsidR="00DB5DE7" w:rsidRDefault="00DB5DE7" w:rsidP="008F6E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1086" w14:textId="77777777" w:rsidR="008F6E68" w:rsidRDefault="008F6E68" w:rsidP="008F6E68">
    <w:pPr>
      <w:pStyle w:val="Header"/>
      <w:spacing w:beforeAutospacing="0"/>
      <w:jc w:val="right"/>
    </w:pPr>
    <w:r>
      <w:t>PLA Board of Directors</w:t>
    </w:r>
  </w:p>
  <w:p w14:paraId="3558A8F1" w14:textId="7086A9A9" w:rsidR="008F6E68" w:rsidRDefault="00FF3667" w:rsidP="008F6E68">
    <w:pPr>
      <w:pStyle w:val="Header"/>
      <w:spacing w:beforeAutospacing="0"/>
      <w:jc w:val="right"/>
    </w:pPr>
    <w:r>
      <w:t xml:space="preserve">Fall </w:t>
    </w:r>
    <w:r w:rsidR="0040260D">
      <w:t xml:space="preserve">2019 </w:t>
    </w:r>
    <w:r>
      <w:t>Meeting</w:t>
    </w:r>
  </w:p>
  <w:p w14:paraId="2555EB3C" w14:textId="709A9D89" w:rsidR="008F6E68" w:rsidRDefault="00FF3667" w:rsidP="008F6E68">
    <w:pPr>
      <w:pStyle w:val="Header"/>
      <w:spacing w:beforeAutospacing="0"/>
      <w:jc w:val="right"/>
    </w:pPr>
    <w:r>
      <w:t xml:space="preserve">Document no.: </w:t>
    </w:r>
    <w:r w:rsidR="00EA5362">
      <w:t>20</w:t>
    </w:r>
    <w:r>
      <w:t>20</w:t>
    </w:r>
    <w:r w:rsidR="009D3A2D">
      <w:t>.</w:t>
    </w:r>
    <w:r w:rsidR="00C428FD">
      <w:t>12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478"/>
    <w:multiLevelType w:val="hybridMultilevel"/>
    <w:tmpl w:val="9602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5C2"/>
    <w:multiLevelType w:val="hybridMultilevel"/>
    <w:tmpl w:val="6B42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4112"/>
    <w:multiLevelType w:val="hybridMultilevel"/>
    <w:tmpl w:val="1AE0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569B"/>
    <w:multiLevelType w:val="hybridMultilevel"/>
    <w:tmpl w:val="A390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6F62"/>
    <w:multiLevelType w:val="multilevel"/>
    <w:tmpl w:val="C6B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55097"/>
    <w:multiLevelType w:val="hybridMultilevel"/>
    <w:tmpl w:val="E72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1FA1"/>
    <w:multiLevelType w:val="hybridMultilevel"/>
    <w:tmpl w:val="1F7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C4"/>
    <w:rsid w:val="00021B3F"/>
    <w:rsid w:val="00022CFE"/>
    <w:rsid w:val="0002715F"/>
    <w:rsid w:val="00050106"/>
    <w:rsid w:val="00087123"/>
    <w:rsid w:val="000923EB"/>
    <w:rsid w:val="000B7E3E"/>
    <w:rsid w:val="000D5460"/>
    <w:rsid w:val="000F5670"/>
    <w:rsid w:val="001000CD"/>
    <w:rsid w:val="001067D9"/>
    <w:rsid w:val="00106EAD"/>
    <w:rsid w:val="001143A5"/>
    <w:rsid w:val="00132F7A"/>
    <w:rsid w:val="00140FE3"/>
    <w:rsid w:val="0015196F"/>
    <w:rsid w:val="001B679D"/>
    <w:rsid w:val="001B710A"/>
    <w:rsid w:val="001C6E09"/>
    <w:rsid w:val="001D117F"/>
    <w:rsid w:val="001F3290"/>
    <w:rsid w:val="0021693F"/>
    <w:rsid w:val="002320A3"/>
    <w:rsid w:val="00234AE7"/>
    <w:rsid w:val="00236FDB"/>
    <w:rsid w:val="002513D4"/>
    <w:rsid w:val="00292DFD"/>
    <w:rsid w:val="002A5A6E"/>
    <w:rsid w:val="002C54AE"/>
    <w:rsid w:val="002E30C7"/>
    <w:rsid w:val="00306D6A"/>
    <w:rsid w:val="003137D5"/>
    <w:rsid w:val="00315C76"/>
    <w:rsid w:val="00317CE9"/>
    <w:rsid w:val="003223F5"/>
    <w:rsid w:val="00347884"/>
    <w:rsid w:val="003526CF"/>
    <w:rsid w:val="003607DF"/>
    <w:rsid w:val="00362DEC"/>
    <w:rsid w:val="0038538D"/>
    <w:rsid w:val="00391AF9"/>
    <w:rsid w:val="00394BA7"/>
    <w:rsid w:val="00396BCE"/>
    <w:rsid w:val="00397FE7"/>
    <w:rsid w:val="003A3AF4"/>
    <w:rsid w:val="003B50BF"/>
    <w:rsid w:val="003E03B4"/>
    <w:rsid w:val="003F7DFE"/>
    <w:rsid w:val="0040260D"/>
    <w:rsid w:val="004101DA"/>
    <w:rsid w:val="004216E7"/>
    <w:rsid w:val="00433626"/>
    <w:rsid w:val="00441AEB"/>
    <w:rsid w:val="00471D0F"/>
    <w:rsid w:val="00474B9D"/>
    <w:rsid w:val="00481598"/>
    <w:rsid w:val="0048297F"/>
    <w:rsid w:val="0049080F"/>
    <w:rsid w:val="004A571D"/>
    <w:rsid w:val="004A6CD2"/>
    <w:rsid w:val="004A71E4"/>
    <w:rsid w:val="004B7636"/>
    <w:rsid w:val="004C131D"/>
    <w:rsid w:val="004D4D80"/>
    <w:rsid w:val="004D6C28"/>
    <w:rsid w:val="004E3962"/>
    <w:rsid w:val="004F7468"/>
    <w:rsid w:val="00505A26"/>
    <w:rsid w:val="00505B07"/>
    <w:rsid w:val="00524040"/>
    <w:rsid w:val="0052571C"/>
    <w:rsid w:val="00547908"/>
    <w:rsid w:val="0056676E"/>
    <w:rsid w:val="005712A4"/>
    <w:rsid w:val="005742EE"/>
    <w:rsid w:val="00585E5D"/>
    <w:rsid w:val="00591A63"/>
    <w:rsid w:val="005A1739"/>
    <w:rsid w:val="005A77A7"/>
    <w:rsid w:val="005B5337"/>
    <w:rsid w:val="005C203C"/>
    <w:rsid w:val="005D2543"/>
    <w:rsid w:val="005F1209"/>
    <w:rsid w:val="00613B0A"/>
    <w:rsid w:val="006175A7"/>
    <w:rsid w:val="006736CB"/>
    <w:rsid w:val="00682E85"/>
    <w:rsid w:val="006A72C1"/>
    <w:rsid w:val="006E2505"/>
    <w:rsid w:val="006F0176"/>
    <w:rsid w:val="00707FEB"/>
    <w:rsid w:val="007163B1"/>
    <w:rsid w:val="00717DD4"/>
    <w:rsid w:val="007337AD"/>
    <w:rsid w:val="00760080"/>
    <w:rsid w:val="00762B5D"/>
    <w:rsid w:val="00793EAE"/>
    <w:rsid w:val="007A12C3"/>
    <w:rsid w:val="007A47C1"/>
    <w:rsid w:val="007A6CEE"/>
    <w:rsid w:val="007A6FF1"/>
    <w:rsid w:val="007B12D9"/>
    <w:rsid w:val="007C2D18"/>
    <w:rsid w:val="007E186C"/>
    <w:rsid w:val="007E71EF"/>
    <w:rsid w:val="0081792D"/>
    <w:rsid w:val="00832098"/>
    <w:rsid w:val="0084491D"/>
    <w:rsid w:val="0085032B"/>
    <w:rsid w:val="00856960"/>
    <w:rsid w:val="00896B12"/>
    <w:rsid w:val="008B36DD"/>
    <w:rsid w:val="008F6E68"/>
    <w:rsid w:val="00902A05"/>
    <w:rsid w:val="00921265"/>
    <w:rsid w:val="0092350F"/>
    <w:rsid w:val="009336F2"/>
    <w:rsid w:val="00945190"/>
    <w:rsid w:val="009461BE"/>
    <w:rsid w:val="00966538"/>
    <w:rsid w:val="00972104"/>
    <w:rsid w:val="0098441D"/>
    <w:rsid w:val="0099045C"/>
    <w:rsid w:val="009919FC"/>
    <w:rsid w:val="00997071"/>
    <w:rsid w:val="009B2E7E"/>
    <w:rsid w:val="009B4750"/>
    <w:rsid w:val="009B5E41"/>
    <w:rsid w:val="009C03B2"/>
    <w:rsid w:val="009D3A2D"/>
    <w:rsid w:val="009D3CE3"/>
    <w:rsid w:val="009E4684"/>
    <w:rsid w:val="009F4509"/>
    <w:rsid w:val="00A01C68"/>
    <w:rsid w:val="00A42DB0"/>
    <w:rsid w:val="00A433BA"/>
    <w:rsid w:val="00A45610"/>
    <w:rsid w:val="00A53B25"/>
    <w:rsid w:val="00A621DF"/>
    <w:rsid w:val="00A70AC4"/>
    <w:rsid w:val="00A71710"/>
    <w:rsid w:val="00A8599C"/>
    <w:rsid w:val="00A9273A"/>
    <w:rsid w:val="00A92A2E"/>
    <w:rsid w:val="00AC7209"/>
    <w:rsid w:val="00AE77E8"/>
    <w:rsid w:val="00AF2DC1"/>
    <w:rsid w:val="00AF3C6C"/>
    <w:rsid w:val="00B001C9"/>
    <w:rsid w:val="00B25368"/>
    <w:rsid w:val="00B71ED9"/>
    <w:rsid w:val="00B9179E"/>
    <w:rsid w:val="00BB23B8"/>
    <w:rsid w:val="00BD036A"/>
    <w:rsid w:val="00BD1352"/>
    <w:rsid w:val="00BD5A3B"/>
    <w:rsid w:val="00BD6CA2"/>
    <w:rsid w:val="00C06156"/>
    <w:rsid w:val="00C06BE3"/>
    <w:rsid w:val="00C30480"/>
    <w:rsid w:val="00C3048C"/>
    <w:rsid w:val="00C428FD"/>
    <w:rsid w:val="00C42B88"/>
    <w:rsid w:val="00C473C1"/>
    <w:rsid w:val="00C62971"/>
    <w:rsid w:val="00C64FF4"/>
    <w:rsid w:val="00C67282"/>
    <w:rsid w:val="00C8202A"/>
    <w:rsid w:val="00CA2A16"/>
    <w:rsid w:val="00CA6FBE"/>
    <w:rsid w:val="00CA6FF4"/>
    <w:rsid w:val="00CD4947"/>
    <w:rsid w:val="00CD53B9"/>
    <w:rsid w:val="00CE5C73"/>
    <w:rsid w:val="00D06D0B"/>
    <w:rsid w:val="00D4202E"/>
    <w:rsid w:val="00D4260A"/>
    <w:rsid w:val="00D54E4A"/>
    <w:rsid w:val="00D54F4A"/>
    <w:rsid w:val="00D561D4"/>
    <w:rsid w:val="00DA3FB0"/>
    <w:rsid w:val="00DA4149"/>
    <w:rsid w:val="00DB5DE7"/>
    <w:rsid w:val="00DD15BC"/>
    <w:rsid w:val="00DD7317"/>
    <w:rsid w:val="00DE632E"/>
    <w:rsid w:val="00E01863"/>
    <w:rsid w:val="00E27134"/>
    <w:rsid w:val="00E30167"/>
    <w:rsid w:val="00E35050"/>
    <w:rsid w:val="00E46215"/>
    <w:rsid w:val="00E47F12"/>
    <w:rsid w:val="00E5556F"/>
    <w:rsid w:val="00E71768"/>
    <w:rsid w:val="00E726BA"/>
    <w:rsid w:val="00E760E9"/>
    <w:rsid w:val="00EA23CF"/>
    <w:rsid w:val="00EA5362"/>
    <w:rsid w:val="00EA5409"/>
    <w:rsid w:val="00EB527F"/>
    <w:rsid w:val="00EC245F"/>
    <w:rsid w:val="00EC2D1F"/>
    <w:rsid w:val="00EC5945"/>
    <w:rsid w:val="00ED0BEE"/>
    <w:rsid w:val="00ED5446"/>
    <w:rsid w:val="00EE7C47"/>
    <w:rsid w:val="00F32610"/>
    <w:rsid w:val="00F34064"/>
    <w:rsid w:val="00F51794"/>
    <w:rsid w:val="00F56B90"/>
    <w:rsid w:val="00F679E0"/>
    <w:rsid w:val="00F728D1"/>
    <w:rsid w:val="00F918BE"/>
    <w:rsid w:val="00F951F5"/>
    <w:rsid w:val="00F96E85"/>
    <w:rsid w:val="00FD2681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E21C3A"/>
  <w15:docId w15:val="{2C03B468-7DCC-4A74-AA67-5491B81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73A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7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E6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F6E68"/>
  </w:style>
  <w:style w:type="paragraph" w:styleId="Footer">
    <w:name w:val="footer"/>
    <w:basedOn w:val="Normal"/>
    <w:link w:val="FooterChar"/>
    <w:uiPriority w:val="99"/>
    <w:unhideWhenUsed/>
    <w:rsid w:val="008F6E6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F6E68"/>
  </w:style>
  <w:style w:type="character" w:styleId="CommentReference">
    <w:name w:val="annotation reference"/>
    <w:basedOn w:val="DefaultParagraphFont"/>
    <w:uiPriority w:val="99"/>
    <w:semiHidden/>
    <w:unhideWhenUsed/>
    <w:rsid w:val="0059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21B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21B3F"/>
    <w:pPr>
      <w:spacing w:before="0" w:beforeAutospacing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B3F"/>
    <w:rPr>
      <w:rFonts w:ascii="Calibri" w:hAnsi="Calibri" w:cs="Consolas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9D3A2D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C06BE3"/>
    <w:pPr>
      <w:spacing w:before="0" w:before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ycock@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lbostrom</dc:creator>
  <cp:lastModifiedBy>Megan Stewart</cp:lastModifiedBy>
  <cp:revision>19</cp:revision>
  <cp:lastPrinted>2015-12-11T16:13:00Z</cp:lastPrinted>
  <dcterms:created xsi:type="dcterms:W3CDTF">2019-09-20T17:40:00Z</dcterms:created>
  <dcterms:modified xsi:type="dcterms:W3CDTF">2019-10-11T14:05:00Z</dcterms:modified>
</cp:coreProperties>
</file>