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EF58D" w14:textId="30345EE7" w:rsidR="00237D6E" w:rsidRDefault="00237D6E" w:rsidP="00B04452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What’s New in the </w:t>
      </w:r>
    </w:p>
    <w:p w14:paraId="3CD10BA0" w14:textId="3AE295AD" w:rsidR="007709C7" w:rsidRPr="0009627F" w:rsidRDefault="004B776F" w:rsidP="0009627F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09627F">
        <w:rPr>
          <w:b/>
          <w:bCs/>
          <w:sz w:val="28"/>
          <w:szCs w:val="28"/>
        </w:rPr>
        <w:t>“</w:t>
      </w:r>
      <w:bookmarkStart w:id="0" w:name="_Hlk103686344"/>
      <w:r w:rsidR="0009627F" w:rsidRPr="0009627F">
        <w:rPr>
          <w:rFonts w:ascii="Calibri" w:hAnsi="Calibri" w:cs="Calibri"/>
          <w:b/>
          <w:bCs/>
          <w:sz w:val="28"/>
          <w:szCs w:val="28"/>
        </w:rPr>
        <w:t>Resolution in Defense of the Right to Engage in Political Boycotts</w:t>
      </w:r>
      <w:bookmarkEnd w:id="0"/>
      <w:r w:rsidRPr="0009627F">
        <w:rPr>
          <w:b/>
          <w:bCs/>
          <w:sz w:val="28"/>
          <w:szCs w:val="28"/>
        </w:rPr>
        <w:t>”</w:t>
      </w:r>
      <w:r w:rsidR="00237D6E" w:rsidRPr="0009627F">
        <w:rPr>
          <w:b/>
          <w:bCs/>
          <w:sz w:val="28"/>
          <w:szCs w:val="28"/>
        </w:rPr>
        <w:t>?</w:t>
      </w:r>
    </w:p>
    <w:p w14:paraId="78B08B62" w14:textId="12556B29" w:rsidR="0026316F" w:rsidRDefault="00710388" w:rsidP="001958E3">
      <w:pPr>
        <w:rPr>
          <w:sz w:val="24"/>
          <w:szCs w:val="24"/>
        </w:rPr>
      </w:pPr>
      <w:r>
        <w:rPr>
          <w:sz w:val="24"/>
          <w:szCs w:val="24"/>
        </w:rPr>
        <w:t xml:space="preserve">In </w:t>
      </w:r>
      <w:r w:rsidR="002A3FCB" w:rsidRPr="00B04452">
        <w:rPr>
          <w:sz w:val="24"/>
          <w:szCs w:val="24"/>
        </w:rPr>
        <w:t xml:space="preserve">2019 SRRT submitted a </w:t>
      </w:r>
      <w:r w:rsidR="008F6E9A">
        <w:rPr>
          <w:sz w:val="24"/>
          <w:szCs w:val="24"/>
        </w:rPr>
        <w:t xml:space="preserve">resolution opposing </w:t>
      </w:r>
      <w:r w:rsidR="001931E8">
        <w:rPr>
          <w:sz w:val="24"/>
          <w:szCs w:val="24"/>
        </w:rPr>
        <w:t xml:space="preserve">legislation </w:t>
      </w:r>
      <w:r w:rsidR="0026316F">
        <w:rPr>
          <w:sz w:val="24"/>
          <w:szCs w:val="24"/>
        </w:rPr>
        <w:t xml:space="preserve">that </w:t>
      </w:r>
      <w:r w:rsidR="00BB3BF8">
        <w:rPr>
          <w:sz w:val="24"/>
          <w:szCs w:val="24"/>
        </w:rPr>
        <w:t>would</w:t>
      </w:r>
      <w:r w:rsidR="00C26786">
        <w:rPr>
          <w:sz w:val="24"/>
          <w:szCs w:val="24"/>
        </w:rPr>
        <w:t xml:space="preserve"> </w:t>
      </w:r>
      <w:r w:rsidR="005A5F37">
        <w:rPr>
          <w:sz w:val="24"/>
          <w:szCs w:val="24"/>
        </w:rPr>
        <w:t xml:space="preserve">target </w:t>
      </w:r>
      <w:r w:rsidR="00C26786">
        <w:rPr>
          <w:sz w:val="24"/>
          <w:szCs w:val="24"/>
        </w:rPr>
        <w:t xml:space="preserve">the free speech of </w:t>
      </w:r>
      <w:r w:rsidR="00BB3BF8">
        <w:rPr>
          <w:sz w:val="24"/>
          <w:szCs w:val="24"/>
        </w:rPr>
        <w:t xml:space="preserve"> </w:t>
      </w:r>
      <w:r w:rsidR="00C26786">
        <w:rPr>
          <w:sz w:val="24"/>
          <w:szCs w:val="24"/>
        </w:rPr>
        <w:t>supporters of Palestinian rights, especially by punishing boycott</w:t>
      </w:r>
      <w:r w:rsidR="0041292F">
        <w:rPr>
          <w:sz w:val="24"/>
          <w:szCs w:val="24"/>
        </w:rPr>
        <w:t>ers</w:t>
      </w:r>
      <w:r w:rsidR="00C26786">
        <w:rPr>
          <w:sz w:val="24"/>
          <w:szCs w:val="24"/>
        </w:rPr>
        <w:t xml:space="preserve"> </w:t>
      </w:r>
      <w:r w:rsidR="00303A8B">
        <w:rPr>
          <w:sz w:val="24"/>
          <w:szCs w:val="24"/>
        </w:rPr>
        <w:t xml:space="preserve">of </w:t>
      </w:r>
      <w:r w:rsidR="001958E3">
        <w:rPr>
          <w:sz w:val="24"/>
          <w:szCs w:val="24"/>
        </w:rPr>
        <w:t>Israel</w:t>
      </w:r>
      <w:r w:rsidR="001931E8">
        <w:rPr>
          <w:sz w:val="24"/>
          <w:szCs w:val="24"/>
        </w:rPr>
        <w:t>.</w:t>
      </w:r>
      <w:r w:rsidR="002A3FCB" w:rsidRPr="00B04452">
        <w:rPr>
          <w:rStyle w:val="EndnoteReference"/>
          <w:sz w:val="24"/>
          <w:szCs w:val="24"/>
        </w:rPr>
        <w:endnoteReference w:id="1"/>
      </w:r>
      <w:r w:rsidR="00BB5CFE" w:rsidRPr="00B04452">
        <w:rPr>
          <w:sz w:val="24"/>
          <w:szCs w:val="24"/>
        </w:rPr>
        <w:t xml:space="preserve"> </w:t>
      </w:r>
      <w:r w:rsidR="001931E8">
        <w:rPr>
          <w:sz w:val="24"/>
          <w:szCs w:val="24"/>
        </w:rPr>
        <w:t>Th</w:t>
      </w:r>
      <w:r>
        <w:rPr>
          <w:sz w:val="24"/>
          <w:szCs w:val="24"/>
        </w:rPr>
        <w:t>e</w:t>
      </w:r>
      <w:r w:rsidR="001931E8">
        <w:rPr>
          <w:sz w:val="24"/>
          <w:szCs w:val="24"/>
        </w:rPr>
        <w:t xml:space="preserve"> resolution </w:t>
      </w:r>
      <w:r w:rsidR="00BB5CFE" w:rsidRPr="00B04452">
        <w:rPr>
          <w:sz w:val="24"/>
          <w:szCs w:val="24"/>
        </w:rPr>
        <w:t xml:space="preserve">was approved by </w:t>
      </w:r>
      <w:r>
        <w:rPr>
          <w:sz w:val="24"/>
          <w:szCs w:val="24"/>
        </w:rPr>
        <w:t xml:space="preserve">an </w:t>
      </w:r>
      <w:r w:rsidR="00BB5CFE" w:rsidRPr="00B04452">
        <w:rPr>
          <w:sz w:val="24"/>
          <w:szCs w:val="24"/>
        </w:rPr>
        <w:t xml:space="preserve">ALA Membership meeting </w:t>
      </w:r>
      <w:r>
        <w:rPr>
          <w:sz w:val="24"/>
          <w:szCs w:val="24"/>
        </w:rPr>
        <w:t xml:space="preserve">and </w:t>
      </w:r>
      <w:r w:rsidR="0091561F">
        <w:rPr>
          <w:sz w:val="24"/>
          <w:szCs w:val="24"/>
        </w:rPr>
        <w:t xml:space="preserve">was </w:t>
      </w:r>
      <w:r>
        <w:rPr>
          <w:sz w:val="24"/>
          <w:szCs w:val="24"/>
        </w:rPr>
        <w:t>subsequently</w:t>
      </w:r>
      <w:r w:rsidR="00BB5CFE" w:rsidRPr="00B04452">
        <w:rPr>
          <w:sz w:val="24"/>
          <w:szCs w:val="24"/>
        </w:rPr>
        <w:t xml:space="preserve"> forwarded </w:t>
      </w:r>
      <w:r>
        <w:rPr>
          <w:sz w:val="24"/>
          <w:szCs w:val="24"/>
        </w:rPr>
        <w:t xml:space="preserve">by Council </w:t>
      </w:r>
      <w:r w:rsidR="00BB5CFE" w:rsidRPr="00B04452">
        <w:rPr>
          <w:sz w:val="24"/>
          <w:szCs w:val="24"/>
        </w:rPr>
        <w:t xml:space="preserve">to a </w:t>
      </w:r>
      <w:r w:rsidR="0091561F">
        <w:rPr>
          <w:sz w:val="24"/>
          <w:szCs w:val="24"/>
        </w:rPr>
        <w:t>task force</w:t>
      </w:r>
      <w:r w:rsidR="00926C9B">
        <w:rPr>
          <w:sz w:val="24"/>
          <w:szCs w:val="24"/>
        </w:rPr>
        <w:t>. Ultimately, the task force</w:t>
      </w:r>
      <w:r w:rsidR="0091561F">
        <w:rPr>
          <w:sz w:val="24"/>
          <w:szCs w:val="24"/>
        </w:rPr>
        <w:t xml:space="preserve"> </w:t>
      </w:r>
      <w:r w:rsidR="00B04452">
        <w:rPr>
          <w:sz w:val="24"/>
          <w:szCs w:val="24"/>
        </w:rPr>
        <w:t>submitted a</w:t>
      </w:r>
      <w:r w:rsidR="00674AA8" w:rsidRPr="00B04452">
        <w:rPr>
          <w:sz w:val="24"/>
          <w:szCs w:val="24"/>
        </w:rPr>
        <w:t xml:space="preserve"> revised version</w:t>
      </w:r>
      <w:r w:rsidR="001931E8">
        <w:rPr>
          <w:sz w:val="24"/>
          <w:szCs w:val="24"/>
        </w:rPr>
        <w:t xml:space="preserve"> </w:t>
      </w:r>
      <w:r w:rsidR="00674AA8" w:rsidRPr="00B04452">
        <w:rPr>
          <w:sz w:val="24"/>
          <w:szCs w:val="24"/>
        </w:rPr>
        <w:t>to Council.</w:t>
      </w:r>
      <w:r w:rsidR="00CF584A" w:rsidRPr="00B04452">
        <w:rPr>
          <w:rStyle w:val="EndnoteReference"/>
          <w:sz w:val="24"/>
          <w:szCs w:val="24"/>
        </w:rPr>
        <w:endnoteReference w:id="2"/>
      </w:r>
      <w:r w:rsidR="00674AA8" w:rsidRPr="00B04452">
        <w:rPr>
          <w:sz w:val="24"/>
          <w:szCs w:val="24"/>
        </w:rPr>
        <w:t xml:space="preserve"> </w:t>
      </w:r>
      <w:r w:rsidR="0091561F">
        <w:rPr>
          <w:sz w:val="24"/>
          <w:szCs w:val="24"/>
        </w:rPr>
        <w:t xml:space="preserve">SRRT was the only </w:t>
      </w:r>
      <w:r w:rsidR="00431D17">
        <w:rPr>
          <w:sz w:val="24"/>
          <w:szCs w:val="24"/>
        </w:rPr>
        <w:t xml:space="preserve">group represented on the task force </w:t>
      </w:r>
      <w:r w:rsidR="0091561F">
        <w:rPr>
          <w:sz w:val="24"/>
          <w:szCs w:val="24"/>
        </w:rPr>
        <w:t xml:space="preserve">that </w:t>
      </w:r>
      <w:r w:rsidR="00C26786">
        <w:rPr>
          <w:sz w:val="24"/>
          <w:szCs w:val="24"/>
        </w:rPr>
        <w:t xml:space="preserve">endorsed </w:t>
      </w:r>
      <w:r w:rsidR="0091561F">
        <w:rPr>
          <w:sz w:val="24"/>
          <w:szCs w:val="24"/>
        </w:rPr>
        <w:t>the revised resolution</w:t>
      </w:r>
      <w:r w:rsidR="00674AA8" w:rsidRPr="00B04452">
        <w:rPr>
          <w:sz w:val="24"/>
          <w:szCs w:val="24"/>
        </w:rPr>
        <w:t xml:space="preserve">. Consequently, </w:t>
      </w:r>
      <w:r w:rsidR="0091561F">
        <w:rPr>
          <w:sz w:val="24"/>
          <w:szCs w:val="24"/>
        </w:rPr>
        <w:t xml:space="preserve">Council </w:t>
      </w:r>
      <w:r w:rsidR="00674AA8" w:rsidRPr="00B04452">
        <w:rPr>
          <w:sz w:val="24"/>
          <w:szCs w:val="24"/>
        </w:rPr>
        <w:t>discussion</w:t>
      </w:r>
      <w:r w:rsidR="00926C9B">
        <w:rPr>
          <w:sz w:val="24"/>
          <w:szCs w:val="24"/>
        </w:rPr>
        <w:t xml:space="preserve"> at the ALA Midwinter meeting </w:t>
      </w:r>
      <w:r w:rsidR="00431D17">
        <w:rPr>
          <w:sz w:val="24"/>
          <w:szCs w:val="24"/>
        </w:rPr>
        <w:t xml:space="preserve">in </w:t>
      </w:r>
      <w:r w:rsidR="00926C9B">
        <w:rPr>
          <w:sz w:val="24"/>
          <w:szCs w:val="24"/>
        </w:rPr>
        <w:t>2020</w:t>
      </w:r>
      <w:r w:rsidR="00674AA8" w:rsidRPr="00B04452">
        <w:rPr>
          <w:sz w:val="24"/>
          <w:szCs w:val="24"/>
        </w:rPr>
        <w:t xml:space="preserve"> reverted to </w:t>
      </w:r>
      <w:r w:rsidR="00926C9B">
        <w:rPr>
          <w:sz w:val="24"/>
          <w:szCs w:val="24"/>
        </w:rPr>
        <w:t xml:space="preserve">consideration of </w:t>
      </w:r>
      <w:r w:rsidR="00674AA8" w:rsidRPr="00B04452">
        <w:rPr>
          <w:sz w:val="24"/>
          <w:szCs w:val="24"/>
        </w:rPr>
        <w:t>the original</w:t>
      </w:r>
      <w:r w:rsidR="00926C9B">
        <w:rPr>
          <w:sz w:val="24"/>
          <w:szCs w:val="24"/>
        </w:rPr>
        <w:t xml:space="preserve"> resolution</w:t>
      </w:r>
      <w:r w:rsidR="00674AA8" w:rsidRPr="00B04452">
        <w:rPr>
          <w:sz w:val="24"/>
          <w:szCs w:val="24"/>
        </w:rPr>
        <w:t xml:space="preserve">, which was defeated. </w:t>
      </w:r>
    </w:p>
    <w:p w14:paraId="63E00F81" w14:textId="77777777" w:rsidR="0041292F" w:rsidRPr="0041292F" w:rsidRDefault="0041292F" w:rsidP="001958E3">
      <w:pPr>
        <w:rPr>
          <w:b/>
          <w:bCs/>
          <w:sz w:val="24"/>
          <w:szCs w:val="24"/>
        </w:rPr>
      </w:pPr>
      <w:r w:rsidRPr="0041292F">
        <w:rPr>
          <w:b/>
          <w:bCs/>
          <w:sz w:val="24"/>
          <w:szCs w:val="24"/>
        </w:rPr>
        <w:t>What’s changed?</w:t>
      </w:r>
    </w:p>
    <w:p w14:paraId="65533E9F" w14:textId="2912C25B" w:rsidR="002A3FCB" w:rsidRPr="00B04452" w:rsidRDefault="005A5F37" w:rsidP="001958E3">
      <w:pPr>
        <w:rPr>
          <w:sz w:val="24"/>
          <w:szCs w:val="24"/>
        </w:rPr>
      </w:pPr>
      <w:r>
        <w:rPr>
          <w:sz w:val="24"/>
          <w:szCs w:val="24"/>
        </w:rPr>
        <w:t>W</w:t>
      </w:r>
      <w:r w:rsidR="00303A8B">
        <w:rPr>
          <w:sz w:val="24"/>
          <w:szCs w:val="24"/>
        </w:rPr>
        <w:t xml:space="preserve">hat </w:t>
      </w:r>
      <w:r w:rsidR="001958E3">
        <w:rPr>
          <w:sz w:val="24"/>
          <w:szCs w:val="24"/>
        </w:rPr>
        <w:t>has changed that warrant</w:t>
      </w:r>
      <w:r w:rsidR="00191688">
        <w:rPr>
          <w:sz w:val="24"/>
          <w:szCs w:val="24"/>
        </w:rPr>
        <w:t>s</w:t>
      </w:r>
      <w:r w:rsidR="001958E3">
        <w:rPr>
          <w:sz w:val="24"/>
          <w:szCs w:val="24"/>
        </w:rPr>
        <w:t xml:space="preserve"> reconsideration of the issue of anti-boycott legislation?</w:t>
      </w:r>
      <w:r w:rsidR="007709C7" w:rsidRPr="00B04452">
        <w:rPr>
          <w:sz w:val="24"/>
          <w:szCs w:val="24"/>
        </w:rPr>
        <w:t xml:space="preserve"> </w:t>
      </w:r>
      <w:r w:rsidR="0026316F">
        <w:rPr>
          <w:sz w:val="24"/>
          <w:szCs w:val="24"/>
        </w:rPr>
        <w:t>Two development</w:t>
      </w:r>
      <w:r w:rsidR="00303A8B">
        <w:rPr>
          <w:sz w:val="24"/>
          <w:szCs w:val="24"/>
        </w:rPr>
        <w:t>s stand out</w:t>
      </w:r>
      <w:r w:rsidR="0026316F">
        <w:rPr>
          <w:sz w:val="24"/>
          <w:szCs w:val="24"/>
        </w:rPr>
        <w:t>:</w:t>
      </w:r>
    </w:p>
    <w:p w14:paraId="595F34DF" w14:textId="77777777" w:rsidR="001746EC" w:rsidRPr="004729D2" w:rsidRDefault="001958E3" w:rsidP="001746EC">
      <w:pPr>
        <w:pStyle w:val="ListParagraph"/>
        <w:ind w:left="0"/>
        <w:rPr>
          <w:i/>
          <w:iCs/>
          <w:sz w:val="24"/>
          <w:szCs w:val="24"/>
        </w:rPr>
      </w:pPr>
      <w:r w:rsidRPr="004729D2">
        <w:rPr>
          <w:i/>
          <w:iCs/>
          <w:sz w:val="24"/>
          <w:szCs w:val="24"/>
        </w:rPr>
        <w:t xml:space="preserve">1. </w:t>
      </w:r>
      <w:r w:rsidR="001746EC">
        <w:rPr>
          <w:i/>
          <w:iCs/>
          <w:sz w:val="24"/>
          <w:szCs w:val="24"/>
        </w:rPr>
        <w:t>Assaults on Free Speech</w:t>
      </w:r>
    </w:p>
    <w:p w14:paraId="347C4793" w14:textId="77777777" w:rsidR="001746EC" w:rsidRDefault="001746EC" w:rsidP="001746EC">
      <w:pPr>
        <w:rPr>
          <w:sz w:val="24"/>
          <w:szCs w:val="24"/>
        </w:rPr>
      </w:pPr>
      <w:r w:rsidRPr="00CC3E95">
        <w:rPr>
          <w:sz w:val="24"/>
          <w:szCs w:val="24"/>
        </w:rPr>
        <w:t>In 2020 SRRT Action Council observed</w:t>
      </w:r>
      <w:r>
        <w:rPr>
          <w:sz w:val="24"/>
          <w:szCs w:val="24"/>
        </w:rPr>
        <w:t xml:space="preserve"> that </w:t>
      </w:r>
      <w:r w:rsidRPr="00CC3E95">
        <w:rPr>
          <w:sz w:val="24"/>
          <w:szCs w:val="24"/>
        </w:rPr>
        <w:t>“</w:t>
      </w:r>
      <w:r>
        <w:rPr>
          <w:sz w:val="24"/>
          <w:szCs w:val="24"/>
        </w:rPr>
        <w:t>f</w:t>
      </w:r>
      <w:r w:rsidRPr="00CC3E95">
        <w:rPr>
          <w:sz w:val="24"/>
          <w:szCs w:val="24"/>
        </w:rPr>
        <w:t xml:space="preserve">ree expression and intellectual freedom are currently under attack” and </w:t>
      </w:r>
      <w:r>
        <w:rPr>
          <w:sz w:val="24"/>
          <w:szCs w:val="24"/>
        </w:rPr>
        <w:t xml:space="preserve">it </w:t>
      </w:r>
      <w:r w:rsidRPr="00CC3E95">
        <w:rPr>
          <w:sz w:val="24"/>
          <w:szCs w:val="24"/>
        </w:rPr>
        <w:t>predicted</w:t>
      </w:r>
      <w:r>
        <w:rPr>
          <w:sz w:val="24"/>
          <w:szCs w:val="24"/>
        </w:rPr>
        <w:t xml:space="preserve"> that</w:t>
      </w:r>
      <w:r w:rsidRPr="00CC3E95">
        <w:rPr>
          <w:sz w:val="24"/>
          <w:szCs w:val="24"/>
        </w:rPr>
        <w:t xml:space="preserve"> “</w:t>
      </w:r>
      <w:r>
        <w:rPr>
          <w:sz w:val="24"/>
          <w:szCs w:val="24"/>
        </w:rPr>
        <w:t>u</w:t>
      </w:r>
      <w:r w:rsidRPr="00CC3E95">
        <w:rPr>
          <w:sz w:val="24"/>
          <w:szCs w:val="24"/>
        </w:rPr>
        <w:t>nless it is stopped, we can expect even more restrictive legislation against supporters of Palestinian rights—and then perhaps against other groups</w:t>
      </w:r>
      <w:r>
        <w:rPr>
          <w:sz w:val="24"/>
          <w:szCs w:val="24"/>
        </w:rPr>
        <w:t xml:space="preserve"> ....”</w:t>
      </w:r>
      <w:r w:rsidRPr="00CC3E95">
        <w:rPr>
          <w:rStyle w:val="EndnoteReference"/>
          <w:sz w:val="24"/>
          <w:szCs w:val="24"/>
        </w:rPr>
        <w:endnoteReference w:id="3"/>
      </w:r>
      <w:r>
        <w:rPr>
          <w:sz w:val="24"/>
          <w:szCs w:val="24"/>
        </w:rPr>
        <w:t xml:space="preserve"> Since then, there has been a massive assault on free speech.</w:t>
      </w:r>
    </w:p>
    <w:p w14:paraId="1ED28FD9" w14:textId="24C1A5A1" w:rsidR="001746EC" w:rsidRPr="008400AC" w:rsidRDefault="00261814" w:rsidP="001746EC">
      <w:pPr>
        <w:rPr>
          <w:i/>
          <w:iCs/>
          <w:sz w:val="24"/>
          <w:szCs w:val="24"/>
        </w:rPr>
      </w:pPr>
      <w:r w:rsidRPr="008400AC">
        <w:rPr>
          <w:i/>
          <w:iCs/>
          <w:sz w:val="24"/>
          <w:szCs w:val="24"/>
        </w:rPr>
        <w:t xml:space="preserve">Regarding the right to boycott, one form </w:t>
      </w:r>
      <w:r w:rsidR="001746EC" w:rsidRPr="008400AC">
        <w:rPr>
          <w:i/>
          <w:iCs/>
          <w:sz w:val="24"/>
          <w:szCs w:val="24"/>
        </w:rPr>
        <w:t xml:space="preserve">this has taken </w:t>
      </w:r>
      <w:r w:rsidRPr="008400AC">
        <w:rPr>
          <w:i/>
          <w:iCs/>
          <w:sz w:val="24"/>
          <w:szCs w:val="24"/>
        </w:rPr>
        <w:t xml:space="preserve">has been </w:t>
      </w:r>
      <w:r w:rsidRPr="008400AC">
        <w:rPr>
          <w:i/>
          <w:iCs/>
          <w:sz w:val="24"/>
          <w:szCs w:val="24"/>
          <w:u w:val="single"/>
        </w:rPr>
        <w:t xml:space="preserve">the introduction of </w:t>
      </w:r>
      <w:r w:rsidR="001746EC" w:rsidRPr="008400AC">
        <w:rPr>
          <w:i/>
          <w:iCs/>
          <w:sz w:val="24"/>
          <w:szCs w:val="24"/>
          <w:u w:val="single"/>
        </w:rPr>
        <w:t>copycat legislation targeting other boycotts</w:t>
      </w:r>
      <w:r w:rsidR="001746EC" w:rsidRPr="008400AC">
        <w:rPr>
          <w:i/>
          <w:iCs/>
          <w:sz w:val="24"/>
          <w:szCs w:val="24"/>
        </w:rPr>
        <w:t>. At the time of this writing, bills patterned after anti-BDS legislation that target companies boycotting the fossil fuel industry have been introduced in at least five states and have passed in one.</w:t>
      </w:r>
      <w:r w:rsidR="001746EC" w:rsidRPr="008400AC">
        <w:rPr>
          <w:rStyle w:val="EndnoteReference"/>
          <w:i/>
          <w:iCs/>
          <w:sz w:val="24"/>
          <w:szCs w:val="24"/>
        </w:rPr>
        <w:endnoteReference w:id="4"/>
      </w:r>
      <w:r w:rsidR="001746EC" w:rsidRPr="008400AC">
        <w:rPr>
          <w:i/>
          <w:iCs/>
          <w:sz w:val="24"/>
          <w:szCs w:val="24"/>
        </w:rPr>
        <w:t xml:space="preserve"> Copycat bills targeting companies that boycott the firearm and ammunition industry have been introduced in at least 12 states and have passed in two.</w:t>
      </w:r>
      <w:r w:rsidR="001746EC" w:rsidRPr="008400AC">
        <w:rPr>
          <w:rStyle w:val="EndnoteReference"/>
          <w:i/>
          <w:iCs/>
          <w:sz w:val="24"/>
          <w:szCs w:val="24"/>
        </w:rPr>
        <w:endnoteReference w:id="5"/>
      </w:r>
    </w:p>
    <w:p w14:paraId="086ACAFF" w14:textId="6A71CE83" w:rsidR="001746EC" w:rsidRPr="00A913A8" w:rsidRDefault="0000243E" w:rsidP="00A913A8">
      <w:pPr>
        <w:rPr>
          <w:sz w:val="24"/>
          <w:szCs w:val="24"/>
        </w:rPr>
      </w:pPr>
      <w:r>
        <w:rPr>
          <w:sz w:val="24"/>
          <w:szCs w:val="24"/>
        </w:rPr>
        <w:t xml:space="preserve">Regarding boycotts for Palestinian rights, </w:t>
      </w:r>
      <w:r w:rsidR="00C6701F">
        <w:rPr>
          <w:sz w:val="24"/>
          <w:szCs w:val="24"/>
        </w:rPr>
        <w:t xml:space="preserve">the number of states that have </w:t>
      </w:r>
      <w:r w:rsidR="001746EC" w:rsidRPr="00A913A8">
        <w:rPr>
          <w:sz w:val="24"/>
          <w:szCs w:val="24"/>
        </w:rPr>
        <w:t>adopted legislation against boycotts of Israel</w:t>
      </w:r>
      <w:r w:rsidR="008400AC">
        <w:rPr>
          <w:sz w:val="24"/>
          <w:szCs w:val="24"/>
        </w:rPr>
        <w:t xml:space="preserve"> has g</w:t>
      </w:r>
      <w:r w:rsidR="00E37F42">
        <w:rPr>
          <w:sz w:val="24"/>
          <w:szCs w:val="24"/>
        </w:rPr>
        <w:t>rown</w:t>
      </w:r>
      <w:r w:rsidR="008400AC">
        <w:rPr>
          <w:sz w:val="24"/>
          <w:szCs w:val="24"/>
        </w:rPr>
        <w:t xml:space="preserve"> from 27 in January 2020 to 32</w:t>
      </w:r>
      <w:r w:rsidR="00C6701F">
        <w:rPr>
          <w:sz w:val="24"/>
          <w:szCs w:val="24"/>
        </w:rPr>
        <w:t xml:space="preserve"> today</w:t>
      </w:r>
      <w:r w:rsidR="00F40B5C">
        <w:rPr>
          <w:sz w:val="24"/>
          <w:szCs w:val="24"/>
        </w:rPr>
        <w:t>, and</w:t>
      </w:r>
      <w:r>
        <w:rPr>
          <w:sz w:val="24"/>
          <w:szCs w:val="24"/>
        </w:rPr>
        <w:t xml:space="preserve"> </w:t>
      </w:r>
      <w:r w:rsidR="001746EC" w:rsidRPr="00A913A8">
        <w:rPr>
          <w:sz w:val="24"/>
          <w:szCs w:val="24"/>
        </w:rPr>
        <w:t xml:space="preserve">similar bills are </w:t>
      </w:r>
      <w:r w:rsidR="00C6701F">
        <w:rPr>
          <w:sz w:val="24"/>
          <w:szCs w:val="24"/>
        </w:rPr>
        <w:t xml:space="preserve">currently </w:t>
      </w:r>
      <w:r w:rsidR="001746EC" w:rsidRPr="00A913A8">
        <w:rPr>
          <w:sz w:val="24"/>
          <w:szCs w:val="24"/>
        </w:rPr>
        <w:t>pending in 12</w:t>
      </w:r>
      <w:r w:rsidR="00C6701F">
        <w:rPr>
          <w:sz w:val="24"/>
          <w:szCs w:val="24"/>
        </w:rPr>
        <w:t xml:space="preserve"> states</w:t>
      </w:r>
      <w:r w:rsidR="001746EC" w:rsidRPr="00A913A8">
        <w:rPr>
          <w:sz w:val="24"/>
          <w:szCs w:val="24"/>
        </w:rPr>
        <w:t>.</w:t>
      </w:r>
      <w:r w:rsidR="001746EC">
        <w:rPr>
          <w:rStyle w:val="EndnoteReference"/>
          <w:sz w:val="24"/>
          <w:szCs w:val="24"/>
        </w:rPr>
        <w:endnoteReference w:id="6"/>
      </w:r>
      <w:r w:rsidR="001746EC" w:rsidRPr="00A913A8">
        <w:rPr>
          <w:sz w:val="24"/>
          <w:szCs w:val="24"/>
        </w:rPr>
        <w:t xml:space="preserve"> On the federal level, the Combatting BDS Act, which would condone the state legislation against boycotts of Israel, and The Israel Anti-Boycott Act, which would criminalize boycotts of Israel, have been reintroduced.</w:t>
      </w:r>
      <w:r w:rsidR="001746EC">
        <w:rPr>
          <w:rStyle w:val="EndnoteReference"/>
          <w:sz w:val="24"/>
          <w:szCs w:val="24"/>
        </w:rPr>
        <w:endnoteReference w:id="7"/>
      </w:r>
      <w:r w:rsidR="001746EC" w:rsidRPr="00A913A8">
        <w:rPr>
          <w:sz w:val="24"/>
          <w:szCs w:val="24"/>
        </w:rPr>
        <w:t xml:space="preserve"> </w:t>
      </w:r>
      <w:r w:rsidR="001746EC" w:rsidRPr="00A913A8">
        <w:rPr>
          <w:rStyle w:val="Hyperlink"/>
          <w:rFonts w:ascii="Calibri" w:hAnsi="Calibri" w:cs="Calibri"/>
          <w:color w:val="000000" w:themeColor="text1"/>
          <w:sz w:val="24"/>
          <w:szCs w:val="24"/>
          <w:u w:val="none"/>
        </w:rPr>
        <w:t xml:space="preserve">Though federal courts in five states have declared state legislation against boycotts of Israel unconstitutional, </w:t>
      </w:r>
      <w:r w:rsidR="001746EC" w:rsidRPr="00A913A8">
        <w:rPr>
          <w:sz w:val="24"/>
          <w:szCs w:val="24"/>
        </w:rPr>
        <w:t>several states have responded by amending their anti-BDS laws to remove the standing of plaintiffs without addressing the constitutional violations.</w:t>
      </w:r>
      <w:r w:rsidR="001746EC">
        <w:rPr>
          <w:rStyle w:val="EndnoteReference"/>
          <w:sz w:val="24"/>
          <w:szCs w:val="24"/>
        </w:rPr>
        <w:endnoteReference w:id="8"/>
      </w:r>
      <w:r w:rsidR="00134FED">
        <w:rPr>
          <w:sz w:val="24"/>
          <w:szCs w:val="24"/>
        </w:rPr>
        <w:t xml:space="preserve"> </w:t>
      </w:r>
      <w:r w:rsidR="007A67F6">
        <w:rPr>
          <w:sz w:val="24"/>
          <w:szCs w:val="24"/>
        </w:rPr>
        <w:t>G</w:t>
      </w:r>
      <w:r w:rsidR="001746EC" w:rsidRPr="00A913A8">
        <w:rPr>
          <w:sz w:val="24"/>
          <w:szCs w:val="24"/>
        </w:rPr>
        <w:t>iven the willingness of the current Supreme Court to overturn precedents regarding established constitutional rights, the future of the right to boycott is uncertain.</w:t>
      </w:r>
    </w:p>
    <w:p w14:paraId="4D8B5EBC" w14:textId="657EE98C" w:rsidR="001746EC" w:rsidRPr="0000243E" w:rsidRDefault="001746EC" w:rsidP="0000243E">
      <w:pPr>
        <w:rPr>
          <w:sz w:val="24"/>
          <w:szCs w:val="24"/>
        </w:rPr>
      </w:pPr>
      <w:r>
        <w:rPr>
          <w:sz w:val="24"/>
          <w:szCs w:val="24"/>
        </w:rPr>
        <w:t>More broadly</w:t>
      </w:r>
      <w:r w:rsidR="00A913A8">
        <w:rPr>
          <w:sz w:val="24"/>
          <w:szCs w:val="24"/>
        </w:rPr>
        <w:t>, i</w:t>
      </w:r>
      <w:r w:rsidRPr="00A913A8">
        <w:rPr>
          <w:sz w:val="24"/>
          <w:szCs w:val="24"/>
        </w:rPr>
        <w:t xml:space="preserve">n the wake of demonstrations responding to the murder of George Floyd in 2020, there has been a </w:t>
      </w:r>
      <w:r w:rsidR="00431D17">
        <w:rPr>
          <w:sz w:val="24"/>
          <w:szCs w:val="24"/>
        </w:rPr>
        <w:t xml:space="preserve">massive </w:t>
      </w:r>
      <w:r w:rsidRPr="00A913A8">
        <w:rPr>
          <w:sz w:val="24"/>
          <w:szCs w:val="24"/>
        </w:rPr>
        <w:t>wave of state legislation restricting the right to demonstrate.</w:t>
      </w:r>
      <w:r>
        <w:rPr>
          <w:rStyle w:val="EndnoteReference"/>
          <w:sz w:val="24"/>
          <w:szCs w:val="24"/>
        </w:rPr>
        <w:endnoteReference w:id="9"/>
      </w:r>
      <w:r w:rsidRPr="00A913A8">
        <w:rPr>
          <w:sz w:val="24"/>
          <w:szCs w:val="24"/>
        </w:rPr>
        <w:t xml:space="preserve"> In the last two legislative sessions more than 100 curriculum censorship bills have been </w:t>
      </w:r>
      <w:r w:rsidRPr="00A913A8">
        <w:rPr>
          <w:sz w:val="24"/>
          <w:szCs w:val="24"/>
        </w:rPr>
        <w:lastRenderedPageBreak/>
        <w:t>introduced in state legislatures.</w:t>
      </w:r>
      <w:r>
        <w:rPr>
          <w:rStyle w:val="EndnoteReference"/>
          <w:sz w:val="24"/>
          <w:szCs w:val="24"/>
        </w:rPr>
        <w:endnoteReference w:id="10"/>
      </w:r>
      <w:r w:rsidRPr="00A913A8">
        <w:rPr>
          <w:sz w:val="24"/>
          <w:szCs w:val="24"/>
        </w:rPr>
        <w:t xml:space="preserve"> And, of course, there has been an unprecedented number of book challenges in libraries.</w:t>
      </w:r>
      <w:r>
        <w:rPr>
          <w:rStyle w:val="EndnoteReference"/>
          <w:sz w:val="24"/>
          <w:szCs w:val="24"/>
        </w:rPr>
        <w:endnoteReference w:id="11"/>
      </w:r>
      <w:r w:rsidRPr="00A913A8">
        <w:rPr>
          <w:color w:val="FF0000"/>
          <w:sz w:val="24"/>
          <w:szCs w:val="24"/>
        </w:rPr>
        <w:t xml:space="preserve"> </w:t>
      </w:r>
    </w:p>
    <w:p w14:paraId="2CDCABBD" w14:textId="6153F2F3" w:rsidR="008F6E9A" w:rsidRPr="004729D2" w:rsidRDefault="001746EC" w:rsidP="004729D2">
      <w:pPr>
        <w:pStyle w:val="ListParagraph"/>
        <w:ind w:left="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2. </w:t>
      </w:r>
      <w:r w:rsidR="001958E3" w:rsidRPr="004729D2">
        <w:rPr>
          <w:i/>
          <w:iCs/>
          <w:sz w:val="24"/>
          <w:szCs w:val="24"/>
        </w:rPr>
        <w:t>What we know about the library connection</w:t>
      </w:r>
    </w:p>
    <w:p w14:paraId="48D6F351" w14:textId="1511F432" w:rsidR="004729D2" w:rsidRDefault="00FD3B68" w:rsidP="004729D2">
      <w:pPr>
        <w:rPr>
          <w:sz w:val="24"/>
          <w:szCs w:val="24"/>
        </w:rPr>
      </w:pPr>
      <w:r w:rsidRPr="001F4F17">
        <w:rPr>
          <w:sz w:val="24"/>
          <w:szCs w:val="24"/>
        </w:rPr>
        <w:t xml:space="preserve">The </w:t>
      </w:r>
      <w:r w:rsidR="00086506" w:rsidRPr="001F4F17">
        <w:rPr>
          <w:sz w:val="24"/>
          <w:szCs w:val="24"/>
        </w:rPr>
        <w:t xml:space="preserve">most frequent </w:t>
      </w:r>
      <w:r w:rsidRPr="001F4F17">
        <w:rPr>
          <w:sz w:val="24"/>
          <w:szCs w:val="24"/>
        </w:rPr>
        <w:t xml:space="preserve">objection to </w:t>
      </w:r>
      <w:r w:rsidR="0038757A" w:rsidRPr="001F4F17">
        <w:rPr>
          <w:sz w:val="24"/>
          <w:szCs w:val="24"/>
        </w:rPr>
        <w:t xml:space="preserve">our earlier </w:t>
      </w:r>
      <w:r w:rsidR="00086506" w:rsidRPr="001F4F17">
        <w:rPr>
          <w:sz w:val="24"/>
          <w:szCs w:val="24"/>
        </w:rPr>
        <w:t>resolution</w:t>
      </w:r>
      <w:r w:rsidR="00D8757D" w:rsidRPr="001F4F17">
        <w:rPr>
          <w:sz w:val="24"/>
          <w:szCs w:val="24"/>
        </w:rPr>
        <w:t xml:space="preserve"> in</w:t>
      </w:r>
      <w:r w:rsidR="004A6B33" w:rsidRPr="001F4F17">
        <w:rPr>
          <w:sz w:val="24"/>
          <w:szCs w:val="24"/>
        </w:rPr>
        <w:t xml:space="preserve"> 2019-2020 </w:t>
      </w:r>
      <w:r w:rsidRPr="001F4F17">
        <w:rPr>
          <w:sz w:val="24"/>
          <w:szCs w:val="24"/>
        </w:rPr>
        <w:t xml:space="preserve">was </w:t>
      </w:r>
      <w:r w:rsidR="004A6B33" w:rsidRPr="001F4F17">
        <w:rPr>
          <w:sz w:val="24"/>
          <w:szCs w:val="24"/>
        </w:rPr>
        <w:t xml:space="preserve">that </w:t>
      </w:r>
      <w:r w:rsidR="00BB6272" w:rsidRPr="001F4F17">
        <w:rPr>
          <w:sz w:val="24"/>
          <w:szCs w:val="24"/>
        </w:rPr>
        <w:t>it was</w:t>
      </w:r>
      <w:r w:rsidR="008949B9" w:rsidRPr="001F4F17">
        <w:rPr>
          <w:sz w:val="24"/>
          <w:szCs w:val="24"/>
        </w:rPr>
        <w:t xml:space="preserve"> not a library issue</w:t>
      </w:r>
      <w:r w:rsidR="00D8757D" w:rsidRPr="001F4F17">
        <w:rPr>
          <w:sz w:val="24"/>
          <w:szCs w:val="24"/>
        </w:rPr>
        <w:t>.</w:t>
      </w:r>
      <w:r w:rsidR="00E07D90" w:rsidRPr="001F4F17">
        <w:rPr>
          <w:sz w:val="24"/>
          <w:szCs w:val="24"/>
        </w:rPr>
        <w:t xml:space="preserve"> </w:t>
      </w:r>
      <w:r w:rsidR="00F01FBE" w:rsidRPr="001F4F17">
        <w:rPr>
          <w:sz w:val="24"/>
          <w:szCs w:val="24"/>
        </w:rPr>
        <w:t>In</w:t>
      </w:r>
      <w:r w:rsidR="00F01FBE">
        <w:rPr>
          <w:sz w:val="24"/>
          <w:szCs w:val="24"/>
        </w:rPr>
        <w:t xml:space="preserve"> response, </w:t>
      </w:r>
      <w:r w:rsidR="004729D2">
        <w:rPr>
          <w:sz w:val="24"/>
          <w:szCs w:val="24"/>
        </w:rPr>
        <w:t xml:space="preserve">we </w:t>
      </w:r>
      <w:r w:rsidR="00895C1E">
        <w:rPr>
          <w:sz w:val="24"/>
          <w:szCs w:val="24"/>
        </w:rPr>
        <w:t xml:space="preserve">cited </w:t>
      </w:r>
      <w:r w:rsidR="00D8757D">
        <w:rPr>
          <w:sz w:val="24"/>
          <w:szCs w:val="24"/>
        </w:rPr>
        <w:t>relevant ALA core values and policies</w:t>
      </w:r>
      <w:r w:rsidR="005C6ADB">
        <w:rPr>
          <w:sz w:val="24"/>
          <w:szCs w:val="24"/>
        </w:rPr>
        <w:t xml:space="preserve"> </w:t>
      </w:r>
      <w:r w:rsidR="005C6ADB" w:rsidRPr="00837F99">
        <w:rPr>
          <w:sz w:val="24"/>
          <w:szCs w:val="24"/>
        </w:rPr>
        <w:t>in defense of free speech</w:t>
      </w:r>
      <w:r w:rsidR="00B16C1D" w:rsidRPr="00837F99">
        <w:rPr>
          <w:sz w:val="24"/>
          <w:szCs w:val="24"/>
        </w:rPr>
        <w:t>.</w:t>
      </w:r>
      <w:r w:rsidR="00C17F4F" w:rsidRPr="00837F99">
        <w:rPr>
          <w:rStyle w:val="EndnoteReference"/>
          <w:sz w:val="24"/>
          <w:szCs w:val="24"/>
        </w:rPr>
        <w:endnoteReference w:id="12"/>
      </w:r>
      <w:r w:rsidR="00D8757D">
        <w:rPr>
          <w:sz w:val="24"/>
          <w:szCs w:val="24"/>
        </w:rPr>
        <w:t xml:space="preserve"> </w:t>
      </w:r>
      <w:r w:rsidR="00CA4F68">
        <w:rPr>
          <w:sz w:val="24"/>
          <w:szCs w:val="24"/>
        </w:rPr>
        <w:t>Beyond that, a</w:t>
      </w:r>
      <w:r w:rsidR="00B16C1D">
        <w:rPr>
          <w:sz w:val="24"/>
          <w:szCs w:val="24"/>
        </w:rPr>
        <w:t>t</w:t>
      </w:r>
      <w:r w:rsidR="00895C1E">
        <w:rPr>
          <w:sz w:val="24"/>
          <w:szCs w:val="24"/>
        </w:rPr>
        <w:t xml:space="preserve"> the Midwinter meeting </w:t>
      </w:r>
      <w:r w:rsidR="00B16C1D">
        <w:rPr>
          <w:sz w:val="24"/>
          <w:szCs w:val="24"/>
        </w:rPr>
        <w:t xml:space="preserve">we </w:t>
      </w:r>
      <w:r w:rsidR="00895C1E">
        <w:rPr>
          <w:sz w:val="24"/>
          <w:szCs w:val="24"/>
        </w:rPr>
        <w:t>pointed</w:t>
      </w:r>
      <w:r w:rsidR="00D8757D">
        <w:rPr>
          <w:sz w:val="24"/>
          <w:szCs w:val="24"/>
        </w:rPr>
        <w:t xml:space="preserve"> to </w:t>
      </w:r>
      <w:r w:rsidR="00E62364" w:rsidRPr="001F4F17">
        <w:rPr>
          <w:sz w:val="24"/>
          <w:szCs w:val="24"/>
        </w:rPr>
        <w:t xml:space="preserve">a few </w:t>
      </w:r>
      <w:r w:rsidR="004729D2" w:rsidRPr="001F4F17">
        <w:rPr>
          <w:sz w:val="24"/>
          <w:szCs w:val="24"/>
        </w:rPr>
        <w:t>library</w:t>
      </w:r>
      <w:r w:rsidR="00F01FBE" w:rsidRPr="001F4F17">
        <w:rPr>
          <w:sz w:val="24"/>
          <w:szCs w:val="24"/>
        </w:rPr>
        <w:t>-</w:t>
      </w:r>
      <w:r w:rsidR="004729D2" w:rsidRPr="001F4F17">
        <w:rPr>
          <w:sz w:val="24"/>
          <w:szCs w:val="24"/>
        </w:rPr>
        <w:t xml:space="preserve">related contracts </w:t>
      </w:r>
      <w:r w:rsidR="00E62364" w:rsidRPr="001F4F17">
        <w:rPr>
          <w:sz w:val="24"/>
          <w:szCs w:val="24"/>
        </w:rPr>
        <w:t>an</w:t>
      </w:r>
      <w:r w:rsidR="00B16C1D" w:rsidRPr="001F4F17">
        <w:rPr>
          <w:sz w:val="24"/>
          <w:szCs w:val="24"/>
        </w:rPr>
        <w:t>d an</w:t>
      </w:r>
      <w:r w:rsidR="00E62364" w:rsidRPr="001F4F17">
        <w:rPr>
          <w:sz w:val="24"/>
          <w:szCs w:val="24"/>
        </w:rPr>
        <w:t xml:space="preserve"> RFP</w:t>
      </w:r>
      <w:r w:rsidR="00FE7615" w:rsidRPr="001F4F17">
        <w:rPr>
          <w:sz w:val="24"/>
          <w:szCs w:val="24"/>
        </w:rPr>
        <w:t xml:space="preserve"> </w:t>
      </w:r>
      <w:r w:rsidR="004729D2" w:rsidRPr="001F4F17">
        <w:rPr>
          <w:sz w:val="24"/>
          <w:szCs w:val="24"/>
        </w:rPr>
        <w:t xml:space="preserve">that </w:t>
      </w:r>
      <w:r w:rsidR="00E62364" w:rsidRPr="001F4F17">
        <w:rPr>
          <w:sz w:val="24"/>
          <w:szCs w:val="24"/>
        </w:rPr>
        <w:t xml:space="preserve">contained </w:t>
      </w:r>
      <w:r w:rsidR="00CA4F68" w:rsidRPr="001F4F17">
        <w:rPr>
          <w:sz w:val="24"/>
          <w:szCs w:val="24"/>
        </w:rPr>
        <w:t xml:space="preserve">explicit </w:t>
      </w:r>
      <w:r w:rsidR="00F01FBE" w:rsidRPr="001F4F17">
        <w:rPr>
          <w:sz w:val="24"/>
          <w:szCs w:val="24"/>
        </w:rPr>
        <w:t xml:space="preserve">state-mandated </w:t>
      </w:r>
      <w:r w:rsidR="004729D2" w:rsidRPr="001F4F17">
        <w:rPr>
          <w:sz w:val="24"/>
          <w:szCs w:val="24"/>
        </w:rPr>
        <w:t>anti-boycott</w:t>
      </w:r>
      <w:r w:rsidR="00F01FBE" w:rsidRPr="001F4F17">
        <w:rPr>
          <w:sz w:val="24"/>
          <w:szCs w:val="24"/>
        </w:rPr>
        <w:t xml:space="preserve"> pledge</w:t>
      </w:r>
      <w:r w:rsidR="008400AC" w:rsidRPr="001F4F17">
        <w:rPr>
          <w:sz w:val="24"/>
          <w:szCs w:val="24"/>
        </w:rPr>
        <w:t>s</w:t>
      </w:r>
      <w:r w:rsidR="00D8757D" w:rsidRPr="001F4F17">
        <w:rPr>
          <w:sz w:val="24"/>
          <w:szCs w:val="24"/>
        </w:rPr>
        <w:t>.</w:t>
      </w:r>
      <w:r w:rsidR="002E3A6B" w:rsidRPr="001F4F17">
        <w:rPr>
          <w:rStyle w:val="EndnoteReference"/>
          <w:sz w:val="24"/>
          <w:szCs w:val="24"/>
        </w:rPr>
        <w:endnoteReference w:id="13"/>
      </w:r>
      <w:r w:rsidR="00D8757D" w:rsidRPr="001F4F17">
        <w:rPr>
          <w:sz w:val="24"/>
          <w:szCs w:val="24"/>
        </w:rPr>
        <w:t xml:space="preserve"> </w:t>
      </w:r>
      <w:r w:rsidR="00CA4F68">
        <w:rPr>
          <w:sz w:val="24"/>
          <w:szCs w:val="24"/>
        </w:rPr>
        <w:t>W</w:t>
      </w:r>
      <w:r w:rsidR="00EB7C5C">
        <w:rPr>
          <w:sz w:val="24"/>
          <w:szCs w:val="24"/>
        </w:rPr>
        <w:t>e</w:t>
      </w:r>
      <w:r w:rsidR="00B16C1D">
        <w:rPr>
          <w:sz w:val="24"/>
          <w:szCs w:val="24"/>
        </w:rPr>
        <w:t xml:space="preserve"> </w:t>
      </w:r>
      <w:r w:rsidR="00F01FBE">
        <w:rPr>
          <w:sz w:val="24"/>
          <w:szCs w:val="24"/>
        </w:rPr>
        <w:t xml:space="preserve">predicted that many more </w:t>
      </w:r>
      <w:r w:rsidR="00CA4F68">
        <w:rPr>
          <w:sz w:val="24"/>
          <w:szCs w:val="24"/>
        </w:rPr>
        <w:t>c</w:t>
      </w:r>
      <w:r w:rsidR="00F01FBE">
        <w:rPr>
          <w:sz w:val="24"/>
          <w:szCs w:val="24"/>
        </w:rPr>
        <w:t>ould be found.</w:t>
      </w:r>
    </w:p>
    <w:p w14:paraId="0D7DE5F0" w14:textId="60D9132C" w:rsidR="00A913A8" w:rsidRPr="008400AC" w:rsidRDefault="00FC6793" w:rsidP="005F576D">
      <w:pPr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 </w:t>
      </w:r>
      <w:r w:rsidR="001F4F17">
        <w:rPr>
          <w:i/>
          <w:iCs/>
          <w:sz w:val="24"/>
          <w:szCs w:val="24"/>
        </w:rPr>
        <w:t xml:space="preserve">Since then, we have located </w:t>
      </w:r>
      <w:r w:rsidR="003B130A" w:rsidRPr="008400AC">
        <w:rPr>
          <w:i/>
          <w:iCs/>
          <w:sz w:val="24"/>
          <w:szCs w:val="24"/>
          <w:u w:val="single"/>
        </w:rPr>
        <w:t xml:space="preserve">RFPs and </w:t>
      </w:r>
      <w:r w:rsidR="0059563F" w:rsidRPr="008400AC">
        <w:rPr>
          <w:i/>
          <w:iCs/>
          <w:sz w:val="24"/>
          <w:szCs w:val="24"/>
          <w:u w:val="single"/>
        </w:rPr>
        <w:t xml:space="preserve">contracts for </w:t>
      </w:r>
      <w:r w:rsidR="00DB3222" w:rsidRPr="008400AC">
        <w:rPr>
          <w:i/>
          <w:iCs/>
          <w:sz w:val="24"/>
          <w:szCs w:val="24"/>
          <w:u w:val="single"/>
        </w:rPr>
        <w:t>at least 1</w:t>
      </w:r>
      <w:r w:rsidR="001746EC" w:rsidRPr="008400AC">
        <w:rPr>
          <w:i/>
          <w:iCs/>
          <w:sz w:val="24"/>
          <w:szCs w:val="24"/>
          <w:u w:val="single"/>
        </w:rPr>
        <w:t>72</w:t>
      </w:r>
      <w:r w:rsidR="00DB3222" w:rsidRPr="008400AC">
        <w:rPr>
          <w:i/>
          <w:iCs/>
          <w:sz w:val="24"/>
          <w:szCs w:val="24"/>
          <w:u w:val="single"/>
        </w:rPr>
        <w:t xml:space="preserve"> </w:t>
      </w:r>
      <w:r w:rsidR="0059563F" w:rsidRPr="008400AC">
        <w:rPr>
          <w:i/>
          <w:iCs/>
          <w:sz w:val="24"/>
          <w:szCs w:val="24"/>
          <w:u w:val="single"/>
        </w:rPr>
        <w:t>separate library projects</w:t>
      </w:r>
      <w:r w:rsidR="0059563F" w:rsidRPr="00E8798D">
        <w:rPr>
          <w:i/>
          <w:iCs/>
          <w:sz w:val="24"/>
          <w:szCs w:val="24"/>
          <w:u w:val="single"/>
        </w:rPr>
        <w:t xml:space="preserve"> that </w:t>
      </w:r>
      <w:r w:rsidR="004729D2" w:rsidRPr="00E8798D">
        <w:rPr>
          <w:i/>
          <w:iCs/>
          <w:sz w:val="24"/>
          <w:szCs w:val="24"/>
          <w:u w:val="single"/>
        </w:rPr>
        <w:t xml:space="preserve">have been forced to include </w:t>
      </w:r>
      <w:r w:rsidR="0059563F" w:rsidRPr="00E8798D">
        <w:rPr>
          <w:i/>
          <w:iCs/>
          <w:sz w:val="24"/>
          <w:szCs w:val="24"/>
          <w:u w:val="single"/>
        </w:rPr>
        <w:t>state-mandated pledges the contractor will not boycott Israel</w:t>
      </w:r>
      <w:r w:rsidR="0059563F" w:rsidRPr="008400AC">
        <w:rPr>
          <w:i/>
          <w:iCs/>
          <w:sz w:val="24"/>
          <w:szCs w:val="24"/>
        </w:rPr>
        <w:t>.</w:t>
      </w:r>
      <w:r w:rsidR="0059563F" w:rsidRPr="008400AC">
        <w:rPr>
          <w:rStyle w:val="EndnoteReference"/>
          <w:i/>
          <w:iCs/>
          <w:sz w:val="24"/>
          <w:szCs w:val="24"/>
        </w:rPr>
        <w:endnoteReference w:id="14"/>
      </w:r>
      <w:r w:rsidR="00D83C91" w:rsidRPr="008400AC">
        <w:rPr>
          <w:i/>
          <w:iCs/>
          <w:sz w:val="24"/>
          <w:szCs w:val="24"/>
        </w:rPr>
        <w:t xml:space="preserve"> </w:t>
      </w:r>
      <w:r w:rsidR="00A913A8" w:rsidRPr="008400AC">
        <w:rPr>
          <w:i/>
          <w:iCs/>
          <w:sz w:val="24"/>
          <w:szCs w:val="24"/>
        </w:rPr>
        <w:t xml:space="preserve">We are also beginning to </w:t>
      </w:r>
      <w:r w:rsidR="00D8757D">
        <w:rPr>
          <w:i/>
          <w:iCs/>
          <w:sz w:val="24"/>
          <w:szCs w:val="24"/>
        </w:rPr>
        <w:t xml:space="preserve">find </w:t>
      </w:r>
      <w:r w:rsidR="00A913A8" w:rsidRPr="00C6701F">
        <w:rPr>
          <w:i/>
          <w:iCs/>
          <w:sz w:val="24"/>
          <w:szCs w:val="24"/>
          <w:u w:val="single"/>
        </w:rPr>
        <w:t>library-related RFP</w:t>
      </w:r>
      <w:r w:rsidR="00A913A8" w:rsidRPr="00E8798D">
        <w:rPr>
          <w:i/>
          <w:iCs/>
          <w:sz w:val="24"/>
          <w:szCs w:val="24"/>
          <w:u w:val="single"/>
        </w:rPr>
        <w:t xml:space="preserve">s </w:t>
      </w:r>
      <w:r w:rsidR="009032DF" w:rsidRPr="00E8798D">
        <w:rPr>
          <w:i/>
          <w:iCs/>
          <w:sz w:val="24"/>
          <w:szCs w:val="24"/>
          <w:u w:val="single"/>
        </w:rPr>
        <w:t>that prohibit contracts with companies that boycott energy companies</w:t>
      </w:r>
      <w:r w:rsidR="005F576D" w:rsidRPr="00E8798D">
        <w:rPr>
          <w:i/>
          <w:iCs/>
          <w:sz w:val="24"/>
          <w:szCs w:val="24"/>
          <w:u w:val="single"/>
        </w:rPr>
        <w:t xml:space="preserve"> and </w:t>
      </w:r>
      <w:r w:rsidR="009032DF" w:rsidRPr="00E8798D">
        <w:rPr>
          <w:i/>
          <w:iCs/>
          <w:sz w:val="24"/>
          <w:szCs w:val="24"/>
          <w:u w:val="single"/>
        </w:rPr>
        <w:t xml:space="preserve">library-related RFPs that prohibit contracts with “firearm entities” or firearm trade </w:t>
      </w:r>
      <w:r w:rsidR="005F576D" w:rsidRPr="00E8798D">
        <w:rPr>
          <w:i/>
          <w:iCs/>
          <w:sz w:val="24"/>
          <w:szCs w:val="24"/>
          <w:u w:val="single"/>
        </w:rPr>
        <w:t>associations</w:t>
      </w:r>
      <w:r w:rsidR="005F576D" w:rsidRPr="008400AC">
        <w:rPr>
          <w:i/>
          <w:iCs/>
          <w:sz w:val="24"/>
          <w:szCs w:val="24"/>
        </w:rPr>
        <w:t>.</w:t>
      </w:r>
      <w:r w:rsidR="008C0A23" w:rsidRPr="008400AC">
        <w:rPr>
          <w:rStyle w:val="EndnoteReference"/>
          <w:i/>
          <w:iCs/>
          <w:sz w:val="24"/>
          <w:szCs w:val="24"/>
        </w:rPr>
        <w:endnoteReference w:id="15"/>
      </w:r>
    </w:p>
    <w:p w14:paraId="68921A4A" w14:textId="017DF237" w:rsidR="008F6E9A" w:rsidRPr="002D10C6" w:rsidRDefault="000770DF" w:rsidP="004729D2">
      <w:pPr>
        <w:rPr>
          <w:sz w:val="24"/>
          <w:szCs w:val="24"/>
        </w:rPr>
      </w:pPr>
      <w:r>
        <w:rPr>
          <w:sz w:val="24"/>
          <w:szCs w:val="24"/>
        </w:rPr>
        <w:t>Contractors</w:t>
      </w:r>
      <w:r w:rsidR="00DC0551">
        <w:rPr>
          <w:sz w:val="24"/>
          <w:szCs w:val="24"/>
        </w:rPr>
        <w:t xml:space="preserve"> </w:t>
      </w:r>
      <w:r w:rsidR="001F4F17">
        <w:rPr>
          <w:sz w:val="24"/>
          <w:szCs w:val="24"/>
        </w:rPr>
        <w:t xml:space="preserve">that have been </w:t>
      </w:r>
      <w:r>
        <w:rPr>
          <w:sz w:val="24"/>
          <w:szCs w:val="24"/>
        </w:rPr>
        <w:t>compelled to sign the</w:t>
      </w:r>
      <w:r w:rsidR="0029431D">
        <w:rPr>
          <w:sz w:val="24"/>
          <w:szCs w:val="24"/>
        </w:rPr>
        <w:t>se</w:t>
      </w:r>
      <w:r>
        <w:rPr>
          <w:sz w:val="24"/>
          <w:szCs w:val="24"/>
        </w:rPr>
        <w:t xml:space="preserve"> pledges have included a </w:t>
      </w:r>
      <w:r w:rsidRPr="00967B89">
        <w:rPr>
          <w:sz w:val="24"/>
          <w:szCs w:val="24"/>
        </w:rPr>
        <w:t xml:space="preserve">library, a library association, and diverse library </w:t>
      </w:r>
      <w:r w:rsidR="0029431D" w:rsidRPr="00967B89">
        <w:rPr>
          <w:sz w:val="24"/>
          <w:szCs w:val="24"/>
        </w:rPr>
        <w:t xml:space="preserve">vendors and </w:t>
      </w:r>
      <w:r w:rsidRPr="00967B89">
        <w:rPr>
          <w:sz w:val="24"/>
          <w:szCs w:val="24"/>
        </w:rPr>
        <w:t>contractors</w:t>
      </w:r>
      <w:r>
        <w:rPr>
          <w:sz w:val="24"/>
          <w:szCs w:val="24"/>
        </w:rPr>
        <w:t xml:space="preserve">. </w:t>
      </w:r>
      <w:r w:rsidR="00967B89">
        <w:rPr>
          <w:sz w:val="24"/>
          <w:szCs w:val="24"/>
        </w:rPr>
        <w:t xml:space="preserve">Institutions </w:t>
      </w:r>
      <w:r w:rsidR="002D10C6">
        <w:rPr>
          <w:sz w:val="24"/>
          <w:szCs w:val="24"/>
        </w:rPr>
        <w:t xml:space="preserve">forced </w:t>
      </w:r>
      <w:r w:rsidR="0029431D">
        <w:rPr>
          <w:sz w:val="24"/>
          <w:szCs w:val="24"/>
        </w:rPr>
        <w:t xml:space="preserve">to participate in </w:t>
      </w:r>
      <w:r w:rsidR="0065651F">
        <w:rPr>
          <w:sz w:val="24"/>
          <w:szCs w:val="24"/>
        </w:rPr>
        <w:t xml:space="preserve">violations </w:t>
      </w:r>
      <w:r w:rsidR="0026316F">
        <w:rPr>
          <w:sz w:val="24"/>
          <w:szCs w:val="24"/>
        </w:rPr>
        <w:t xml:space="preserve">of the First Amendment </w:t>
      </w:r>
      <w:r w:rsidR="0029431D">
        <w:rPr>
          <w:sz w:val="24"/>
          <w:szCs w:val="24"/>
        </w:rPr>
        <w:t xml:space="preserve">by </w:t>
      </w:r>
      <w:r w:rsidR="0038757A">
        <w:rPr>
          <w:sz w:val="24"/>
          <w:szCs w:val="24"/>
        </w:rPr>
        <w:t xml:space="preserve">requiring these </w:t>
      </w:r>
      <w:r w:rsidR="002D10C6">
        <w:rPr>
          <w:sz w:val="24"/>
          <w:szCs w:val="24"/>
        </w:rPr>
        <w:t xml:space="preserve">pledges have included </w:t>
      </w:r>
      <w:r w:rsidR="002D10C6" w:rsidRPr="00945D9D">
        <w:rPr>
          <w:sz w:val="24"/>
          <w:szCs w:val="24"/>
        </w:rPr>
        <w:t xml:space="preserve">libraries, library boards, a library association, colleges and universities, school boards, state library agencies, and various </w:t>
      </w:r>
      <w:r w:rsidR="0026316F">
        <w:rPr>
          <w:sz w:val="24"/>
          <w:szCs w:val="24"/>
        </w:rPr>
        <w:t xml:space="preserve">other </w:t>
      </w:r>
      <w:r w:rsidR="002D10C6" w:rsidRPr="00945D9D">
        <w:rPr>
          <w:sz w:val="24"/>
          <w:szCs w:val="24"/>
        </w:rPr>
        <w:t>governmental bodies</w:t>
      </w:r>
      <w:r w:rsidR="002D10C6">
        <w:rPr>
          <w:sz w:val="24"/>
          <w:szCs w:val="24"/>
        </w:rPr>
        <w:t xml:space="preserve">. </w:t>
      </w:r>
      <w:r w:rsidR="00CC3E95">
        <w:rPr>
          <w:sz w:val="24"/>
          <w:szCs w:val="24"/>
        </w:rPr>
        <w:t>A</w:t>
      </w:r>
      <w:r w:rsidR="00D83C91">
        <w:rPr>
          <w:sz w:val="24"/>
          <w:szCs w:val="24"/>
        </w:rPr>
        <w:t xml:space="preserve">ffected contracts have </w:t>
      </w:r>
      <w:r w:rsidR="00FC6793">
        <w:rPr>
          <w:sz w:val="24"/>
          <w:szCs w:val="24"/>
        </w:rPr>
        <w:t>related to</w:t>
      </w:r>
      <w:r w:rsidR="0038757A">
        <w:rPr>
          <w:sz w:val="24"/>
          <w:szCs w:val="24"/>
        </w:rPr>
        <w:t xml:space="preserve"> </w:t>
      </w:r>
      <w:r w:rsidR="00C44378">
        <w:rPr>
          <w:sz w:val="24"/>
          <w:szCs w:val="24"/>
        </w:rPr>
        <w:t xml:space="preserve">nearly </w:t>
      </w:r>
      <w:r w:rsidR="008334FE">
        <w:rPr>
          <w:sz w:val="24"/>
          <w:szCs w:val="24"/>
        </w:rPr>
        <w:t>every aspect of library</w:t>
      </w:r>
      <w:r w:rsidR="00C44378">
        <w:rPr>
          <w:sz w:val="24"/>
          <w:szCs w:val="24"/>
        </w:rPr>
        <w:t xml:space="preserve"> operations</w:t>
      </w:r>
      <w:r w:rsidR="008334FE">
        <w:rPr>
          <w:sz w:val="24"/>
          <w:szCs w:val="24"/>
        </w:rPr>
        <w:t xml:space="preserve">, </w:t>
      </w:r>
      <w:r w:rsidR="00FC6793">
        <w:rPr>
          <w:sz w:val="24"/>
          <w:szCs w:val="24"/>
        </w:rPr>
        <w:t xml:space="preserve">including library </w:t>
      </w:r>
      <w:r w:rsidR="008334FE" w:rsidRPr="00967B89">
        <w:rPr>
          <w:sz w:val="24"/>
          <w:szCs w:val="24"/>
        </w:rPr>
        <w:t>construction; the hiring of library directors, librarians, and staff;</w:t>
      </w:r>
      <w:r w:rsidR="00FC6793">
        <w:rPr>
          <w:sz w:val="24"/>
          <w:szCs w:val="24"/>
        </w:rPr>
        <w:t xml:space="preserve"> and</w:t>
      </w:r>
      <w:r w:rsidR="008334FE" w:rsidRPr="00967B89">
        <w:rPr>
          <w:sz w:val="24"/>
          <w:szCs w:val="24"/>
        </w:rPr>
        <w:t xml:space="preserve"> the purchase of books</w:t>
      </w:r>
      <w:r w:rsidR="00086506" w:rsidRPr="00967B89">
        <w:rPr>
          <w:sz w:val="24"/>
          <w:szCs w:val="24"/>
        </w:rPr>
        <w:t>,</w:t>
      </w:r>
      <w:r w:rsidR="00640251">
        <w:rPr>
          <w:sz w:val="24"/>
          <w:szCs w:val="24"/>
        </w:rPr>
        <w:t xml:space="preserve"> </w:t>
      </w:r>
      <w:r w:rsidR="00545629">
        <w:rPr>
          <w:sz w:val="24"/>
          <w:szCs w:val="24"/>
        </w:rPr>
        <w:t>periodicals</w:t>
      </w:r>
      <w:r w:rsidR="00640251">
        <w:rPr>
          <w:sz w:val="24"/>
          <w:szCs w:val="24"/>
        </w:rPr>
        <w:t>,</w:t>
      </w:r>
      <w:r w:rsidR="00086506" w:rsidRPr="00967B89">
        <w:rPr>
          <w:sz w:val="24"/>
          <w:szCs w:val="24"/>
        </w:rPr>
        <w:t xml:space="preserve"> </w:t>
      </w:r>
      <w:r w:rsidR="008334FE" w:rsidRPr="00967B89">
        <w:rPr>
          <w:sz w:val="24"/>
          <w:szCs w:val="24"/>
        </w:rPr>
        <w:t>databases</w:t>
      </w:r>
      <w:r w:rsidR="00086506" w:rsidRPr="00967B89">
        <w:rPr>
          <w:sz w:val="24"/>
          <w:szCs w:val="24"/>
        </w:rPr>
        <w:t>,</w:t>
      </w:r>
      <w:r w:rsidR="002D10C6" w:rsidRPr="00967B89">
        <w:rPr>
          <w:sz w:val="24"/>
          <w:szCs w:val="24"/>
        </w:rPr>
        <w:t xml:space="preserve"> integrated library systems,</w:t>
      </w:r>
      <w:r w:rsidR="00086506" w:rsidRPr="00967B89">
        <w:rPr>
          <w:sz w:val="24"/>
          <w:szCs w:val="24"/>
        </w:rPr>
        <w:t xml:space="preserve"> </w:t>
      </w:r>
      <w:r w:rsidR="008334FE" w:rsidRPr="00967B89">
        <w:rPr>
          <w:sz w:val="24"/>
          <w:szCs w:val="24"/>
        </w:rPr>
        <w:t>library furniture</w:t>
      </w:r>
      <w:r w:rsidR="00FC6793">
        <w:rPr>
          <w:sz w:val="24"/>
          <w:szCs w:val="24"/>
        </w:rPr>
        <w:t>,</w:t>
      </w:r>
      <w:r w:rsidR="00967B89">
        <w:rPr>
          <w:sz w:val="24"/>
          <w:szCs w:val="24"/>
        </w:rPr>
        <w:t xml:space="preserve"> </w:t>
      </w:r>
      <w:r w:rsidR="009D3D1A">
        <w:rPr>
          <w:sz w:val="24"/>
          <w:szCs w:val="24"/>
        </w:rPr>
        <w:t>a</w:t>
      </w:r>
      <w:r w:rsidR="00967B89">
        <w:rPr>
          <w:sz w:val="24"/>
          <w:szCs w:val="24"/>
        </w:rPr>
        <w:t>n</w:t>
      </w:r>
      <w:r w:rsidR="009D3D1A">
        <w:rPr>
          <w:sz w:val="24"/>
          <w:szCs w:val="24"/>
        </w:rPr>
        <w:t>d</w:t>
      </w:r>
      <w:r w:rsidR="00967B89">
        <w:rPr>
          <w:sz w:val="24"/>
          <w:szCs w:val="24"/>
        </w:rPr>
        <w:t xml:space="preserve"> equipment.</w:t>
      </w:r>
      <w:r w:rsidR="00086506" w:rsidRPr="00967B89">
        <w:rPr>
          <w:sz w:val="24"/>
          <w:szCs w:val="24"/>
        </w:rPr>
        <w:t xml:space="preserve"> </w:t>
      </w:r>
    </w:p>
    <w:p w14:paraId="77E7D198" w14:textId="12158F59" w:rsidR="00203D46" w:rsidRPr="007370FB" w:rsidRDefault="00A80FAC" w:rsidP="007370FB">
      <w:pPr>
        <w:rPr>
          <w:b/>
          <w:bCs/>
          <w:sz w:val="24"/>
          <w:szCs w:val="24"/>
        </w:rPr>
      </w:pPr>
      <w:r w:rsidRPr="00A80FAC">
        <w:rPr>
          <w:b/>
          <w:bCs/>
          <w:sz w:val="24"/>
          <w:szCs w:val="24"/>
        </w:rPr>
        <w:t>The resolution</w:t>
      </w:r>
    </w:p>
    <w:p w14:paraId="032601B3" w14:textId="19C9D3D4" w:rsidR="00BB4EDD" w:rsidRPr="00C37B85" w:rsidRDefault="009B7A8A" w:rsidP="00C37B85">
      <w:pPr>
        <w:rPr>
          <w:sz w:val="24"/>
          <w:szCs w:val="24"/>
        </w:rPr>
      </w:pPr>
      <w:r>
        <w:rPr>
          <w:sz w:val="24"/>
          <w:szCs w:val="24"/>
        </w:rPr>
        <w:t>T</w:t>
      </w:r>
      <w:r w:rsidR="00203D46" w:rsidRPr="009B7A8A">
        <w:rPr>
          <w:sz w:val="24"/>
          <w:szCs w:val="24"/>
        </w:rPr>
        <w:t xml:space="preserve">he </w:t>
      </w:r>
      <w:r>
        <w:rPr>
          <w:sz w:val="24"/>
          <w:szCs w:val="24"/>
        </w:rPr>
        <w:t xml:space="preserve">current </w:t>
      </w:r>
      <w:r w:rsidR="00203D46" w:rsidRPr="009B7A8A">
        <w:rPr>
          <w:sz w:val="24"/>
          <w:szCs w:val="24"/>
        </w:rPr>
        <w:t xml:space="preserve">resolution reflects </w:t>
      </w:r>
      <w:r w:rsidR="00C6701F">
        <w:rPr>
          <w:sz w:val="24"/>
          <w:szCs w:val="24"/>
        </w:rPr>
        <w:t xml:space="preserve">the </w:t>
      </w:r>
      <w:r w:rsidR="005F576D">
        <w:rPr>
          <w:sz w:val="24"/>
          <w:szCs w:val="24"/>
        </w:rPr>
        <w:t xml:space="preserve">changes in the situation and </w:t>
      </w:r>
      <w:r>
        <w:rPr>
          <w:sz w:val="24"/>
          <w:szCs w:val="24"/>
        </w:rPr>
        <w:t>the new evidence of</w:t>
      </w:r>
      <w:r w:rsidR="006D1EEC" w:rsidRPr="009B7A8A">
        <w:rPr>
          <w:sz w:val="24"/>
          <w:szCs w:val="24"/>
        </w:rPr>
        <w:t xml:space="preserve"> the </w:t>
      </w:r>
      <w:r>
        <w:rPr>
          <w:sz w:val="24"/>
          <w:szCs w:val="24"/>
        </w:rPr>
        <w:t>impact of anti-boycott legislation on libraries</w:t>
      </w:r>
      <w:r w:rsidR="0000243E">
        <w:rPr>
          <w:sz w:val="24"/>
          <w:szCs w:val="24"/>
        </w:rPr>
        <w:t xml:space="preserve">. It also </w:t>
      </w:r>
      <w:r w:rsidR="00203D46" w:rsidRPr="009B7A8A">
        <w:rPr>
          <w:sz w:val="24"/>
          <w:szCs w:val="24"/>
        </w:rPr>
        <w:t>address</w:t>
      </w:r>
      <w:r w:rsidR="00147AE1">
        <w:rPr>
          <w:sz w:val="24"/>
          <w:szCs w:val="24"/>
        </w:rPr>
        <w:t>es</w:t>
      </w:r>
      <w:r w:rsidR="00203D46" w:rsidRPr="009B7A8A">
        <w:rPr>
          <w:sz w:val="24"/>
          <w:szCs w:val="24"/>
        </w:rPr>
        <w:t xml:space="preserve"> </w:t>
      </w:r>
      <w:r w:rsidR="00D8757D">
        <w:rPr>
          <w:sz w:val="24"/>
          <w:szCs w:val="24"/>
        </w:rPr>
        <w:t xml:space="preserve">some </w:t>
      </w:r>
      <w:r w:rsidR="00203D46" w:rsidRPr="009B7A8A">
        <w:rPr>
          <w:sz w:val="24"/>
          <w:szCs w:val="24"/>
        </w:rPr>
        <w:t>concerns expressed in 2019-2020.</w:t>
      </w:r>
    </w:p>
    <w:p w14:paraId="689B1017" w14:textId="28C4AB6E" w:rsidR="00147AE1" w:rsidRPr="009E3819" w:rsidRDefault="00147AE1" w:rsidP="00147AE1">
      <w:pPr>
        <w:pStyle w:val="ListParagraph"/>
        <w:numPr>
          <w:ilvl w:val="0"/>
          <w:numId w:val="2"/>
        </w:numPr>
        <w:ind w:left="720"/>
        <w:rPr>
          <w:sz w:val="24"/>
          <w:szCs w:val="24"/>
        </w:rPr>
      </w:pPr>
      <w:r>
        <w:rPr>
          <w:sz w:val="24"/>
          <w:szCs w:val="24"/>
        </w:rPr>
        <w:t>The scope has been broadened to include the current bills and laws targeting the right to boycott fossil fuel and firearms industries.</w:t>
      </w:r>
    </w:p>
    <w:p w14:paraId="6EF5F031" w14:textId="74F75787" w:rsidR="00FA5900" w:rsidRDefault="00FA5900" w:rsidP="00926C9B">
      <w:pPr>
        <w:pStyle w:val="ListParagraph"/>
        <w:numPr>
          <w:ilvl w:val="0"/>
          <w:numId w:val="2"/>
        </w:num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The resolution </w:t>
      </w:r>
      <w:r w:rsidR="00C37B85">
        <w:rPr>
          <w:sz w:val="24"/>
          <w:szCs w:val="24"/>
        </w:rPr>
        <w:t xml:space="preserve">highlights </w:t>
      </w:r>
      <w:r>
        <w:rPr>
          <w:sz w:val="24"/>
          <w:szCs w:val="24"/>
        </w:rPr>
        <w:t xml:space="preserve">the </w:t>
      </w:r>
      <w:r w:rsidR="009E3819">
        <w:rPr>
          <w:sz w:val="24"/>
          <w:szCs w:val="24"/>
        </w:rPr>
        <w:t xml:space="preserve">relevant </w:t>
      </w:r>
      <w:r>
        <w:rPr>
          <w:sz w:val="24"/>
          <w:szCs w:val="24"/>
        </w:rPr>
        <w:t>library-related RFPs and contracts</w:t>
      </w:r>
      <w:r w:rsidR="00D8757D">
        <w:rPr>
          <w:sz w:val="24"/>
          <w:szCs w:val="24"/>
        </w:rPr>
        <w:t xml:space="preserve"> we have found</w:t>
      </w:r>
      <w:r>
        <w:rPr>
          <w:sz w:val="24"/>
          <w:szCs w:val="24"/>
        </w:rPr>
        <w:t>.</w:t>
      </w:r>
    </w:p>
    <w:p w14:paraId="5A7BE826" w14:textId="7A7258C2" w:rsidR="0091561F" w:rsidRDefault="0091561F" w:rsidP="00926C9B">
      <w:pPr>
        <w:pStyle w:val="ListParagraph"/>
        <w:numPr>
          <w:ilvl w:val="0"/>
          <w:numId w:val="2"/>
        </w:num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While </w:t>
      </w:r>
      <w:r w:rsidR="00C37B85">
        <w:rPr>
          <w:sz w:val="24"/>
          <w:szCs w:val="24"/>
        </w:rPr>
        <w:t>continuing to note</w:t>
      </w:r>
      <w:r w:rsidR="009B7A8A">
        <w:rPr>
          <w:sz w:val="24"/>
          <w:szCs w:val="24"/>
        </w:rPr>
        <w:t xml:space="preserve"> </w:t>
      </w:r>
      <w:r>
        <w:rPr>
          <w:sz w:val="24"/>
          <w:szCs w:val="24"/>
        </w:rPr>
        <w:t>relevant federal</w:t>
      </w:r>
      <w:r w:rsidR="00C37B85">
        <w:rPr>
          <w:sz w:val="24"/>
          <w:szCs w:val="24"/>
        </w:rPr>
        <w:t xml:space="preserve"> bills</w:t>
      </w:r>
      <w:r>
        <w:rPr>
          <w:sz w:val="24"/>
          <w:szCs w:val="24"/>
        </w:rPr>
        <w:t xml:space="preserve">, the resolution </w:t>
      </w:r>
      <w:r w:rsidR="00C44F53">
        <w:rPr>
          <w:sz w:val="24"/>
          <w:szCs w:val="24"/>
        </w:rPr>
        <w:t xml:space="preserve">emphasizes </w:t>
      </w:r>
      <w:r>
        <w:rPr>
          <w:sz w:val="24"/>
          <w:szCs w:val="24"/>
        </w:rPr>
        <w:t xml:space="preserve">the </w:t>
      </w:r>
      <w:r w:rsidRPr="00F0734A">
        <w:rPr>
          <w:sz w:val="24"/>
          <w:szCs w:val="24"/>
        </w:rPr>
        <w:t xml:space="preserve">state legislation that </w:t>
      </w:r>
      <w:r>
        <w:rPr>
          <w:sz w:val="24"/>
          <w:szCs w:val="24"/>
        </w:rPr>
        <w:t xml:space="preserve">most </w:t>
      </w:r>
      <w:r w:rsidR="009E3819">
        <w:rPr>
          <w:sz w:val="24"/>
          <w:szCs w:val="24"/>
        </w:rPr>
        <w:t xml:space="preserve">directly </w:t>
      </w:r>
      <w:r w:rsidRPr="00F0734A">
        <w:rPr>
          <w:sz w:val="24"/>
          <w:szCs w:val="24"/>
        </w:rPr>
        <w:t>impacts libraries</w:t>
      </w:r>
      <w:r>
        <w:rPr>
          <w:sz w:val="24"/>
          <w:szCs w:val="24"/>
        </w:rPr>
        <w:t>.</w:t>
      </w:r>
    </w:p>
    <w:p w14:paraId="067BDFD3" w14:textId="4A5C7679" w:rsidR="00F0734A" w:rsidRPr="00640251" w:rsidRDefault="005561CF" w:rsidP="00926C9B">
      <w:pPr>
        <w:pStyle w:val="ListParagraph"/>
        <w:numPr>
          <w:ilvl w:val="0"/>
          <w:numId w:val="2"/>
        </w:numPr>
        <w:ind w:left="720"/>
        <w:rPr>
          <w:color w:val="000000" w:themeColor="text1"/>
          <w:sz w:val="24"/>
          <w:szCs w:val="24"/>
        </w:rPr>
      </w:pPr>
      <w:r w:rsidRPr="00640251">
        <w:rPr>
          <w:color w:val="000000" w:themeColor="text1"/>
          <w:sz w:val="24"/>
          <w:szCs w:val="24"/>
        </w:rPr>
        <w:t>Alt</w:t>
      </w:r>
      <w:r w:rsidR="00C449A3" w:rsidRPr="00640251">
        <w:rPr>
          <w:color w:val="000000" w:themeColor="text1"/>
          <w:sz w:val="24"/>
          <w:szCs w:val="24"/>
        </w:rPr>
        <w:t>hough we disagree</w:t>
      </w:r>
      <w:r w:rsidRPr="00640251">
        <w:rPr>
          <w:color w:val="000000" w:themeColor="text1"/>
          <w:sz w:val="24"/>
          <w:szCs w:val="24"/>
        </w:rPr>
        <w:t xml:space="preserve"> with </w:t>
      </w:r>
      <w:r w:rsidR="00D8757D" w:rsidRPr="00640251">
        <w:rPr>
          <w:color w:val="000000" w:themeColor="text1"/>
          <w:sz w:val="24"/>
          <w:szCs w:val="24"/>
        </w:rPr>
        <w:t>the</w:t>
      </w:r>
      <w:r w:rsidRPr="00640251">
        <w:rPr>
          <w:color w:val="000000" w:themeColor="text1"/>
          <w:sz w:val="24"/>
          <w:szCs w:val="24"/>
        </w:rPr>
        <w:t xml:space="preserve"> </w:t>
      </w:r>
      <w:r w:rsidR="00463937" w:rsidRPr="00640251">
        <w:rPr>
          <w:color w:val="000000" w:themeColor="text1"/>
          <w:sz w:val="24"/>
          <w:szCs w:val="24"/>
        </w:rPr>
        <w:t xml:space="preserve">argument </w:t>
      </w:r>
      <w:r w:rsidR="00C44F53" w:rsidRPr="00640251">
        <w:rPr>
          <w:color w:val="000000" w:themeColor="text1"/>
          <w:sz w:val="24"/>
          <w:szCs w:val="24"/>
        </w:rPr>
        <w:t xml:space="preserve">we have heard </w:t>
      </w:r>
      <w:r w:rsidRPr="00640251">
        <w:rPr>
          <w:color w:val="000000" w:themeColor="text1"/>
          <w:sz w:val="24"/>
          <w:szCs w:val="24"/>
        </w:rPr>
        <w:t xml:space="preserve">that </w:t>
      </w:r>
      <w:r w:rsidR="00C44F53" w:rsidRPr="00640251">
        <w:rPr>
          <w:color w:val="000000" w:themeColor="text1"/>
          <w:sz w:val="24"/>
          <w:szCs w:val="24"/>
        </w:rPr>
        <w:t xml:space="preserve">ALA </w:t>
      </w:r>
      <w:r w:rsidRPr="00640251">
        <w:rPr>
          <w:color w:val="000000" w:themeColor="text1"/>
          <w:sz w:val="24"/>
          <w:szCs w:val="24"/>
        </w:rPr>
        <w:t>resolutions should not name bills</w:t>
      </w:r>
      <w:r w:rsidR="00C44F53" w:rsidRPr="00640251">
        <w:rPr>
          <w:color w:val="000000" w:themeColor="text1"/>
          <w:sz w:val="24"/>
          <w:szCs w:val="24"/>
        </w:rPr>
        <w:t xml:space="preserve"> and have noted </w:t>
      </w:r>
      <w:r w:rsidR="00457332" w:rsidRPr="00640251">
        <w:rPr>
          <w:color w:val="000000" w:themeColor="text1"/>
          <w:sz w:val="24"/>
          <w:szCs w:val="24"/>
        </w:rPr>
        <w:t xml:space="preserve">many </w:t>
      </w:r>
      <w:r w:rsidR="00C44F53" w:rsidRPr="00640251">
        <w:rPr>
          <w:color w:val="000000" w:themeColor="text1"/>
          <w:sz w:val="24"/>
          <w:szCs w:val="24"/>
        </w:rPr>
        <w:t xml:space="preserve">cases in which ALA </w:t>
      </w:r>
      <w:r w:rsidR="00640251" w:rsidRPr="00640251">
        <w:rPr>
          <w:color w:val="000000" w:themeColor="text1"/>
          <w:sz w:val="24"/>
          <w:szCs w:val="24"/>
        </w:rPr>
        <w:t xml:space="preserve">resolutions have </w:t>
      </w:r>
      <w:r w:rsidR="00C44F53" w:rsidRPr="00640251">
        <w:rPr>
          <w:color w:val="000000" w:themeColor="text1"/>
          <w:sz w:val="24"/>
          <w:szCs w:val="24"/>
        </w:rPr>
        <w:t>done just that,</w:t>
      </w:r>
      <w:r w:rsidR="00C449A3" w:rsidRPr="00640251">
        <w:rPr>
          <w:color w:val="000000" w:themeColor="text1"/>
          <w:sz w:val="24"/>
          <w:szCs w:val="24"/>
        </w:rPr>
        <w:t xml:space="preserve"> the </w:t>
      </w:r>
      <w:r w:rsidR="008C51FD" w:rsidRPr="00640251">
        <w:rPr>
          <w:color w:val="000000" w:themeColor="text1"/>
          <w:sz w:val="24"/>
          <w:szCs w:val="24"/>
        </w:rPr>
        <w:t xml:space="preserve">current </w:t>
      </w:r>
      <w:r w:rsidR="00685391" w:rsidRPr="00640251">
        <w:rPr>
          <w:color w:val="000000" w:themeColor="text1"/>
          <w:sz w:val="24"/>
          <w:szCs w:val="24"/>
        </w:rPr>
        <w:t>resolution</w:t>
      </w:r>
      <w:r w:rsidR="00C449A3" w:rsidRPr="00640251">
        <w:rPr>
          <w:color w:val="000000" w:themeColor="text1"/>
          <w:sz w:val="24"/>
          <w:szCs w:val="24"/>
        </w:rPr>
        <w:t>’s text</w:t>
      </w:r>
      <w:r w:rsidR="00685391" w:rsidRPr="00640251">
        <w:rPr>
          <w:color w:val="000000" w:themeColor="text1"/>
          <w:sz w:val="24"/>
          <w:szCs w:val="24"/>
        </w:rPr>
        <w:t xml:space="preserve"> </w:t>
      </w:r>
      <w:r w:rsidR="00C44F53" w:rsidRPr="00640251">
        <w:rPr>
          <w:color w:val="000000" w:themeColor="text1"/>
          <w:sz w:val="24"/>
          <w:szCs w:val="24"/>
        </w:rPr>
        <w:t xml:space="preserve">does not </w:t>
      </w:r>
      <w:r w:rsidR="00E604C2" w:rsidRPr="00640251">
        <w:rPr>
          <w:color w:val="000000" w:themeColor="text1"/>
          <w:sz w:val="24"/>
          <w:szCs w:val="24"/>
        </w:rPr>
        <w:t xml:space="preserve">explicitly </w:t>
      </w:r>
      <w:r w:rsidR="00C44F53" w:rsidRPr="00640251">
        <w:rPr>
          <w:color w:val="000000" w:themeColor="text1"/>
          <w:sz w:val="24"/>
          <w:szCs w:val="24"/>
        </w:rPr>
        <w:t>name</w:t>
      </w:r>
      <w:r w:rsidR="00E604C2" w:rsidRPr="00640251">
        <w:rPr>
          <w:color w:val="000000" w:themeColor="text1"/>
          <w:sz w:val="24"/>
          <w:szCs w:val="24"/>
        </w:rPr>
        <w:t xml:space="preserve"> any </w:t>
      </w:r>
      <w:r w:rsidRPr="00640251">
        <w:rPr>
          <w:color w:val="000000" w:themeColor="text1"/>
          <w:sz w:val="24"/>
          <w:szCs w:val="24"/>
        </w:rPr>
        <w:t xml:space="preserve">current </w:t>
      </w:r>
      <w:r w:rsidR="009D3D1A" w:rsidRPr="00640251">
        <w:rPr>
          <w:color w:val="000000" w:themeColor="text1"/>
          <w:sz w:val="24"/>
          <w:szCs w:val="24"/>
        </w:rPr>
        <w:t>bill</w:t>
      </w:r>
      <w:r w:rsidRPr="00640251">
        <w:rPr>
          <w:color w:val="000000" w:themeColor="text1"/>
          <w:sz w:val="24"/>
          <w:szCs w:val="24"/>
        </w:rPr>
        <w:t>.</w:t>
      </w:r>
    </w:p>
    <w:p w14:paraId="46A7FCC3" w14:textId="6CD1DEC7" w:rsidR="009D3D1A" w:rsidRPr="00640251" w:rsidRDefault="00147AE1" w:rsidP="0009627F">
      <w:pPr>
        <w:pStyle w:val="ListParagraph"/>
        <w:numPr>
          <w:ilvl w:val="0"/>
          <w:numId w:val="2"/>
        </w:numPr>
        <w:ind w:left="720"/>
        <w:rPr>
          <w:color w:val="000000" w:themeColor="text1"/>
          <w:sz w:val="24"/>
          <w:szCs w:val="24"/>
        </w:rPr>
      </w:pPr>
      <w:r w:rsidRPr="00640251">
        <w:rPr>
          <w:color w:val="000000" w:themeColor="text1"/>
          <w:sz w:val="24"/>
          <w:szCs w:val="24"/>
        </w:rPr>
        <w:t xml:space="preserve">Responding to </w:t>
      </w:r>
      <w:r w:rsidR="00C449A3" w:rsidRPr="00640251">
        <w:rPr>
          <w:color w:val="000000" w:themeColor="text1"/>
          <w:sz w:val="24"/>
          <w:szCs w:val="24"/>
        </w:rPr>
        <w:t>a</w:t>
      </w:r>
      <w:r w:rsidRPr="00640251">
        <w:rPr>
          <w:color w:val="000000" w:themeColor="text1"/>
          <w:sz w:val="24"/>
          <w:szCs w:val="24"/>
        </w:rPr>
        <w:t>n</w:t>
      </w:r>
      <w:r w:rsidR="00C449A3" w:rsidRPr="00640251">
        <w:rPr>
          <w:color w:val="000000" w:themeColor="text1"/>
          <w:sz w:val="24"/>
          <w:szCs w:val="24"/>
        </w:rPr>
        <w:t xml:space="preserve"> </w:t>
      </w:r>
      <w:r w:rsidRPr="00640251">
        <w:rPr>
          <w:color w:val="000000" w:themeColor="text1"/>
          <w:sz w:val="24"/>
          <w:szCs w:val="24"/>
        </w:rPr>
        <w:t xml:space="preserve">OIF </w:t>
      </w:r>
      <w:r w:rsidR="00C449A3" w:rsidRPr="00640251">
        <w:rPr>
          <w:color w:val="000000" w:themeColor="text1"/>
          <w:sz w:val="24"/>
          <w:szCs w:val="24"/>
        </w:rPr>
        <w:t>concern</w:t>
      </w:r>
      <w:r w:rsidRPr="00640251">
        <w:rPr>
          <w:color w:val="000000" w:themeColor="text1"/>
          <w:sz w:val="24"/>
          <w:szCs w:val="24"/>
        </w:rPr>
        <w:t xml:space="preserve"> </w:t>
      </w:r>
      <w:r w:rsidR="00D4052E" w:rsidRPr="00640251">
        <w:rPr>
          <w:color w:val="000000" w:themeColor="text1"/>
          <w:sz w:val="24"/>
          <w:szCs w:val="24"/>
        </w:rPr>
        <w:t xml:space="preserve">about raising </w:t>
      </w:r>
      <w:r w:rsidR="00457332" w:rsidRPr="00640251">
        <w:rPr>
          <w:color w:val="000000" w:themeColor="text1"/>
          <w:sz w:val="24"/>
          <w:szCs w:val="24"/>
        </w:rPr>
        <w:t xml:space="preserve">different “distinct questions” </w:t>
      </w:r>
      <w:r w:rsidR="00D4052E" w:rsidRPr="00640251">
        <w:rPr>
          <w:color w:val="000000" w:themeColor="text1"/>
          <w:sz w:val="24"/>
          <w:szCs w:val="24"/>
        </w:rPr>
        <w:t xml:space="preserve">in one resolution, </w:t>
      </w:r>
      <w:r w:rsidR="00C449A3" w:rsidRPr="00640251">
        <w:rPr>
          <w:color w:val="000000" w:themeColor="text1"/>
          <w:sz w:val="24"/>
          <w:szCs w:val="24"/>
        </w:rPr>
        <w:t>t</w:t>
      </w:r>
      <w:r w:rsidR="008C51FD" w:rsidRPr="00640251">
        <w:rPr>
          <w:color w:val="000000" w:themeColor="text1"/>
          <w:sz w:val="24"/>
          <w:szCs w:val="24"/>
        </w:rPr>
        <w:t xml:space="preserve">he </w:t>
      </w:r>
      <w:r w:rsidRPr="00640251">
        <w:rPr>
          <w:color w:val="000000" w:themeColor="text1"/>
          <w:sz w:val="24"/>
          <w:szCs w:val="24"/>
        </w:rPr>
        <w:t xml:space="preserve">current </w:t>
      </w:r>
      <w:r w:rsidR="004C4878" w:rsidRPr="00640251">
        <w:rPr>
          <w:color w:val="000000" w:themeColor="text1"/>
          <w:sz w:val="24"/>
          <w:szCs w:val="24"/>
        </w:rPr>
        <w:t xml:space="preserve">resolution addresses </w:t>
      </w:r>
      <w:r w:rsidR="004C4878" w:rsidRPr="00640251">
        <w:rPr>
          <w:i/>
          <w:iCs/>
          <w:color w:val="000000" w:themeColor="text1"/>
          <w:sz w:val="24"/>
          <w:szCs w:val="24"/>
        </w:rPr>
        <w:t>only bills and laws that</w:t>
      </w:r>
      <w:r w:rsidR="004C4878" w:rsidRPr="00640251">
        <w:rPr>
          <w:color w:val="000000" w:themeColor="text1"/>
          <w:sz w:val="24"/>
          <w:szCs w:val="24"/>
        </w:rPr>
        <w:t xml:space="preserve"> </w:t>
      </w:r>
      <w:r w:rsidR="004C4878" w:rsidRPr="00640251">
        <w:rPr>
          <w:i/>
          <w:iCs/>
          <w:color w:val="000000" w:themeColor="text1"/>
          <w:sz w:val="24"/>
          <w:szCs w:val="24"/>
        </w:rPr>
        <w:t>explicitly</w:t>
      </w:r>
      <w:r w:rsidR="004C4878" w:rsidRPr="00640251">
        <w:rPr>
          <w:color w:val="000000" w:themeColor="text1"/>
          <w:sz w:val="24"/>
          <w:szCs w:val="24"/>
        </w:rPr>
        <w:t xml:space="preserve"> </w:t>
      </w:r>
      <w:r w:rsidR="004C4878" w:rsidRPr="00640251">
        <w:rPr>
          <w:i/>
          <w:iCs/>
          <w:color w:val="000000" w:themeColor="text1"/>
          <w:sz w:val="24"/>
          <w:szCs w:val="24"/>
        </w:rPr>
        <w:t>punish or condone the punishment of political boycott</w:t>
      </w:r>
      <w:r w:rsidR="00C449A3" w:rsidRPr="00640251">
        <w:rPr>
          <w:i/>
          <w:iCs/>
          <w:color w:val="000000" w:themeColor="text1"/>
          <w:sz w:val="24"/>
          <w:szCs w:val="24"/>
        </w:rPr>
        <w:t>s</w:t>
      </w:r>
      <w:r w:rsidR="00C449A3" w:rsidRPr="00640251">
        <w:rPr>
          <w:color w:val="000000" w:themeColor="text1"/>
          <w:sz w:val="24"/>
          <w:szCs w:val="24"/>
        </w:rPr>
        <w:t>.</w:t>
      </w:r>
    </w:p>
    <w:sectPr w:rsidR="009D3D1A" w:rsidRPr="00640251">
      <w:endnotePr>
        <w:numFmt w:val="decimal"/>
      </w:end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FDA92D" w14:textId="77777777" w:rsidR="0068472D" w:rsidRDefault="0068472D" w:rsidP="002A3FCB">
      <w:pPr>
        <w:spacing w:after="0" w:line="240" w:lineRule="auto"/>
      </w:pPr>
      <w:r>
        <w:separator/>
      </w:r>
    </w:p>
  </w:endnote>
  <w:endnote w:type="continuationSeparator" w:id="0">
    <w:p w14:paraId="3B6E7810" w14:textId="77777777" w:rsidR="0068472D" w:rsidRDefault="0068472D" w:rsidP="002A3FCB">
      <w:pPr>
        <w:spacing w:after="0" w:line="240" w:lineRule="auto"/>
      </w:pPr>
      <w:r>
        <w:continuationSeparator/>
      </w:r>
    </w:p>
  </w:endnote>
  <w:endnote w:id="1">
    <w:p w14:paraId="7DD28DD5" w14:textId="7F0F9483" w:rsidR="002A3FCB" w:rsidRDefault="002A3FCB" w:rsidP="002C688B">
      <w:pPr>
        <w:pStyle w:val="EndnoteText"/>
        <w:tabs>
          <w:tab w:val="left" w:pos="1530"/>
        </w:tabs>
      </w:pPr>
      <w:r>
        <w:rPr>
          <w:rStyle w:val="EndnoteReference"/>
        </w:rPr>
        <w:endnoteRef/>
      </w:r>
      <w:r>
        <w:t xml:space="preserve"> “Resolution in Defense of the Free Speech</w:t>
      </w:r>
      <w:r w:rsidR="002D2044">
        <w:t xml:space="preserve"> of Supporters of the Movement for Palestinian Rights</w:t>
      </w:r>
      <w:r>
        <w:t xml:space="preserve">” </w:t>
      </w:r>
      <w:hyperlink r:id="rId1" w:history="1">
        <w:r w:rsidR="002D2044" w:rsidRPr="002D2044">
          <w:rPr>
            <w:rStyle w:val="Hyperlink"/>
          </w:rPr>
          <w:t>https://www.ala.org/aboutala/sites/ala.org.aboutala/files/content/governance/council/council_documents/2019_ac_docs/ALA CD 49 Resolution in Defense of the Free Speech for Palestinian Rights.pdf</w:t>
        </w:r>
      </w:hyperlink>
      <w:r w:rsidR="002D2044">
        <w:t xml:space="preserve">. </w:t>
      </w:r>
    </w:p>
  </w:endnote>
  <w:endnote w:id="2">
    <w:p w14:paraId="4280107F" w14:textId="65BF7D2E" w:rsidR="00CF584A" w:rsidRDefault="00CF584A" w:rsidP="00CA1DCB">
      <w:pPr>
        <w:pStyle w:val="EndnoteText"/>
      </w:pPr>
      <w:r>
        <w:rPr>
          <w:rStyle w:val="EndnoteReference"/>
        </w:rPr>
        <w:endnoteRef/>
      </w:r>
      <w:r>
        <w:t xml:space="preserve"> “Resolution Opposing the Free Speech and Intellectual Freedom Restrictions in the Combating BDS Act, Anti-Semitism Awareness Act, and Related Legislation,”</w:t>
      </w:r>
      <w:r w:rsidR="0009627F">
        <w:t xml:space="preserve"> </w:t>
      </w:r>
      <w:hyperlink r:id="rId2" w:history="1">
        <w:r w:rsidR="0009627F" w:rsidRPr="005A51F2">
          <w:rPr>
            <w:rStyle w:val="Hyperlink"/>
          </w:rPr>
          <w:t>https://www.ala.org/rt/sites/ala.org.rt/files/content/SRRT/Resolutions/2020/Resolution%20Opposing%20the%20Free%20Speech%20and%20Intellectual%20Freedom%20Restrictions.pdf</w:t>
        </w:r>
      </w:hyperlink>
    </w:p>
  </w:endnote>
  <w:endnote w:id="3">
    <w:p w14:paraId="06D5BFC4" w14:textId="77777777" w:rsidR="001746EC" w:rsidRDefault="001746EC" w:rsidP="001746EC">
      <w:pPr>
        <w:pStyle w:val="EndnoteText"/>
      </w:pPr>
      <w:r>
        <w:rPr>
          <w:rStyle w:val="EndnoteReference"/>
        </w:rPr>
        <w:endnoteRef/>
      </w:r>
      <w:r>
        <w:t xml:space="preserve"> SRRT Action Council, “Response to the Report of the Resolution Review Task Force,” </w:t>
      </w:r>
      <w:hyperlink r:id="rId3" w:history="1">
        <w:r w:rsidRPr="00787F5A">
          <w:rPr>
            <w:rStyle w:val="Hyperlink"/>
          </w:rPr>
          <w:t>https://www.ala.org/rt/sites/ala.org.rt/files/content/SRRT/Resolutions/2020/SRRT%20Report.pdf</w:t>
        </w:r>
      </w:hyperlink>
      <w:r>
        <w:t xml:space="preserve">. </w:t>
      </w:r>
    </w:p>
  </w:endnote>
  <w:endnote w:id="4">
    <w:p w14:paraId="4D9BCB10" w14:textId="3853145C" w:rsidR="008C0A23" w:rsidRPr="002A7D5F" w:rsidRDefault="001746EC" w:rsidP="008C0A23">
      <w:pPr>
        <w:pStyle w:val="Heading1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793A5B">
        <w:rPr>
          <w:rStyle w:val="EndnoteReference"/>
          <w:b w:val="0"/>
          <w:bCs w:val="0"/>
          <w:sz w:val="20"/>
          <w:szCs w:val="20"/>
        </w:rPr>
        <w:endnoteRef/>
      </w:r>
      <w:r w:rsidR="008C0A23">
        <w:t xml:space="preserve"> </w:t>
      </w:r>
      <w:r w:rsidR="008C0A23" w:rsidRPr="002A7D5F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S.B. 13, 2021,Texas, </w:t>
      </w:r>
      <w:hyperlink r:id="rId4" w:anchor="navpanes=0" w:history="1">
        <w:r w:rsidR="008C0A23" w:rsidRPr="002A7D5F">
          <w:rPr>
            <w:rStyle w:val="Hyperlink"/>
            <w:rFonts w:asciiTheme="minorHAnsi" w:hAnsiTheme="minorHAnsi" w:cstheme="minorHAnsi"/>
            <w:b w:val="0"/>
            <w:bCs w:val="0"/>
            <w:sz w:val="20"/>
            <w:szCs w:val="20"/>
          </w:rPr>
          <w:t>https://capitol.texas.gov/tlodocs/87R/billtext/pdf/SB00013F.pdf#navpanes=0</w:t>
        </w:r>
      </w:hyperlink>
      <w:r w:rsidR="008C0A23" w:rsidRPr="002A7D5F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. </w:t>
      </w:r>
    </w:p>
    <w:p w14:paraId="6CC9F475" w14:textId="7A7C93D6" w:rsidR="008C0A23" w:rsidRPr="002A7D5F" w:rsidRDefault="008C0A23" w:rsidP="008C0A23">
      <w:pPr>
        <w:pStyle w:val="Heading1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b w:val="0"/>
          <w:bCs w:val="0"/>
          <w:color w:val="AB0613"/>
          <w:sz w:val="20"/>
          <w:szCs w:val="20"/>
        </w:rPr>
      </w:pPr>
      <w:r w:rsidRPr="002A7D5F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Other states that have introduced such legislation include Indiana, </w:t>
      </w:r>
      <w:r w:rsidRPr="002A7D5F">
        <w:rPr>
          <w:rFonts w:asciiTheme="minorHAnsi" w:hAnsiTheme="minorHAnsi" w:cstheme="minorHAnsi"/>
          <w:b w:val="0"/>
          <w:bCs w:val="0"/>
          <w:sz w:val="20"/>
          <w:szCs w:val="20"/>
          <w:shd w:val="clear" w:color="auto" w:fill="FFFFFF"/>
        </w:rPr>
        <w:t xml:space="preserve">West Virginia, Louisiana, and Oklahoma. See </w:t>
      </w:r>
      <w:r w:rsidRPr="002A7D5F">
        <w:rPr>
          <w:rFonts w:asciiTheme="minorHAnsi" w:hAnsiTheme="minorHAnsi" w:cstheme="minorHAnsi"/>
          <w:b w:val="0"/>
          <w:bCs w:val="0"/>
          <w:sz w:val="20"/>
          <w:szCs w:val="20"/>
        </w:rPr>
        <w:t>Alex Kane, “</w:t>
      </w:r>
      <w:r w:rsidRPr="002A7D5F">
        <w:rPr>
          <w:rFonts w:asciiTheme="minorHAnsi" w:hAnsiTheme="minorHAnsi" w:cstheme="minorHAnsi"/>
          <w:b w:val="0"/>
          <w:bCs w:val="0"/>
          <w:color w:val="333333"/>
          <w:sz w:val="20"/>
          <w:szCs w:val="20"/>
        </w:rPr>
        <w:t xml:space="preserve">What the Fossil Fuel Industry Learned from Anti-BDS Laws,” </w:t>
      </w:r>
      <w:r w:rsidRPr="002A7D5F">
        <w:rPr>
          <w:rFonts w:asciiTheme="minorHAnsi" w:hAnsiTheme="minorHAnsi" w:cstheme="minorHAnsi"/>
          <w:b w:val="0"/>
          <w:bCs w:val="0"/>
          <w:i/>
          <w:iCs/>
          <w:color w:val="333333"/>
          <w:sz w:val="20"/>
          <w:szCs w:val="20"/>
        </w:rPr>
        <w:t>Jewish Currents</w:t>
      </w:r>
      <w:r w:rsidRPr="002A7D5F">
        <w:rPr>
          <w:rFonts w:asciiTheme="minorHAnsi" w:hAnsiTheme="minorHAnsi" w:cstheme="minorHAnsi"/>
          <w:b w:val="0"/>
          <w:bCs w:val="0"/>
          <w:color w:val="333333"/>
          <w:sz w:val="20"/>
          <w:szCs w:val="20"/>
        </w:rPr>
        <w:t xml:space="preserve">, April 4, 2022, </w:t>
      </w:r>
      <w:hyperlink r:id="rId5" w:history="1">
        <w:r w:rsidRPr="002A7D5F">
          <w:rPr>
            <w:rStyle w:val="Hyperlink"/>
            <w:rFonts w:asciiTheme="minorHAnsi" w:hAnsiTheme="minorHAnsi" w:cstheme="minorHAnsi"/>
            <w:b w:val="0"/>
            <w:bCs w:val="0"/>
            <w:sz w:val="20"/>
            <w:szCs w:val="20"/>
          </w:rPr>
          <w:t>https://jewishcurrents.org/what-the-fossil-fuel-industry-learned-from-anti-bds-laws</w:t>
        </w:r>
      </w:hyperlink>
      <w:r w:rsidRPr="002A7D5F">
        <w:rPr>
          <w:rFonts w:asciiTheme="minorHAnsi" w:hAnsiTheme="minorHAnsi" w:cstheme="minorHAnsi"/>
          <w:b w:val="0"/>
          <w:bCs w:val="0"/>
          <w:color w:val="333333"/>
          <w:sz w:val="20"/>
          <w:szCs w:val="20"/>
        </w:rPr>
        <w:t xml:space="preserve">; Chris McGreal, </w:t>
      </w:r>
      <w:r w:rsidRPr="002A7D5F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“Rightwing lobby group Alec driving laws to blacklist companies that boycott the oil industry, </w:t>
      </w:r>
      <w:r w:rsidRPr="002A7D5F">
        <w:rPr>
          <w:rFonts w:asciiTheme="minorHAnsi" w:hAnsiTheme="minorHAnsi" w:cstheme="minorHAnsi"/>
          <w:b w:val="0"/>
          <w:bCs w:val="0"/>
          <w:i/>
          <w:iCs/>
          <w:sz w:val="20"/>
          <w:szCs w:val="20"/>
        </w:rPr>
        <w:t>The Guardian</w:t>
      </w:r>
      <w:r w:rsidRPr="002A7D5F">
        <w:rPr>
          <w:rFonts w:asciiTheme="minorHAnsi" w:hAnsiTheme="minorHAnsi" w:cstheme="minorHAnsi"/>
          <w:b w:val="0"/>
          <w:bCs w:val="0"/>
          <w:sz w:val="20"/>
          <w:szCs w:val="20"/>
        </w:rPr>
        <w:t>, February 8, 2022,</w:t>
      </w:r>
      <w:r w:rsidRPr="002A7D5F">
        <w:rPr>
          <w:rFonts w:asciiTheme="minorHAnsi" w:hAnsiTheme="minorHAnsi" w:cstheme="minorHAnsi"/>
          <w:b w:val="0"/>
          <w:bCs w:val="0"/>
          <w:color w:val="AB0613"/>
          <w:sz w:val="20"/>
          <w:szCs w:val="20"/>
        </w:rPr>
        <w:t xml:space="preserve"> </w:t>
      </w:r>
      <w:hyperlink r:id="rId6" w:history="1">
        <w:r w:rsidRPr="002A7D5F">
          <w:rPr>
            <w:rStyle w:val="Hyperlink"/>
            <w:rFonts w:asciiTheme="minorHAnsi" w:hAnsiTheme="minorHAnsi" w:cstheme="minorHAnsi"/>
            <w:b w:val="0"/>
            <w:bCs w:val="0"/>
            <w:sz w:val="20"/>
            <w:szCs w:val="20"/>
          </w:rPr>
          <w:t>https://www.theguardian.com/environment/2022/feb/08/rightwing-lobby-alec-blacklist-companies-boycott-oil-industry</w:t>
        </w:r>
      </w:hyperlink>
      <w:r w:rsidRPr="002A7D5F">
        <w:rPr>
          <w:rFonts w:asciiTheme="minorHAnsi" w:hAnsiTheme="minorHAnsi" w:cstheme="minorHAnsi"/>
          <w:sz w:val="20"/>
          <w:szCs w:val="20"/>
        </w:rPr>
        <w:t xml:space="preserve">; </w:t>
      </w:r>
      <w:r w:rsidRPr="002A7D5F">
        <w:rPr>
          <w:rFonts w:asciiTheme="minorHAnsi" w:hAnsiTheme="minorHAnsi" w:cstheme="minorHAnsi"/>
          <w:b w:val="0"/>
          <w:bCs w:val="0"/>
          <w:sz w:val="20"/>
          <w:szCs w:val="20"/>
          <w:shd w:val="clear" w:color="auto" w:fill="FFFFFF"/>
        </w:rPr>
        <w:t xml:space="preserve">David </w:t>
      </w:r>
      <w:proofErr w:type="spellStart"/>
      <w:r w:rsidRPr="002A7D5F">
        <w:rPr>
          <w:rFonts w:asciiTheme="minorHAnsi" w:hAnsiTheme="minorHAnsi" w:cstheme="minorHAnsi"/>
          <w:b w:val="0"/>
          <w:bCs w:val="0"/>
          <w:sz w:val="20"/>
          <w:szCs w:val="20"/>
          <w:shd w:val="clear" w:color="auto" w:fill="FFFFFF"/>
        </w:rPr>
        <w:t>Armiak</w:t>
      </w:r>
      <w:proofErr w:type="spellEnd"/>
      <w:r w:rsidRPr="002A7D5F">
        <w:rPr>
          <w:rFonts w:asciiTheme="minorHAnsi" w:hAnsiTheme="minorHAnsi" w:cstheme="minorHAnsi"/>
          <w:b w:val="0"/>
          <w:bCs w:val="0"/>
          <w:sz w:val="20"/>
          <w:szCs w:val="20"/>
          <w:shd w:val="clear" w:color="auto" w:fill="FFFFFF"/>
        </w:rPr>
        <w:t>, “</w:t>
      </w:r>
      <w:r w:rsidR="007A67F6">
        <w:rPr>
          <w:rFonts w:asciiTheme="minorHAnsi" w:hAnsiTheme="minorHAnsi" w:cstheme="minorHAnsi"/>
          <w:b w:val="0"/>
          <w:bCs w:val="0"/>
          <w:sz w:val="20"/>
          <w:szCs w:val="20"/>
          <w:shd w:val="clear" w:color="auto" w:fill="FFFFFF"/>
        </w:rPr>
        <w:t>A</w:t>
      </w:r>
      <w:r w:rsidRPr="002A7D5F">
        <w:rPr>
          <w:rFonts w:asciiTheme="minorHAnsi" w:hAnsiTheme="minorHAnsi" w:cstheme="minorHAnsi"/>
          <w:b w:val="0"/>
          <w:bCs w:val="0"/>
          <w:color w:val="000000"/>
          <w:sz w:val="20"/>
          <w:szCs w:val="20"/>
        </w:rPr>
        <w:t>LEC’s ‘Critical Energy Theory’ Bills Moving in Four States,” Exposed by CMD, Center for Media and Democracy, February 8, 2022,</w:t>
      </w:r>
    </w:p>
    <w:p w14:paraId="1E0386C5" w14:textId="0960B557" w:rsidR="001746EC" w:rsidRPr="003C184A" w:rsidRDefault="008C0A23" w:rsidP="008C0A23">
      <w:pPr>
        <w:pStyle w:val="Heading1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b w:val="0"/>
          <w:bCs w:val="0"/>
          <w:sz w:val="20"/>
          <w:szCs w:val="20"/>
        </w:rPr>
      </w:pPr>
      <w:r w:rsidRPr="002A7D5F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</w:t>
      </w:r>
      <w:hyperlink r:id="rId7" w:history="1">
        <w:r w:rsidRPr="002A7D5F">
          <w:rPr>
            <w:rStyle w:val="Hyperlink"/>
            <w:rFonts w:asciiTheme="minorHAnsi" w:hAnsiTheme="minorHAnsi" w:cstheme="minorHAnsi"/>
            <w:b w:val="0"/>
            <w:bCs w:val="0"/>
            <w:sz w:val="20"/>
            <w:szCs w:val="20"/>
          </w:rPr>
          <w:t>https://www.exposedbycmd.org/2022/02/08/alecs-critical-energy-theory-bills-moving-in-four-states/</w:t>
        </w:r>
      </w:hyperlink>
      <w:r w:rsidR="0009627F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</w:p>
  </w:endnote>
  <w:endnote w:id="5">
    <w:p w14:paraId="085604F1" w14:textId="5F3E2FEF" w:rsidR="001746EC" w:rsidRPr="008C0A23" w:rsidRDefault="001746EC" w:rsidP="008C0A23">
      <w:pPr>
        <w:pStyle w:val="Heading1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3C184A">
        <w:rPr>
          <w:rStyle w:val="EndnoteReference"/>
          <w:b w:val="0"/>
          <w:bCs w:val="0"/>
          <w:sz w:val="20"/>
          <w:szCs w:val="20"/>
        </w:rPr>
        <w:endnoteRef/>
      </w:r>
      <w:r w:rsidRPr="003C184A">
        <w:rPr>
          <w:b w:val="0"/>
          <w:bCs w:val="0"/>
          <w:sz w:val="20"/>
          <w:szCs w:val="20"/>
        </w:rPr>
        <w:t xml:space="preserve"> </w:t>
      </w:r>
      <w:r w:rsidR="008C0A23" w:rsidRPr="002A7D5F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S.B. 19, 2021, Texas, </w:t>
      </w:r>
      <w:hyperlink r:id="rId8" w:history="1">
        <w:r w:rsidR="008C0A23" w:rsidRPr="002A7D5F">
          <w:rPr>
            <w:rStyle w:val="Hyperlink"/>
            <w:rFonts w:asciiTheme="minorHAnsi" w:hAnsiTheme="minorHAnsi" w:cstheme="minorHAnsi"/>
            <w:b w:val="0"/>
            <w:bCs w:val="0"/>
            <w:sz w:val="20"/>
            <w:szCs w:val="20"/>
          </w:rPr>
          <w:t>https://capitol.texas.gov/tlodocs/87R/billtext/html/SB00019F.htm</w:t>
        </w:r>
      </w:hyperlink>
      <w:r w:rsidR="008C0A23" w:rsidRPr="002A7D5F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; H.B. 3144, Oklahoma, </w:t>
      </w:r>
      <w:hyperlink r:id="rId9" w:history="1">
        <w:r w:rsidR="008C0A23" w:rsidRPr="002A7D5F">
          <w:rPr>
            <w:rStyle w:val="Hyperlink"/>
            <w:rFonts w:asciiTheme="minorHAnsi" w:hAnsiTheme="minorHAnsi" w:cstheme="minorHAnsi"/>
            <w:b w:val="0"/>
            <w:bCs w:val="0"/>
            <w:sz w:val="20"/>
            <w:szCs w:val="20"/>
          </w:rPr>
          <w:t>http://webserver1.lsb.state.ok.us/cf_pdf/2021-22%20ENGR/hB/HB3144%20ENGR.PDF</w:t>
        </w:r>
      </w:hyperlink>
      <w:r w:rsidR="008C0A23" w:rsidRPr="002A7D5F">
        <w:rPr>
          <w:rFonts w:asciiTheme="minorHAnsi" w:hAnsiTheme="minorHAnsi" w:cstheme="minorHAnsi"/>
          <w:b w:val="0"/>
          <w:bCs w:val="0"/>
          <w:sz w:val="20"/>
          <w:szCs w:val="20"/>
        </w:rPr>
        <w:t>. See also “</w:t>
      </w:r>
      <w:r w:rsidR="008C0A23" w:rsidRPr="002A7D5F">
        <w:rPr>
          <w:rFonts w:asciiTheme="minorHAnsi" w:hAnsiTheme="minorHAnsi" w:cstheme="minorHAnsi"/>
          <w:b w:val="0"/>
          <w:bCs w:val="0"/>
          <w:color w:val="333333"/>
          <w:sz w:val="20"/>
          <w:szCs w:val="20"/>
        </w:rPr>
        <w:t xml:space="preserve">A bill in the Arizona House would punish banks that refuse business from gun firms,” NPR, February 18, 2022, </w:t>
      </w:r>
      <w:hyperlink r:id="rId10" w:history="1">
        <w:r w:rsidR="008C0A23" w:rsidRPr="002A7D5F">
          <w:rPr>
            <w:rStyle w:val="Hyperlink"/>
            <w:rFonts w:asciiTheme="minorHAnsi" w:hAnsiTheme="minorHAnsi" w:cstheme="minorHAnsi"/>
            <w:b w:val="0"/>
            <w:bCs w:val="0"/>
            <w:sz w:val="20"/>
            <w:szCs w:val="20"/>
          </w:rPr>
          <w:t>https://www.npr.org/2022/02/18/1081917682/a-bill-in-the-arizona-house-would-punish-banks-that-refuse-business-from-gun-fir</w:t>
        </w:r>
      </w:hyperlink>
      <w:r w:rsidR="008C0A23" w:rsidRPr="002A7D5F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; Noah </w:t>
      </w:r>
      <w:proofErr w:type="spellStart"/>
      <w:r w:rsidR="008C0A23" w:rsidRPr="002A7D5F">
        <w:rPr>
          <w:rFonts w:asciiTheme="minorHAnsi" w:hAnsiTheme="minorHAnsi" w:cstheme="minorHAnsi"/>
          <w:b w:val="0"/>
          <w:bCs w:val="0"/>
          <w:sz w:val="20"/>
          <w:szCs w:val="20"/>
        </w:rPr>
        <w:t>Taborda</w:t>
      </w:r>
      <w:proofErr w:type="spellEnd"/>
      <w:r w:rsidR="008C0A23" w:rsidRPr="002A7D5F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, “Kansas Senate considers shielding firearm industry from discrimination by businesses,” </w:t>
      </w:r>
      <w:r w:rsidR="008C0A23" w:rsidRPr="002A7D5F">
        <w:rPr>
          <w:rFonts w:asciiTheme="minorHAnsi" w:hAnsiTheme="minorHAnsi" w:cstheme="minorHAnsi"/>
          <w:b w:val="0"/>
          <w:bCs w:val="0"/>
          <w:i/>
          <w:iCs/>
          <w:sz w:val="20"/>
          <w:szCs w:val="20"/>
        </w:rPr>
        <w:t>Kansas Reflector</w:t>
      </w:r>
      <w:r w:rsidR="008C0A23" w:rsidRPr="002A7D5F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, February 22, 2022, </w:t>
      </w:r>
      <w:hyperlink r:id="rId11" w:history="1">
        <w:r w:rsidR="008C0A23" w:rsidRPr="002A7D5F">
          <w:rPr>
            <w:rStyle w:val="Hyperlink"/>
            <w:rFonts w:asciiTheme="minorHAnsi" w:hAnsiTheme="minorHAnsi" w:cstheme="minorHAnsi"/>
            <w:b w:val="0"/>
            <w:bCs w:val="0"/>
            <w:sz w:val="20"/>
            <w:szCs w:val="20"/>
          </w:rPr>
          <w:t>https://kansasreflector.com/2022/02/22/kansas-senate-considers-shielding-firearm-industry-from-discrimination-by-businesses/</w:t>
        </w:r>
      </w:hyperlink>
      <w:r w:rsidR="008C0A23" w:rsidRPr="002A7D5F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; “Free Speech-Quashing Laws Based on Israel-Focused Anti-Boycott Laws,” Foundation for Middle East Peace, March 24, 2022 and updated regularly, </w:t>
      </w:r>
      <w:hyperlink r:id="rId12" w:history="1">
        <w:r w:rsidR="008C0A23" w:rsidRPr="002A7D5F">
          <w:rPr>
            <w:rStyle w:val="Hyperlink"/>
            <w:rFonts w:asciiTheme="minorHAnsi" w:hAnsiTheme="minorHAnsi" w:cstheme="minorHAnsi"/>
            <w:b w:val="0"/>
            <w:bCs w:val="0"/>
            <w:sz w:val="20"/>
            <w:szCs w:val="20"/>
          </w:rPr>
          <w:t>https://fmep.org/wp/wp-content/uploads/BDS-Laws-as-Template-for-Laws-on-Other-Issues.pdf</w:t>
        </w:r>
      </w:hyperlink>
      <w:r w:rsidR="008C0A23" w:rsidRPr="002A7D5F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</w:p>
  </w:endnote>
  <w:endnote w:id="6">
    <w:p w14:paraId="67084F11" w14:textId="77777777" w:rsidR="001746EC" w:rsidRDefault="001746EC" w:rsidP="001746EC">
      <w:pPr>
        <w:pStyle w:val="EndnoteText"/>
      </w:pPr>
      <w:r>
        <w:rPr>
          <w:rStyle w:val="EndnoteReference"/>
        </w:rPr>
        <w:endnoteRef/>
      </w:r>
      <w:r>
        <w:t xml:space="preserve"> Palestine Legal, </w:t>
      </w:r>
      <w:hyperlink r:id="rId13" w:history="1">
        <w:r w:rsidRPr="00787F5A">
          <w:rPr>
            <w:rStyle w:val="Hyperlink"/>
          </w:rPr>
          <w:t>https://legislation.palestinelegal.org/</w:t>
        </w:r>
      </w:hyperlink>
      <w:r>
        <w:t xml:space="preserve">. </w:t>
      </w:r>
    </w:p>
  </w:endnote>
  <w:endnote w:id="7">
    <w:p w14:paraId="44CE1DE3" w14:textId="77777777" w:rsidR="001746EC" w:rsidRDefault="001746EC" w:rsidP="001746EC">
      <w:pPr>
        <w:pStyle w:val="EndnoteText"/>
      </w:pPr>
      <w:r>
        <w:rPr>
          <w:rStyle w:val="EndnoteReference"/>
        </w:rPr>
        <w:endnoteRef/>
      </w:r>
      <w:r>
        <w:t xml:space="preserve"> Palestine Legal: Federal Legislation, </w:t>
      </w:r>
      <w:hyperlink r:id="rId14" w:anchor="federal" w:history="1">
        <w:r w:rsidRPr="00787F5A">
          <w:rPr>
            <w:rStyle w:val="Hyperlink"/>
          </w:rPr>
          <w:t>https://legislation.palestinelegal.org/#federal</w:t>
        </w:r>
      </w:hyperlink>
      <w:r>
        <w:t xml:space="preserve">. </w:t>
      </w:r>
    </w:p>
  </w:endnote>
  <w:endnote w:id="8">
    <w:p w14:paraId="325D57B8" w14:textId="363CCBD9" w:rsidR="001746EC" w:rsidRPr="004A6B33" w:rsidRDefault="001746EC" w:rsidP="004A6B33">
      <w:pPr>
        <w:pStyle w:val="Heading1"/>
        <w:spacing w:before="0" w:beforeAutospacing="0" w:after="0" w:afterAutospacing="0"/>
        <w:rPr>
          <w:rFonts w:asciiTheme="minorHAnsi" w:hAnsiTheme="minorHAnsi" w:cstheme="minorHAnsi"/>
          <w:b w:val="0"/>
          <w:bCs w:val="0"/>
          <w:color w:val="222222"/>
          <w:sz w:val="20"/>
          <w:szCs w:val="20"/>
        </w:rPr>
      </w:pPr>
      <w:r w:rsidRPr="004A6B33">
        <w:rPr>
          <w:rStyle w:val="EndnoteReference"/>
          <w:rFonts w:asciiTheme="minorHAnsi" w:hAnsiTheme="minorHAnsi" w:cstheme="minorHAnsi"/>
          <w:b w:val="0"/>
          <w:bCs w:val="0"/>
          <w:sz w:val="20"/>
          <w:szCs w:val="20"/>
        </w:rPr>
        <w:endnoteRef/>
      </w:r>
      <w:r w:rsidRPr="004A6B3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MEE Staff in Washington, “US: Georgia Court Rules Anti-BDS Legislation Unconstitutional," Middle East Eye, May 24, 2021, </w:t>
      </w:r>
      <w:hyperlink r:id="rId15" w:history="1">
        <w:r w:rsidRPr="004A6B33">
          <w:rPr>
            <w:rStyle w:val="Hyperlink"/>
            <w:rFonts w:asciiTheme="minorHAnsi" w:hAnsiTheme="minorHAnsi" w:cstheme="minorHAnsi"/>
            <w:b w:val="0"/>
            <w:bCs w:val="0"/>
            <w:sz w:val="20"/>
            <w:szCs w:val="20"/>
          </w:rPr>
          <w:t>https://www.middleeasteye.net/news/us-georgia-court-rules-anti-bds-law-unconstitutional</w:t>
        </w:r>
      </w:hyperlink>
      <w:r w:rsidRPr="004A6B33">
        <w:rPr>
          <w:rStyle w:val="Hyperlink"/>
          <w:rFonts w:asciiTheme="minorHAnsi" w:hAnsiTheme="minorHAnsi" w:cstheme="minorHAnsi"/>
          <w:b w:val="0"/>
          <w:bCs w:val="0"/>
          <w:sz w:val="20"/>
          <w:szCs w:val="20"/>
        </w:rPr>
        <w:t>;</w:t>
      </w:r>
      <w:r w:rsidR="00F40B5C" w:rsidRPr="004A6B33">
        <w:rPr>
          <w:rStyle w:val="Hyperlink"/>
          <w:rFonts w:asciiTheme="minorHAnsi" w:hAnsiTheme="minorHAnsi" w:cstheme="minorHAnsi"/>
          <w:b w:val="0"/>
          <w:bCs w:val="0"/>
          <w:sz w:val="20"/>
          <w:szCs w:val="20"/>
        </w:rPr>
        <w:t xml:space="preserve"> “</w:t>
      </w:r>
      <w:hyperlink r:id="rId16" w:history="1">
        <w:r w:rsidR="00F40B5C" w:rsidRPr="004A6B33">
          <w:rPr>
            <w:rStyle w:val="Hyperlink"/>
            <w:rFonts w:asciiTheme="minorHAnsi" w:hAnsiTheme="minorHAnsi" w:cstheme="minorHAnsi"/>
            <w:b w:val="0"/>
            <w:bCs w:val="0"/>
            <w:color w:val="003B3F"/>
            <w:sz w:val="20"/>
            <w:szCs w:val="20"/>
          </w:rPr>
          <w:t>Elliot Setzer</w:t>
        </w:r>
      </w:hyperlink>
      <w:r w:rsidR="00F40B5C" w:rsidRPr="004A6B33">
        <w:rPr>
          <w:rFonts w:asciiTheme="minorHAnsi" w:hAnsiTheme="minorHAnsi" w:cstheme="minorHAnsi"/>
          <w:b w:val="0"/>
          <w:bCs w:val="0"/>
          <w:sz w:val="20"/>
          <w:szCs w:val="20"/>
        </w:rPr>
        <w:t>, “</w:t>
      </w:r>
      <w:r w:rsidR="004A6B33" w:rsidRPr="004A6B33">
        <w:rPr>
          <w:rFonts w:asciiTheme="minorHAnsi" w:hAnsiTheme="minorHAnsi" w:cstheme="minorHAnsi"/>
          <w:b w:val="0"/>
          <w:bCs w:val="0"/>
          <w:color w:val="222222"/>
          <w:sz w:val="20"/>
          <w:szCs w:val="20"/>
        </w:rPr>
        <w:t xml:space="preserve">Eighth Circuit Strikes Down Arkansas’s Anti-BDS Law,” Lawfare, March , 2021, </w:t>
      </w:r>
      <w:hyperlink r:id="rId17" w:history="1">
        <w:r w:rsidR="004A6B33" w:rsidRPr="00C71C89">
          <w:rPr>
            <w:rStyle w:val="Hyperlink"/>
            <w:rFonts w:asciiTheme="minorHAnsi" w:hAnsiTheme="minorHAnsi" w:cstheme="minorHAnsi"/>
            <w:b w:val="0"/>
            <w:bCs w:val="0"/>
            <w:sz w:val="20"/>
            <w:szCs w:val="20"/>
          </w:rPr>
          <w:t>https://www.lawfareblog.com/eighth-circuit-strikes-down-arkansass-anti-bds-law</w:t>
        </w:r>
      </w:hyperlink>
      <w:r w:rsidR="004A6B33" w:rsidRPr="004A6B33">
        <w:rPr>
          <w:rFonts w:asciiTheme="minorHAnsi" w:hAnsiTheme="minorHAnsi" w:cstheme="minorHAnsi"/>
          <w:b w:val="0"/>
          <w:bCs w:val="0"/>
          <w:color w:val="222222"/>
          <w:sz w:val="20"/>
          <w:szCs w:val="20"/>
        </w:rPr>
        <w:t>.</w:t>
      </w:r>
      <w:r w:rsidR="004A6B33">
        <w:rPr>
          <w:rFonts w:asciiTheme="minorHAnsi" w:hAnsiTheme="minorHAnsi" w:cstheme="minorHAnsi"/>
          <w:b w:val="0"/>
          <w:bCs w:val="0"/>
          <w:color w:val="222222"/>
          <w:sz w:val="20"/>
          <w:szCs w:val="20"/>
        </w:rPr>
        <w:t xml:space="preserve">; </w:t>
      </w:r>
      <w:r w:rsidRPr="004A6B3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Foundation for Middle East Peace, “Constitutionality Issues &amp; BDS Legislation: Source Docs &amp; Expert Views,” </w:t>
      </w:r>
      <w:hyperlink r:id="rId18" w:history="1">
        <w:r w:rsidRPr="004A6B33">
          <w:rPr>
            <w:rStyle w:val="Hyperlink"/>
            <w:rFonts w:asciiTheme="minorHAnsi" w:hAnsiTheme="minorHAnsi" w:cstheme="minorHAnsi"/>
            <w:b w:val="0"/>
            <w:bCs w:val="0"/>
            <w:sz w:val="20"/>
            <w:szCs w:val="20"/>
          </w:rPr>
          <w:t>https://fmep.org/resource/constitutionality-issues-bds-legislation-expert-views/</w:t>
        </w:r>
      </w:hyperlink>
      <w:r w:rsidRPr="004A6B3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>
        <w:t xml:space="preserve"> </w:t>
      </w:r>
    </w:p>
  </w:endnote>
  <w:endnote w:id="9">
    <w:p w14:paraId="41FB07E8" w14:textId="77777777" w:rsidR="001746EC" w:rsidRPr="00E61199" w:rsidRDefault="001746EC" w:rsidP="004A6B33">
      <w:pPr>
        <w:pStyle w:val="Heading1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 w:val="0"/>
          <w:bCs w:val="0"/>
          <w:color w:val="333333"/>
          <w:sz w:val="20"/>
          <w:szCs w:val="20"/>
        </w:rPr>
      </w:pPr>
      <w:r w:rsidRPr="00E61199">
        <w:rPr>
          <w:rStyle w:val="EndnoteReference"/>
          <w:rFonts w:asciiTheme="minorHAnsi" w:hAnsiTheme="minorHAnsi" w:cstheme="minorHAnsi"/>
          <w:b w:val="0"/>
          <w:bCs w:val="0"/>
          <w:sz w:val="20"/>
          <w:szCs w:val="20"/>
        </w:rPr>
        <w:endnoteRef/>
      </w:r>
      <w:r w:rsidRPr="00E61199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Sophie Quinton, “</w:t>
      </w:r>
      <w:r w:rsidRPr="00E61199">
        <w:rPr>
          <w:rFonts w:asciiTheme="minorHAnsi" w:hAnsiTheme="minorHAnsi" w:cstheme="minorHAnsi"/>
          <w:b w:val="0"/>
          <w:bCs w:val="0"/>
          <w:color w:val="333333"/>
          <w:sz w:val="20"/>
          <w:szCs w:val="20"/>
        </w:rPr>
        <w:t xml:space="preserve">Eight States Enact Anti-Protest Laws,” PEW, </w:t>
      </w:r>
      <w:hyperlink r:id="rId19" w:history="1">
        <w:r w:rsidRPr="00E61199">
          <w:rPr>
            <w:rStyle w:val="Hyperlink"/>
            <w:rFonts w:asciiTheme="minorHAnsi" w:hAnsiTheme="minorHAnsi" w:cstheme="minorHAnsi"/>
            <w:b w:val="0"/>
            <w:bCs w:val="0"/>
            <w:sz w:val="20"/>
            <w:szCs w:val="20"/>
          </w:rPr>
          <w:t>https://www.pewtrusts.org/en/research-and-analysis/blogs/stateline/2021/06/21/eight-states-enact-anti-protest-laws</w:t>
        </w:r>
      </w:hyperlink>
      <w:r w:rsidRPr="00E61199">
        <w:rPr>
          <w:rFonts w:asciiTheme="minorHAnsi" w:hAnsiTheme="minorHAnsi" w:cstheme="minorHAnsi"/>
          <w:b w:val="0"/>
          <w:bCs w:val="0"/>
          <w:color w:val="333333"/>
          <w:sz w:val="20"/>
          <w:szCs w:val="20"/>
        </w:rPr>
        <w:t xml:space="preserve">; US Protest Law Tracker, </w:t>
      </w:r>
      <w:hyperlink r:id="rId20" w:history="1">
        <w:r w:rsidRPr="00E61199">
          <w:rPr>
            <w:rStyle w:val="Hyperlink"/>
            <w:rFonts w:asciiTheme="minorHAnsi" w:hAnsiTheme="minorHAnsi" w:cstheme="minorHAnsi"/>
            <w:b w:val="0"/>
            <w:bCs w:val="0"/>
            <w:sz w:val="20"/>
            <w:szCs w:val="20"/>
          </w:rPr>
          <w:t>https://www.icnl.org/usprotestlawtracker/</w:t>
        </w:r>
      </w:hyperlink>
      <w:r>
        <w:rPr>
          <w:rFonts w:asciiTheme="minorHAnsi" w:hAnsiTheme="minorHAnsi" w:cstheme="minorHAnsi"/>
          <w:b w:val="0"/>
          <w:bCs w:val="0"/>
          <w:color w:val="333333"/>
          <w:sz w:val="20"/>
          <w:szCs w:val="20"/>
        </w:rPr>
        <w:t>;</w:t>
      </w:r>
      <w:r w:rsidRPr="00E61199">
        <w:rPr>
          <w:rFonts w:asciiTheme="minorHAnsi" w:hAnsiTheme="minorHAnsi" w:cstheme="minorHAnsi"/>
          <w:b w:val="0"/>
          <w:bCs w:val="0"/>
          <w:color w:val="363636"/>
          <w:sz w:val="20"/>
          <w:szCs w:val="20"/>
          <w:bdr w:val="none" w:sz="0" w:space="0" w:color="auto" w:frame="1"/>
          <w:shd w:val="clear" w:color="auto" w:fill="FFFFFF"/>
        </w:rPr>
        <w:br/>
      </w:r>
      <w:r w:rsidRPr="00E61199">
        <w:rPr>
          <w:rStyle w:val="byline-prefix"/>
          <w:rFonts w:asciiTheme="minorHAnsi" w:hAnsiTheme="minorHAnsi" w:cstheme="minorHAnsi"/>
          <w:b w:val="0"/>
          <w:bCs w:val="0"/>
          <w:color w:val="363636"/>
          <w:sz w:val="20"/>
          <w:szCs w:val="20"/>
          <w:bdr w:val="none" w:sz="0" w:space="0" w:color="auto" w:frame="1"/>
          <w:shd w:val="clear" w:color="auto" w:fill="FFFFFF"/>
        </w:rPr>
        <w:t>By </w:t>
      </w:r>
      <w:hyperlink r:id="rId21" w:history="1">
        <w:r w:rsidRPr="00E61199">
          <w:rPr>
            <w:rStyle w:val="Hyperlink"/>
            <w:rFonts w:asciiTheme="minorHAnsi" w:hAnsiTheme="minorHAnsi" w:cstheme="minorHAnsi"/>
            <w:b w:val="0"/>
            <w:bCs w:val="0"/>
            <w:sz w:val="20"/>
            <w:szCs w:val="20"/>
            <w:bdr w:val="none" w:sz="0" w:space="0" w:color="auto" w:frame="1"/>
            <w:shd w:val="clear" w:color="auto" w:fill="FFFFFF"/>
          </w:rPr>
          <w:t>Reid J. Epstein</w:t>
        </w:r>
      </w:hyperlink>
      <w:r w:rsidRPr="00E61199">
        <w:rPr>
          <w:rFonts w:asciiTheme="minorHAnsi" w:hAnsiTheme="minorHAnsi" w:cstheme="minorHAnsi"/>
          <w:b w:val="0"/>
          <w:bCs w:val="0"/>
          <w:color w:val="363636"/>
          <w:sz w:val="20"/>
          <w:szCs w:val="20"/>
          <w:shd w:val="clear" w:color="auto" w:fill="FFFFFF"/>
        </w:rPr>
        <w:t> and </w:t>
      </w:r>
      <w:hyperlink r:id="rId22" w:history="1">
        <w:r w:rsidRPr="00E61199">
          <w:rPr>
            <w:rStyle w:val="Hyperlink"/>
            <w:rFonts w:asciiTheme="minorHAnsi" w:hAnsiTheme="minorHAnsi" w:cstheme="minorHAnsi"/>
            <w:b w:val="0"/>
            <w:bCs w:val="0"/>
            <w:sz w:val="20"/>
            <w:szCs w:val="20"/>
            <w:bdr w:val="none" w:sz="0" w:space="0" w:color="auto" w:frame="1"/>
            <w:shd w:val="clear" w:color="auto" w:fill="FFFFFF"/>
          </w:rPr>
          <w:t>Patricia Mazzei</w:t>
        </w:r>
      </w:hyperlink>
      <w:r w:rsidRPr="00E61199">
        <w:rPr>
          <w:rStyle w:val="css-1baulvz"/>
          <w:rFonts w:asciiTheme="minorHAnsi" w:hAnsiTheme="minorHAnsi" w:cstheme="minorHAnsi"/>
          <w:b w:val="0"/>
          <w:bCs w:val="0"/>
          <w:color w:val="363636"/>
          <w:sz w:val="20"/>
          <w:szCs w:val="20"/>
          <w:bdr w:val="none" w:sz="0" w:space="0" w:color="auto" w:frame="1"/>
          <w:shd w:val="clear" w:color="auto" w:fill="FFFFFF"/>
        </w:rPr>
        <w:t xml:space="preserve">, </w:t>
      </w:r>
      <w:r w:rsidRPr="00E61199">
        <w:rPr>
          <w:rFonts w:asciiTheme="minorHAnsi" w:hAnsiTheme="minorHAnsi" w:cstheme="minorHAnsi"/>
          <w:b w:val="0"/>
          <w:bCs w:val="0"/>
          <w:i/>
          <w:iCs/>
          <w:sz w:val="20"/>
          <w:szCs w:val="20"/>
        </w:rPr>
        <w:t xml:space="preserve">G.O.P. Bills Target Protesters (and Absolve Motorists Who Hit Them), </w:t>
      </w:r>
      <w:r w:rsidRPr="00E61199">
        <w:rPr>
          <w:rStyle w:val="css-1sbuyqj"/>
          <w:rFonts w:asciiTheme="minorHAnsi" w:hAnsiTheme="minorHAnsi" w:cstheme="minorHAnsi"/>
          <w:b w:val="0"/>
          <w:bCs w:val="0"/>
          <w:color w:val="363636"/>
          <w:sz w:val="20"/>
          <w:szCs w:val="20"/>
          <w:bdr w:val="none" w:sz="0" w:space="0" w:color="auto" w:frame="1"/>
          <w:shd w:val="clear" w:color="auto" w:fill="FFFFFF"/>
        </w:rPr>
        <w:t>Published April 21, 2021</w:t>
      </w:r>
      <w:r>
        <w:rPr>
          <w:rStyle w:val="css-1sbuyqj"/>
          <w:rFonts w:asciiTheme="minorHAnsi" w:hAnsiTheme="minorHAnsi" w:cstheme="minorHAnsi"/>
          <w:b w:val="0"/>
          <w:bCs w:val="0"/>
          <w:color w:val="363636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 w:rsidRPr="00E61199">
        <w:rPr>
          <w:rStyle w:val="css-233int"/>
          <w:rFonts w:asciiTheme="minorHAnsi" w:hAnsiTheme="minorHAnsi" w:cstheme="minorHAnsi"/>
          <w:b w:val="0"/>
          <w:bCs w:val="0"/>
          <w:color w:val="363636"/>
          <w:sz w:val="20"/>
          <w:szCs w:val="20"/>
          <w:bdr w:val="none" w:sz="0" w:space="0" w:color="auto" w:frame="1"/>
          <w:shd w:val="clear" w:color="auto" w:fill="FFFFFF"/>
        </w:rPr>
        <w:t>Updated June 16, 2021</w:t>
      </w:r>
      <w:r>
        <w:rPr>
          <w:rStyle w:val="css-233int"/>
          <w:rFonts w:asciiTheme="minorHAnsi" w:hAnsiTheme="minorHAnsi" w:cstheme="minorHAnsi"/>
          <w:b w:val="0"/>
          <w:bCs w:val="0"/>
          <w:color w:val="363636"/>
          <w:sz w:val="20"/>
          <w:szCs w:val="20"/>
          <w:bdr w:val="none" w:sz="0" w:space="0" w:color="auto" w:frame="1"/>
          <w:shd w:val="clear" w:color="auto" w:fill="FFFFFF"/>
        </w:rPr>
        <w:t xml:space="preserve">, </w:t>
      </w:r>
      <w:hyperlink r:id="rId23" w:history="1">
        <w:r w:rsidRPr="00C338F8">
          <w:rPr>
            <w:rStyle w:val="Hyperlink"/>
            <w:rFonts w:asciiTheme="minorHAnsi" w:hAnsiTheme="minorHAnsi" w:cstheme="minorHAnsi"/>
            <w:b w:val="0"/>
            <w:bCs w:val="0"/>
            <w:sz w:val="20"/>
            <w:szCs w:val="20"/>
          </w:rPr>
          <w:t>https://www.nytimes.com/2021/04/21/us/politics/republican-anti-protest-laws.html</w:t>
        </w:r>
      </w:hyperlink>
    </w:p>
  </w:endnote>
  <w:endnote w:id="10">
    <w:p w14:paraId="566B35DB" w14:textId="77777777" w:rsidR="001746EC" w:rsidRPr="005D6826" w:rsidRDefault="001746EC" w:rsidP="001746EC">
      <w:pPr>
        <w:pStyle w:val="EndnoteText"/>
        <w:rPr>
          <w:rFonts w:cstheme="minorHAnsi"/>
          <w:color w:val="121212"/>
          <w:shd w:val="clear" w:color="auto" w:fill="FFFFFF"/>
        </w:rPr>
      </w:pPr>
      <w:r w:rsidRPr="00E61199">
        <w:rPr>
          <w:rStyle w:val="EndnoteReference"/>
          <w:rFonts w:cstheme="minorHAnsi"/>
        </w:rPr>
        <w:endnoteRef/>
      </w:r>
      <w:r w:rsidRPr="00E61199">
        <w:rPr>
          <w:rFonts w:cstheme="minorHAnsi"/>
        </w:rPr>
        <w:t xml:space="preserve"> “</w:t>
      </w:r>
      <w:r w:rsidRPr="00E61199">
        <w:rPr>
          <w:rFonts w:cstheme="minorHAnsi"/>
          <w:color w:val="121212"/>
          <w:shd w:val="clear" w:color="auto" w:fill="FFFFFF"/>
        </w:rPr>
        <w:t xml:space="preserve">Bills to ban US schools’ discussion of LGBTQ+ issues are threat to free speech – report,” </w:t>
      </w:r>
      <w:r w:rsidRPr="00E61199">
        <w:rPr>
          <w:rFonts w:cstheme="minorHAnsi"/>
          <w:i/>
          <w:iCs/>
          <w:color w:val="121212"/>
          <w:shd w:val="clear" w:color="auto" w:fill="FFFFFF"/>
        </w:rPr>
        <w:t>The Guardian</w:t>
      </w:r>
      <w:r w:rsidRPr="00E61199">
        <w:rPr>
          <w:rFonts w:cstheme="minorHAnsi"/>
          <w:color w:val="121212"/>
          <w:shd w:val="clear" w:color="auto" w:fill="FFFFFF"/>
        </w:rPr>
        <w:t xml:space="preserve">, Feb. 15, 2022, </w:t>
      </w:r>
      <w:hyperlink r:id="rId24" w:history="1">
        <w:r w:rsidRPr="00E61199">
          <w:rPr>
            <w:rStyle w:val="Hyperlink"/>
            <w:rFonts w:cstheme="minorHAnsi"/>
            <w:shd w:val="clear" w:color="auto" w:fill="FFFFFF"/>
          </w:rPr>
          <w:t>https://www.theguardian.com/world/2022/feb/15/lgbtq-rights-ban-us-schools-republicans</w:t>
        </w:r>
      </w:hyperlink>
      <w:r w:rsidRPr="00E61199">
        <w:rPr>
          <w:rFonts w:cstheme="minorHAnsi"/>
          <w:color w:val="121212"/>
          <w:shd w:val="clear" w:color="auto" w:fill="FFFFFF"/>
        </w:rPr>
        <w:t>.</w:t>
      </w:r>
    </w:p>
  </w:endnote>
  <w:endnote w:id="11">
    <w:p w14:paraId="51370AA0" w14:textId="28F3B71D" w:rsidR="001746EC" w:rsidRDefault="001746EC" w:rsidP="00147AE1">
      <w:pPr>
        <w:pStyle w:val="EndnoteText"/>
      </w:pPr>
      <w:r>
        <w:rPr>
          <w:rStyle w:val="EndnoteReference"/>
        </w:rPr>
        <w:endnoteRef/>
      </w:r>
      <w:r>
        <w:t xml:space="preserve"> “Fighting Censorship Efforts Across the Country,” </w:t>
      </w:r>
      <w:r w:rsidRPr="005D6826">
        <w:rPr>
          <w:i/>
          <w:iCs/>
        </w:rPr>
        <w:t>State of America’s Libraries</w:t>
      </w:r>
      <w:r>
        <w:t xml:space="preserve">, April 2022, p. 4, </w:t>
      </w:r>
      <w:hyperlink r:id="rId25" w:history="1">
        <w:r w:rsidRPr="00C338F8">
          <w:rPr>
            <w:rStyle w:val="Hyperlink"/>
          </w:rPr>
          <w:t>https://www.ala.org/news/sites/ala.org.news/files/content/state-of-americas-libraries-special-report-pandemic-year-two.pdf</w:t>
        </w:r>
      </w:hyperlink>
    </w:p>
  </w:endnote>
  <w:endnote w:id="12">
    <w:p w14:paraId="0D276077" w14:textId="0DC67C47" w:rsidR="00C17F4F" w:rsidRDefault="00C17F4F">
      <w:pPr>
        <w:pStyle w:val="EndnoteText"/>
      </w:pPr>
      <w:r w:rsidRPr="00837F99">
        <w:rPr>
          <w:rStyle w:val="EndnoteReference"/>
        </w:rPr>
        <w:endnoteRef/>
      </w:r>
      <w:r w:rsidRPr="00837F99">
        <w:t xml:space="preserve"> </w:t>
      </w:r>
      <w:r w:rsidRPr="00837F99">
        <w:rPr>
          <w:color w:val="000000" w:themeColor="text1"/>
        </w:rPr>
        <w:t xml:space="preserve">See SRRT Action Council, “Response to the Report of the Resolution Review Task Force,” January 17, 2020, pp. </w:t>
      </w:r>
      <w:r w:rsidR="007873AE" w:rsidRPr="00837F99">
        <w:rPr>
          <w:color w:val="000000" w:themeColor="text1"/>
        </w:rPr>
        <w:t>1-6,</w:t>
      </w:r>
      <w:r w:rsidR="007873AE">
        <w:rPr>
          <w:color w:val="000000" w:themeColor="text1"/>
        </w:rPr>
        <w:t xml:space="preserve"> </w:t>
      </w:r>
      <w:hyperlink r:id="rId26" w:history="1">
        <w:r w:rsidR="007873AE" w:rsidRPr="00CF195A">
          <w:rPr>
            <w:rStyle w:val="Hyperlink"/>
          </w:rPr>
          <w:t>https://www.ala.org/rt/sites/ala.org.rt/files/content/SRRT/Resolutions/2020/SRRT%20Report.pdf</w:t>
        </w:r>
      </w:hyperlink>
      <w:r>
        <w:t>.</w:t>
      </w:r>
    </w:p>
  </w:endnote>
  <w:endnote w:id="13">
    <w:p w14:paraId="0E5C1030" w14:textId="2B1AB7F9" w:rsidR="002E3A6B" w:rsidRPr="00F162A6" w:rsidRDefault="002E3A6B" w:rsidP="00AF65D0">
      <w:pPr>
        <w:pStyle w:val="NormalWeb"/>
        <w:shd w:val="clear" w:color="auto" w:fill="FEFEFE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494949"/>
          <w:sz w:val="20"/>
          <w:szCs w:val="20"/>
        </w:rPr>
      </w:pPr>
      <w:r w:rsidRPr="00F162A6">
        <w:rPr>
          <w:rStyle w:val="EndnoteReference"/>
          <w:rFonts w:asciiTheme="minorHAnsi" w:hAnsiTheme="minorHAnsi" w:cstheme="minorHAnsi"/>
          <w:sz w:val="20"/>
          <w:szCs w:val="20"/>
        </w:rPr>
        <w:endnoteRef/>
      </w:r>
      <w:r w:rsidRPr="00F162A6">
        <w:rPr>
          <w:rFonts w:asciiTheme="minorHAnsi" w:hAnsiTheme="minorHAnsi" w:cstheme="minorHAnsi"/>
          <w:sz w:val="20"/>
          <w:szCs w:val="20"/>
        </w:rPr>
        <w:t xml:space="preserve"> </w:t>
      </w:r>
      <w:r w:rsidR="00E62364" w:rsidRPr="00F162A6">
        <w:rPr>
          <w:rFonts w:asciiTheme="minorHAnsi" w:hAnsiTheme="minorHAnsi" w:cstheme="minorHAnsi"/>
          <w:sz w:val="20"/>
          <w:szCs w:val="20"/>
        </w:rPr>
        <w:t xml:space="preserve">These contracts and RFP included: </w:t>
      </w:r>
      <w:r w:rsidR="006C0B40" w:rsidRPr="00F162A6">
        <w:rPr>
          <w:rFonts w:asciiTheme="minorHAnsi" w:hAnsiTheme="minorHAnsi" w:cstheme="minorHAnsi"/>
          <w:color w:val="494949"/>
          <w:sz w:val="20"/>
          <w:szCs w:val="20"/>
        </w:rPr>
        <w:t>Florida Department of Management Services, </w:t>
      </w:r>
      <w:hyperlink r:id="rId27" w:history="1">
        <w:r w:rsidR="006C0B40" w:rsidRPr="00F162A6">
          <w:rPr>
            <w:rStyle w:val="Hyperlink"/>
            <w:rFonts w:asciiTheme="minorHAnsi" w:hAnsiTheme="minorHAnsi" w:cstheme="minorHAnsi"/>
            <w:color w:val="405214"/>
            <w:sz w:val="20"/>
            <w:szCs w:val="20"/>
            <w:bdr w:val="none" w:sz="0" w:space="0" w:color="auto" w:frame="1"/>
          </w:rPr>
          <w:t xml:space="preserve">Contract for Operation and Management of </w:t>
        </w:r>
        <w:proofErr w:type="spellStart"/>
        <w:r w:rsidR="006C0B40" w:rsidRPr="00F162A6">
          <w:rPr>
            <w:rStyle w:val="Hyperlink"/>
            <w:rFonts w:asciiTheme="minorHAnsi" w:hAnsiTheme="minorHAnsi" w:cstheme="minorHAnsi"/>
            <w:color w:val="405214"/>
            <w:sz w:val="20"/>
            <w:szCs w:val="20"/>
            <w:bdr w:val="none" w:sz="0" w:space="0" w:color="auto" w:frame="1"/>
          </w:rPr>
          <w:t>Gadsen</w:t>
        </w:r>
        <w:proofErr w:type="spellEnd"/>
        <w:r w:rsidR="00CF6955" w:rsidRPr="00F162A6">
          <w:rPr>
            <w:rStyle w:val="Hyperlink"/>
            <w:rFonts w:asciiTheme="minorHAnsi" w:hAnsiTheme="minorHAnsi" w:cstheme="minorHAnsi"/>
            <w:color w:val="405214"/>
            <w:sz w:val="20"/>
            <w:szCs w:val="20"/>
            <w:bdr w:val="none" w:sz="0" w:space="0" w:color="auto" w:frame="1"/>
          </w:rPr>
          <w:t xml:space="preserve"> </w:t>
        </w:r>
        <w:r w:rsidR="006C0B40" w:rsidRPr="00F162A6">
          <w:rPr>
            <w:rStyle w:val="Hyperlink"/>
            <w:rFonts w:asciiTheme="minorHAnsi" w:hAnsiTheme="minorHAnsi" w:cstheme="minorHAnsi"/>
            <w:color w:val="405214"/>
            <w:sz w:val="20"/>
            <w:szCs w:val="20"/>
            <w:bdr w:val="none" w:sz="0" w:space="0" w:color="auto" w:frame="1"/>
          </w:rPr>
          <w:t>Correctional Facility</w:t>
        </w:r>
      </w:hyperlink>
      <w:r w:rsidR="006C0B40" w:rsidRPr="00F162A6">
        <w:rPr>
          <w:rFonts w:asciiTheme="minorHAnsi" w:hAnsiTheme="minorHAnsi" w:cstheme="minorHAnsi"/>
          <w:color w:val="494949"/>
          <w:sz w:val="20"/>
          <w:szCs w:val="20"/>
        </w:rPr>
        <w:t>. Service commencement date: Aug. 1, 2019. [Contract includes: 4.37 Library</w:t>
      </w:r>
      <w:r w:rsidR="00CF6955" w:rsidRPr="00F162A6">
        <w:rPr>
          <w:rFonts w:asciiTheme="minorHAnsi" w:hAnsiTheme="minorHAnsi" w:cstheme="minorHAnsi"/>
          <w:color w:val="494949"/>
          <w:sz w:val="20"/>
          <w:szCs w:val="20"/>
        </w:rPr>
        <w:t xml:space="preserve"> </w:t>
      </w:r>
      <w:r w:rsidR="006C0B40" w:rsidRPr="00F162A6">
        <w:rPr>
          <w:rFonts w:asciiTheme="minorHAnsi" w:hAnsiTheme="minorHAnsi" w:cstheme="minorHAnsi"/>
          <w:color w:val="494949"/>
          <w:sz w:val="20"/>
          <w:szCs w:val="20"/>
        </w:rPr>
        <w:t>4.37.1 CONTRACTOR shall provide an inmate law library in compliance with the Florida</w:t>
      </w:r>
      <w:r w:rsidR="00CF6955" w:rsidRPr="00F162A6">
        <w:rPr>
          <w:rFonts w:asciiTheme="minorHAnsi" w:hAnsiTheme="minorHAnsi" w:cstheme="minorHAnsi"/>
          <w:color w:val="494949"/>
          <w:sz w:val="20"/>
          <w:szCs w:val="20"/>
        </w:rPr>
        <w:t xml:space="preserve"> </w:t>
      </w:r>
      <w:r w:rsidR="006C0B40" w:rsidRPr="00F162A6">
        <w:rPr>
          <w:rFonts w:asciiTheme="minorHAnsi" w:hAnsiTheme="minorHAnsi" w:cstheme="minorHAnsi"/>
          <w:color w:val="494949"/>
          <w:sz w:val="20"/>
          <w:szCs w:val="20"/>
        </w:rPr>
        <w:t xml:space="preserve">Statutes, Florida Administrative Code, and FDC policy and procedure. 4.37.2 CONTRACTOR will provide a general library for inmate use.]; </w:t>
      </w:r>
      <w:r w:rsidR="00F0765F" w:rsidRPr="00F162A6">
        <w:rPr>
          <w:rFonts w:asciiTheme="minorHAnsi" w:hAnsiTheme="minorHAnsi" w:cstheme="minorHAnsi"/>
          <w:color w:val="494949"/>
          <w:sz w:val="20"/>
          <w:szCs w:val="20"/>
          <w:shd w:val="clear" w:color="auto" w:fill="FEFEFE"/>
        </w:rPr>
        <w:t>City of Chandler</w:t>
      </w:r>
      <w:r w:rsidR="00CF6955" w:rsidRPr="00F162A6">
        <w:rPr>
          <w:rFonts w:asciiTheme="minorHAnsi" w:hAnsiTheme="minorHAnsi" w:cstheme="minorHAnsi"/>
          <w:color w:val="494949"/>
          <w:sz w:val="20"/>
          <w:szCs w:val="20"/>
          <w:shd w:val="clear" w:color="auto" w:fill="FEFEFE"/>
        </w:rPr>
        <w:t xml:space="preserve"> [Arizo</w:t>
      </w:r>
      <w:r w:rsidR="00B16C1D" w:rsidRPr="00F162A6">
        <w:rPr>
          <w:rFonts w:asciiTheme="minorHAnsi" w:hAnsiTheme="minorHAnsi" w:cstheme="minorHAnsi"/>
          <w:color w:val="494949"/>
          <w:sz w:val="20"/>
          <w:szCs w:val="20"/>
          <w:shd w:val="clear" w:color="auto" w:fill="FEFEFE"/>
        </w:rPr>
        <w:t>na]</w:t>
      </w:r>
      <w:r w:rsidR="00F0765F" w:rsidRPr="00F162A6">
        <w:rPr>
          <w:rFonts w:asciiTheme="minorHAnsi" w:hAnsiTheme="minorHAnsi" w:cstheme="minorHAnsi"/>
          <w:color w:val="494949"/>
          <w:sz w:val="20"/>
          <w:szCs w:val="20"/>
          <w:shd w:val="clear" w:color="auto" w:fill="FEFEFE"/>
        </w:rPr>
        <w:t>, </w:t>
      </w:r>
      <w:hyperlink r:id="rId28" w:history="1">
        <w:r w:rsidR="00F0765F" w:rsidRPr="00F162A6">
          <w:rPr>
            <w:rStyle w:val="Hyperlink"/>
            <w:rFonts w:asciiTheme="minorHAnsi" w:hAnsiTheme="minorHAnsi" w:cstheme="minorHAnsi"/>
            <w:color w:val="405214"/>
            <w:sz w:val="20"/>
            <w:szCs w:val="20"/>
            <w:bdr w:val="none" w:sz="0" w:space="0" w:color="auto" w:frame="1"/>
            <w:shd w:val="clear" w:color="auto" w:fill="FEFEFE"/>
          </w:rPr>
          <w:t>Purchase Agreement with Baker &amp; Taylor, LLC; Ingram Library Services, LLC; and Midwest Tape, LLC,  for Library Materials and Related Services</w:t>
        </w:r>
      </w:hyperlink>
      <w:r w:rsidR="00F0765F" w:rsidRPr="00F162A6">
        <w:rPr>
          <w:rFonts w:asciiTheme="minorHAnsi" w:hAnsiTheme="minorHAnsi" w:cstheme="minorHAnsi"/>
          <w:color w:val="494949"/>
          <w:sz w:val="20"/>
          <w:szCs w:val="20"/>
          <w:shd w:val="clear" w:color="auto" w:fill="FEFEFE"/>
        </w:rPr>
        <w:t>. Date prepared: Aug. 27, 2018</w:t>
      </w:r>
      <w:r w:rsidR="00CF6955" w:rsidRPr="00F162A6">
        <w:rPr>
          <w:rFonts w:asciiTheme="minorHAnsi" w:hAnsiTheme="minorHAnsi" w:cstheme="minorHAnsi"/>
          <w:color w:val="494949"/>
          <w:sz w:val="20"/>
          <w:szCs w:val="20"/>
          <w:shd w:val="clear" w:color="auto" w:fill="FEFEFE"/>
        </w:rPr>
        <w:t>; Houston [Texas] Community College System, </w:t>
      </w:r>
      <w:hyperlink r:id="rId29" w:history="1">
        <w:r w:rsidR="00CF6955" w:rsidRPr="00F162A6">
          <w:rPr>
            <w:rStyle w:val="Hyperlink"/>
            <w:rFonts w:asciiTheme="minorHAnsi" w:hAnsiTheme="minorHAnsi" w:cstheme="minorHAnsi"/>
            <w:color w:val="405214"/>
            <w:sz w:val="20"/>
            <w:szCs w:val="20"/>
            <w:bdr w:val="none" w:sz="0" w:space="0" w:color="auto" w:frame="1"/>
            <w:shd w:val="clear" w:color="auto" w:fill="FEFEFE"/>
          </w:rPr>
          <w:t>Request for Proposal (Services): Library Discovery Layer</w:t>
        </w:r>
      </w:hyperlink>
      <w:r w:rsidR="00CF6955" w:rsidRPr="00F162A6">
        <w:rPr>
          <w:rFonts w:asciiTheme="minorHAnsi" w:hAnsiTheme="minorHAnsi" w:cstheme="minorHAnsi"/>
          <w:color w:val="494949"/>
          <w:sz w:val="20"/>
          <w:szCs w:val="20"/>
          <w:shd w:val="clear" w:color="auto" w:fill="FEFEFE"/>
        </w:rPr>
        <w:t>. Proposal deadline: Jul. 13, 2018.</w:t>
      </w:r>
    </w:p>
  </w:endnote>
  <w:endnote w:id="14">
    <w:p w14:paraId="72440CEB" w14:textId="5F096013" w:rsidR="0059563F" w:rsidRDefault="0059563F">
      <w:pPr>
        <w:pStyle w:val="EndnoteText"/>
      </w:pPr>
      <w:r w:rsidRPr="00F162A6">
        <w:rPr>
          <w:rStyle w:val="EndnoteReference"/>
          <w:rFonts w:cstheme="minorHAnsi"/>
        </w:rPr>
        <w:endnoteRef/>
      </w:r>
      <w:r w:rsidRPr="00F162A6">
        <w:rPr>
          <w:rFonts w:cstheme="minorHAnsi"/>
        </w:rPr>
        <w:t xml:space="preserve"> “Anti-BDS Legislation: The Library Connection,”</w:t>
      </w:r>
      <w:r w:rsidR="005A449A" w:rsidRPr="00F162A6">
        <w:rPr>
          <w:rFonts w:cstheme="minorHAnsi"/>
        </w:rPr>
        <w:t xml:space="preserve"> SRRT, </w:t>
      </w:r>
      <w:r w:rsidRPr="00F162A6">
        <w:rPr>
          <w:rFonts w:cstheme="minorHAnsi"/>
        </w:rPr>
        <w:t xml:space="preserve"> </w:t>
      </w:r>
      <w:hyperlink r:id="rId30" w:history="1">
        <w:r w:rsidRPr="00F162A6">
          <w:rPr>
            <w:rStyle w:val="Hyperlink"/>
            <w:rFonts w:cstheme="minorHAnsi"/>
          </w:rPr>
          <w:t>https://www.ala.org/rt/srrt/irtf/anti-bds-legislation-library-connection</w:t>
        </w:r>
      </w:hyperlink>
      <w:r>
        <w:t xml:space="preserve">. </w:t>
      </w:r>
    </w:p>
  </w:endnote>
  <w:endnote w:id="15">
    <w:p w14:paraId="79EFDF42" w14:textId="679FF81A" w:rsidR="008C0A23" w:rsidRPr="008C0A23" w:rsidRDefault="008C0A23" w:rsidP="008C0A23">
      <w:pPr>
        <w:pStyle w:val="Heading1"/>
        <w:spacing w:before="0" w:beforeAutospacing="0" w:after="0" w:afterAutospacing="0"/>
        <w:textAlignment w:val="baseline"/>
        <w:rPr>
          <w:rFonts w:ascii="Calibri" w:eastAsiaTheme="minorHAnsi" w:hAnsi="Calibri" w:cs="Calibri"/>
          <w:b w:val="0"/>
          <w:bCs w:val="0"/>
          <w:kern w:val="0"/>
          <w:sz w:val="20"/>
          <w:szCs w:val="20"/>
        </w:rPr>
      </w:pPr>
      <w:r w:rsidRPr="008C0A23">
        <w:rPr>
          <w:rStyle w:val="EndnoteReference"/>
          <w:rFonts w:ascii="Calibri" w:hAnsi="Calibri" w:cs="Calibri"/>
          <w:b w:val="0"/>
          <w:bCs w:val="0"/>
          <w:sz w:val="20"/>
          <w:szCs w:val="20"/>
        </w:rPr>
        <w:endnoteRef/>
      </w:r>
      <w:r w:rsidRPr="008C0A23">
        <w:rPr>
          <w:rFonts w:ascii="Calibri" w:hAnsi="Calibri" w:cs="Calibri"/>
          <w:sz w:val="20"/>
          <w:szCs w:val="20"/>
        </w:rPr>
        <w:t xml:space="preserve"> </w:t>
      </w:r>
      <w:bookmarkStart w:id="1" w:name="_Hlk104044132"/>
      <w:r w:rsidR="009416B3" w:rsidRPr="009416B3">
        <w:rPr>
          <w:rFonts w:ascii="Calibri" w:hAnsi="Calibri" w:cs="Calibri"/>
          <w:b w:val="0"/>
          <w:bCs w:val="0"/>
          <w:sz w:val="20"/>
          <w:szCs w:val="20"/>
        </w:rPr>
        <w:t>Texas</w:t>
      </w:r>
      <w:r w:rsidR="009416B3">
        <w:rPr>
          <w:rFonts w:ascii="Calibri" w:hAnsi="Calibri" w:cs="Calibri"/>
          <w:sz w:val="20"/>
          <w:szCs w:val="20"/>
        </w:rPr>
        <w:t xml:space="preserve"> </w:t>
      </w:r>
      <w:r w:rsidR="00DA3508" w:rsidRPr="00BF3A3C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library-related </w:t>
      </w:r>
      <w:r w:rsidR="00DA3508">
        <w:rPr>
          <w:rFonts w:asciiTheme="minorHAnsi" w:hAnsiTheme="minorHAnsi" w:cstheme="minorHAnsi"/>
          <w:b w:val="0"/>
          <w:bCs w:val="0"/>
          <w:sz w:val="20"/>
          <w:szCs w:val="20"/>
        </w:rPr>
        <w:t>RFP</w:t>
      </w:r>
      <w:r w:rsidR="00DA3508" w:rsidRPr="00BF3A3C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s, that require the contractor will not boycott energy companies include the following: </w:t>
      </w:r>
      <w:r w:rsidR="00DA3508" w:rsidRPr="00BF3A3C">
        <w:rPr>
          <w:rFonts w:asciiTheme="minorHAnsi" w:eastAsiaTheme="minorHAnsi" w:hAnsiTheme="minorHAnsi" w:cstheme="minorHAnsi"/>
          <w:b w:val="0"/>
          <w:bCs w:val="0"/>
          <w:kern w:val="0"/>
          <w:sz w:val="20"/>
          <w:szCs w:val="20"/>
        </w:rPr>
        <w:t xml:space="preserve">City of Celina, </w:t>
      </w:r>
      <w:hyperlink r:id="rId31" w:history="1">
        <w:r w:rsidR="00DA3508" w:rsidRPr="00BF3A3C">
          <w:rPr>
            <w:rStyle w:val="Hyperlink"/>
            <w:rFonts w:asciiTheme="minorHAnsi" w:eastAsiaTheme="minorHAnsi" w:hAnsiTheme="minorHAnsi" w:cstheme="minorHAnsi"/>
            <w:b w:val="0"/>
            <w:bCs w:val="0"/>
            <w:kern w:val="0"/>
            <w:sz w:val="20"/>
            <w:szCs w:val="20"/>
          </w:rPr>
          <w:t>Library Master Plan</w:t>
        </w:r>
      </w:hyperlink>
      <w:r w:rsidR="00DA3508" w:rsidRPr="00BF3A3C">
        <w:rPr>
          <w:rFonts w:asciiTheme="minorHAnsi" w:eastAsiaTheme="minorHAnsi" w:hAnsiTheme="minorHAnsi" w:cstheme="minorHAnsi"/>
          <w:b w:val="0"/>
          <w:bCs w:val="0"/>
          <w:kern w:val="0"/>
          <w:sz w:val="20"/>
          <w:szCs w:val="20"/>
        </w:rPr>
        <w:t xml:space="preserve">. Issue date: Apr. 4, 2022; City of Edinburg, </w:t>
      </w:r>
      <w:hyperlink r:id="rId32" w:history="1">
        <w:r w:rsidR="00DA3508" w:rsidRPr="00BF3A3C">
          <w:rPr>
            <w:rStyle w:val="Hyperlink"/>
            <w:rFonts w:asciiTheme="minorHAnsi" w:eastAsiaTheme="minorHAnsi" w:hAnsiTheme="minorHAnsi" w:cstheme="minorHAnsi"/>
            <w:b w:val="0"/>
            <w:bCs w:val="0"/>
            <w:kern w:val="0"/>
            <w:sz w:val="20"/>
            <w:szCs w:val="20"/>
          </w:rPr>
          <w:t xml:space="preserve">RFP: Radio Frequency Identification System (RFID): Conversion and Equipment </w:t>
        </w:r>
      </w:hyperlink>
      <w:r w:rsidR="00DA3508" w:rsidRPr="00BF3A3C">
        <w:rPr>
          <w:rFonts w:asciiTheme="minorHAnsi" w:eastAsiaTheme="minorHAnsi" w:hAnsiTheme="minorHAnsi" w:cstheme="minorHAnsi"/>
          <w:b w:val="0"/>
          <w:bCs w:val="0"/>
          <w:kern w:val="0"/>
          <w:sz w:val="20"/>
          <w:szCs w:val="20"/>
        </w:rPr>
        <w:t xml:space="preserve">for Dustin Michael </w:t>
      </w:r>
      <w:proofErr w:type="spellStart"/>
      <w:r w:rsidR="00DA3508" w:rsidRPr="00BF3A3C">
        <w:rPr>
          <w:rFonts w:asciiTheme="minorHAnsi" w:eastAsiaTheme="minorHAnsi" w:hAnsiTheme="minorHAnsi" w:cstheme="minorHAnsi"/>
          <w:b w:val="0"/>
          <w:bCs w:val="0"/>
          <w:kern w:val="0"/>
          <w:sz w:val="20"/>
          <w:szCs w:val="20"/>
        </w:rPr>
        <w:t>Sekula</w:t>
      </w:r>
      <w:proofErr w:type="spellEnd"/>
      <w:r w:rsidR="00DA3508" w:rsidRPr="00BF3A3C">
        <w:rPr>
          <w:rFonts w:asciiTheme="minorHAnsi" w:eastAsiaTheme="minorHAnsi" w:hAnsiTheme="minorHAnsi" w:cstheme="minorHAnsi"/>
          <w:b w:val="0"/>
          <w:bCs w:val="0"/>
          <w:kern w:val="0"/>
          <w:sz w:val="20"/>
          <w:szCs w:val="20"/>
        </w:rPr>
        <w:t xml:space="preserve"> Memorial Library. RFP issued Feb. 4, 2022; City of Houston </w:t>
      </w:r>
      <w:hyperlink r:id="rId33" w:history="1">
        <w:r w:rsidR="00DA3508" w:rsidRPr="00BF3A3C">
          <w:rPr>
            <w:rStyle w:val="Hyperlink"/>
            <w:rFonts w:asciiTheme="minorHAnsi" w:eastAsiaTheme="minorHAnsi" w:hAnsiTheme="minorHAnsi" w:cstheme="minorHAnsi"/>
            <w:b w:val="0"/>
            <w:bCs w:val="0"/>
            <w:kern w:val="0"/>
            <w:sz w:val="20"/>
            <w:szCs w:val="20"/>
          </w:rPr>
          <w:t>Request for Proposals for City of Houston Downtown Facilities Plan</w:t>
        </w:r>
      </w:hyperlink>
      <w:r w:rsidR="00DA3508" w:rsidRPr="00BF3A3C">
        <w:rPr>
          <w:rFonts w:asciiTheme="minorHAnsi" w:eastAsiaTheme="minorHAnsi" w:hAnsiTheme="minorHAnsi" w:cstheme="minorHAnsi"/>
          <w:b w:val="0"/>
          <w:bCs w:val="0"/>
          <w:kern w:val="0"/>
          <w:sz w:val="20"/>
          <w:szCs w:val="20"/>
        </w:rPr>
        <w:t>. (Plan to “modernize, renovate, finance, operate, and maintain four city buildings” including the Central Library.</w:t>
      </w:r>
      <w:r w:rsidR="00C44F53">
        <w:rPr>
          <w:rFonts w:asciiTheme="minorHAnsi" w:eastAsiaTheme="minorHAnsi" w:hAnsiTheme="minorHAnsi" w:cstheme="minorHAnsi"/>
          <w:b w:val="0"/>
          <w:bCs w:val="0"/>
          <w:kern w:val="0"/>
          <w:sz w:val="20"/>
          <w:szCs w:val="20"/>
        </w:rPr>
        <w:t>)</w:t>
      </w:r>
      <w:r w:rsidR="00DA3508" w:rsidRPr="00BF3A3C">
        <w:rPr>
          <w:rFonts w:asciiTheme="minorHAnsi" w:eastAsiaTheme="minorHAnsi" w:hAnsiTheme="minorHAnsi" w:cstheme="minorHAnsi"/>
          <w:b w:val="0"/>
          <w:bCs w:val="0"/>
          <w:kern w:val="0"/>
          <w:sz w:val="20"/>
          <w:szCs w:val="20"/>
        </w:rPr>
        <w:t xml:space="preserve"> Date issued: Sept. 24, 2021</w:t>
      </w:r>
      <w:r w:rsidR="00DA3508">
        <w:rPr>
          <w:rFonts w:asciiTheme="minorHAnsi" w:eastAsiaTheme="minorHAnsi" w:hAnsiTheme="minorHAnsi" w:cstheme="minorHAnsi"/>
          <w:b w:val="0"/>
          <w:bCs w:val="0"/>
          <w:kern w:val="0"/>
          <w:sz w:val="20"/>
          <w:szCs w:val="20"/>
        </w:rPr>
        <w:t xml:space="preserve">. </w:t>
      </w:r>
      <w:bookmarkEnd w:id="1"/>
      <w:r w:rsidR="00DA3508" w:rsidRPr="002A7D5F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Texas library-related </w:t>
      </w:r>
      <w:r w:rsidR="00DA3508">
        <w:rPr>
          <w:rFonts w:asciiTheme="minorHAnsi" w:hAnsiTheme="minorHAnsi" w:cstheme="minorHAnsi"/>
          <w:b w:val="0"/>
          <w:bCs w:val="0"/>
          <w:sz w:val="20"/>
          <w:szCs w:val="20"/>
        </w:rPr>
        <w:t>RFPs</w:t>
      </w:r>
      <w:r w:rsidR="00DA3508" w:rsidRPr="002A7D5F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that require the contractor will not boycott a firearm entity or a firearm trade association include those listed above that prohibit boycotts of energy companies and also City of </w:t>
      </w:r>
      <w:proofErr w:type="spellStart"/>
      <w:r w:rsidR="00DA3508" w:rsidRPr="002A7D5F">
        <w:rPr>
          <w:rFonts w:asciiTheme="minorHAnsi" w:hAnsiTheme="minorHAnsi" w:cstheme="minorHAnsi"/>
          <w:b w:val="0"/>
          <w:bCs w:val="0"/>
          <w:sz w:val="20"/>
          <w:szCs w:val="20"/>
        </w:rPr>
        <w:t>Bourne</w:t>
      </w:r>
      <w:proofErr w:type="spellEnd"/>
      <w:r w:rsidR="00DA3508" w:rsidRPr="002A7D5F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, </w:t>
      </w:r>
      <w:hyperlink r:id="rId34" w:history="1">
        <w:r w:rsidR="00DA3508" w:rsidRPr="002A7D5F">
          <w:rPr>
            <w:rStyle w:val="Hyperlink"/>
            <w:rFonts w:asciiTheme="minorHAnsi" w:hAnsiTheme="minorHAnsi" w:cstheme="minorHAnsi"/>
            <w:b w:val="0"/>
            <w:bCs w:val="0"/>
            <w:sz w:val="20"/>
            <w:szCs w:val="20"/>
          </w:rPr>
          <w:t>Request for Proposal Telecommunications System and Carrier Services</w:t>
        </w:r>
      </w:hyperlink>
      <w:r w:rsidR="00DA3508" w:rsidRPr="002A7D5F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(to connect three buildings, including the library), Date issued: Jan. 4, 2022.</w:t>
      </w:r>
      <w:r w:rsidR="00DA3508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DA3508">
        <w:rPr>
          <w:rFonts w:asciiTheme="minorHAnsi" w:eastAsiaTheme="minorHAnsi" w:hAnsiTheme="minorHAnsi" w:cstheme="minorHAnsi"/>
          <w:b w:val="0"/>
          <w:bCs w:val="0"/>
          <w:kern w:val="0"/>
          <w:sz w:val="20"/>
          <w:szCs w:val="20"/>
        </w:rPr>
        <w:t xml:space="preserve">For the relevant conditions for </w:t>
      </w:r>
      <w:proofErr w:type="spellStart"/>
      <w:r w:rsidR="00DA3508">
        <w:rPr>
          <w:rFonts w:asciiTheme="minorHAnsi" w:eastAsiaTheme="minorHAnsi" w:hAnsiTheme="minorHAnsi" w:cstheme="minorHAnsi"/>
          <w:b w:val="0"/>
          <w:bCs w:val="0"/>
          <w:kern w:val="0"/>
          <w:sz w:val="20"/>
          <w:szCs w:val="20"/>
        </w:rPr>
        <w:t>TexShare</w:t>
      </w:r>
      <w:proofErr w:type="spellEnd"/>
      <w:r w:rsidR="00DA3508">
        <w:rPr>
          <w:rFonts w:asciiTheme="minorHAnsi" w:eastAsiaTheme="minorHAnsi" w:hAnsiTheme="minorHAnsi" w:cstheme="minorHAnsi"/>
          <w:b w:val="0"/>
          <w:bCs w:val="0"/>
          <w:kern w:val="0"/>
          <w:sz w:val="20"/>
          <w:szCs w:val="20"/>
        </w:rPr>
        <w:t xml:space="preserve"> and </w:t>
      </w:r>
      <w:proofErr w:type="spellStart"/>
      <w:r w:rsidR="00DA3508">
        <w:rPr>
          <w:rFonts w:asciiTheme="minorHAnsi" w:eastAsiaTheme="minorHAnsi" w:hAnsiTheme="minorHAnsi" w:cstheme="minorHAnsi"/>
          <w:b w:val="0"/>
          <w:bCs w:val="0"/>
          <w:kern w:val="0"/>
          <w:sz w:val="20"/>
          <w:szCs w:val="20"/>
        </w:rPr>
        <w:t>TexQuest</w:t>
      </w:r>
      <w:proofErr w:type="spellEnd"/>
      <w:r w:rsidR="00DA3508">
        <w:rPr>
          <w:rFonts w:asciiTheme="minorHAnsi" w:eastAsiaTheme="minorHAnsi" w:hAnsiTheme="minorHAnsi" w:cstheme="minorHAnsi"/>
          <w:b w:val="0"/>
          <w:bCs w:val="0"/>
          <w:kern w:val="0"/>
          <w:sz w:val="20"/>
          <w:szCs w:val="20"/>
        </w:rPr>
        <w:t xml:space="preserve"> issued by the Texas State Library and Archives Commission, see </w:t>
      </w:r>
      <w:r w:rsidR="00DA3508" w:rsidRPr="00BF3A3C">
        <w:rPr>
          <w:rFonts w:asciiTheme="minorHAnsi" w:eastAsiaTheme="minorHAnsi" w:hAnsiTheme="minorHAnsi" w:cstheme="minorHAnsi"/>
          <w:b w:val="0"/>
          <w:bCs w:val="0"/>
          <w:kern w:val="0"/>
          <w:sz w:val="20"/>
          <w:szCs w:val="20"/>
        </w:rPr>
        <w:t xml:space="preserve">Texas State Library and Archives Commission, </w:t>
      </w:r>
      <w:hyperlink r:id="rId35" w:history="1">
        <w:r w:rsidR="00DA3508" w:rsidRPr="00BF3A3C">
          <w:rPr>
            <w:rStyle w:val="Hyperlink"/>
            <w:rFonts w:asciiTheme="minorHAnsi" w:eastAsiaTheme="minorHAnsi" w:hAnsiTheme="minorHAnsi" w:cstheme="minorHAnsi"/>
            <w:b w:val="0"/>
            <w:bCs w:val="0"/>
            <w:kern w:val="0"/>
            <w:sz w:val="20"/>
            <w:szCs w:val="20"/>
          </w:rPr>
          <w:t xml:space="preserve">Standard Terms and Conditions for </w:t>
        </w:r>
        <w:proofErr w:type="spellStart"/>
        <w:r w:rsidR="00DA3508" w:rsidRPr="00BF3A3C">
          <w:rPr>
            <w:rStyle w:val="Hyperlink"/>
            <w:rFonts w:asciiTheme="minorHAnsi" w:eastAsiaTheme="minorHAnsi" w:hAnsiTheme="minorHAnsi" w:cstheme="minorHAnsi"/>
            <w:b w:val="0"/>
            <w:bCs w:val="0"/>
            <w:kern w:val="0"/>
            <w:sz w:val="20"/>
            <w:szCs w:val="20"/>
          </w:rPr>
          <w:t>TexShare</w:t>
        </w:r>
        <w:proofErr w:type="spellEnd"/>
        <w:r w:rsidR="00DA3508" w:rsidRPr="00BF3A3C">
          <w:rPr>
            <w:rStyle w:val="Hyperlink"/>
            <w:rFonts w:asciiTheme="minorHAnsi" w:eastAsiaTheme="minorHAnsi" w:hAnsiTheme="minorHAnsi" w:cstheme="minorHAnsi"/>
            <w:b w:val="0"/>
            <w:bCs w:val="0"/>
            <w:kern w:val="0"/>
            <w:sz w:val="20"/>
            <w:szCs w:val="20"/>
          </w:rPr>
          <w:t xml:space="preserve"> and/or </w:t>
        </w:r>
        <w:proofErr w:type="spellStart"/>
        <w:r w:rsidR="00DA3508" w:rsidRPr="00BF3A3C">
          <w:rPr>
            <w:rStyle w:val="Hyperlink"/>
            <w:rFonts w:asciiTheme="minorHAnsi" w:eastAsiaTheme="minorHAnsi" w:hAnsiTheme="minorHAnsi" w:cstheme="minorHAnsi"/>
            <w:b w:val="0"/>
            <w:bCs w:val="0"/>
            <w:kern w:val="0"/>
            <w:sz w:val="20"/>
            <w:szCs w:val="20"/>
          </w:rPr>
          <w:t>TexQuest</w:t>
        </w:r>
        <w:proofErr w:type="spellEnd"/>
        <w:r w:rsidR="00DA3508" w:rsidRPr="00BF3A3C">
          <w:rPr>
            <w:rStyle w:val="Hyperlink"/>
            <w:rFonts w:asciiTheme="minorHAnsi" w:eastAsiaTheme="minorHAnsi" w:hAnsiTheme="minorHAnsi" w:cstheme="minorHAnsi"/>
            <w:b w:val="0"/>
            <w:bCs w:val="0"/>
            <w:kern w:val="0"/>
            <w:sz w:val="20"/>
            <w:szCs w:val="20"/>
          </w:rPr>
          <w:t xml:space="preserve"> Agreements</w:t>
        </w:r>
      </w:hyperlink>
      <w:r w:rsidR="00DA3508" w:rsidRPr="00BF3A3C">
        <w:rPr>
          <w:rFonts w:asciiTheme="minorHAnsi" w:eastAsiaTheme="minorHAnsi" w:hAnsiTheme="minorHAnsi" w:cstheme="minorHAnsi"/>
          <w:b w:val="0"/>
          <w:bCs w:val="0"/>
          <w:kern w:val="0"/>
          <w:sz w:val="20"/>
          <w:szCs w:val="20"/>
        </w:rPr>
        <w:t>. Date: 2021.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51F44" w14:textId="77777777" w:rsidR="0068472D" w:rsidRDefault="0068472D" w:rsidP="002A3FCB">
      <w:pPr>
        <w:spacing w:after="0" w:line="240" w:lineRule="auto"/>
      </w:pPr>
      <w:r>
        <w:separator/>
      </w:r>
    </w:p>
  </w:footnote>
  <w:footnote w:type="continuationSeparator" w:id="0">
    <w:p w14:paraId="0BE4A993" w14:textId="77777777" w:rsidR="0068472D" w:rsidRDefault="0068472D" w:rsidP="002A3F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C1712"/>
    <w:multiLevelType w:val="hybridMultilevel"/>
    <w:tmpl w:val="705CDF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1E841F1"/>
    <w:multiLevelType w:val="hybridMultilevel"/>
    <w:tmpl w:val="F0EE9D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61B3278"/>
    <w:multiLevelType w:val="hybridMultilevel"/>
    <w:tmpl w:val="3E2C6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A101E7"/>
    <w:multiLevelType w:val="hybridMultilevel"/>
    <w:tmpl w:val="47DAE8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A9F7ED4"/>
    <w:multiLevelType w:val="hybridMultilevel"/>
    <w:tmpl w:val="D206C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4295679">
    <w:abstractNumId w:val="2"/>
  </w:num>
  <w:num w:numId="2" w16cid:durableId="1623026536">
    <w:abstractNumId w:val="1"/>
  </w:num>
  <w:num w:numId="3" w16cid:durableId="187333749">
    <w:abstractNumId w:val="3"/>
  </w:num>
  <w:num w:numId="4" w16cid:durableId="1120605840">
    <w:abstractNumId w:val="0"/>
  </w:num>
  <w:num w:numId="5" w16cid:durableId="129737636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FCB"/>
    <w:rsid w:val="0000243E"/>
    <w:rsid w:val="00003BFA"/>
    <w:rsid w:val="000770DF"/>
    <w:rsid w:val="00086506"/>
    <w:rsid w:val="00093F49"/>
    <w:rsid w:val="0009627F"/>
    <w:rsid w:val="000D532B"/>
    <w:rsid w:val="000E4527"/>
    <w:rsid w:val="000F6119"/>
    <w:rsid w:val="00105B67"/>
    <w:rsid w:val="00120259"/>
    <w:rsid w:val="00121182"/>
    <w:rsid w:val="00134FED"/>
    <w:rsid w:val="00147AE1"/>
    <w:rsid w:val="00151125"/>
    <w:rsid w:val="00160422"/>
    <w:rsid w:val="001746EC"/>
    <w:rsid w:val="00176EAB"/>
    <w:rsid w:val="00191688"/>
    <w:rsid w:val="001931E8"/>
    <w:rsid w:val="001958E3"/>
    <w:rsid w:val="001B3DBE"/>
    <w:rsid w:val="001C62F3"/>
    <w:rsid w:val="001F4F17"/>
    <w:rsid w:val="00203D46"/>
    <w:rsid w:val="00237D6E"/>
    <w:rsid w:val="002406C1"/>
    <w:rsid w:val="0024448D"/>
    <w:rsid w:val="00261814"/>
    <w:rsid w:val="0026316F"/>
    <w:rsid w:val="0026735F"/>
    <w:rsid w:val="0029335E"/>
    <w:rsid w:val="0029431D"/>
    <w:rsid w:val="002A3FCB"/>
    <w:rsid w:val="002C1B98"/>
    <w:rsid w:val="002C688B"/>
    <w:rsid w:val="002D10C6"/>
    <w:rsid w:val="002D2044"/>
    <w:rsid w:val="002E3A6B"/>
    <w:rsid w:val="002F1D7A"/>
    <w:rsid w:val="003033AB"/>
    <w:rsid w:val="00303A8B"/>
    <w:rsid w:val="00314F47"/>
    <w:rsid w:val="00345B1A"/>
    <w:rsid w:val="0038757A"/>
    <w:rsid w:val="003B130A"/>
    <w:rsid w:val="003C184A"/>
    <w:rsid w:val="003D5E12"/>
    <w:rsid w:val="003E27DC"/>
    <w:rsid w:val="003E2B28"/>
    <w:rsid w:val="0041292F"/>
    <w:rsid w:val="00431D17"/>
    <w:rsid w:val="00457332"/>
    <w:rsid w:val="00463937"/>
    <w:rsid w:val="004729D2"/>
    <w:rsid w:val="004A17C0"/>
    <w:rsid w:val="004A6B33"/>
    <w:rsid w:val="004B776F"/>
    <w:rsid w:val="004C0A8C"/>
    <w:rsid w:val="004C44EF"/>
    <w:rsid w:val="004C4878"/>
    <w:rsid w:val="0050639C"/>
    <w:rsid w:val="00532F66"/>
    <w:rsid w:val="00544A9B"/>
    <w:rsid w:val="00545629"/>
    <w:rsid w:val="005561CF"/>
    <w:rsid w:val="005619A3"/>
    <w:rsid w:val="005719E6"/>
    <w:rsid w:val="00572653"/>
    <w:rsid w:val="0059563F"/>
    <w:rsid w:val="005965C9"/>
    <w:rsid w:val="005A449A"/>
    <w:rsid w:val="005A5F37"/>
    <w:rsid w:val="005C0695"/>
    <w:rsid w:val="005C6ADB"/>
    <w:rsid w:val="005D6826"/>
    <w:rsid w:val="005E3086"/>
    <w:rsid w:val="005F576D"/>
    <w:rsid w:val="00640251"/>
    <w:rsid w:val="0065651F"/>
    <w:rsid w:val="0067252D"/>
    <w:rsid w:val="00674AA8"/>
    <w:rsid w:val="0068472D"/>
    <w:rsid w:val="00685391"/>
    <w:rsid w:val="006C0B40"/>
    <w:rsid w:val="006C476C"/>
    <w:rsid w:val="006D1EEC"/>
    <w:rsid w:val="006F091B"/>
    <w:rsid w:val="006F1F28"/>
    <w:rsid w:val="00701582"/>
    <w:rsid w:val="00702193"/>
    <w:rsid w:val="00710388"/>
    <w:rsid w:val="00727D78"/>
    <w:rsid w:val="007370FB"/>
    <w:rsid w:val="007709C7"/>
    <w:rsid w:val="00780C2A"/>
    <w:rsid w:val="00785A97"/>
    <w:rsid w:val="007873AE"/>
    <w:rsid w:val="00793A5B"/>
    <w:rsid w:val="007A499F"/>
    <w:rsid w:val="007A67F6"/>
    <w:rsid w:val="008073EE"/>
    <w:rsid w:val="008108AF"/>
    <w:rsid w:val="008209D8"/>
    <w:rsid w:val="008334FE"/>
    <w:rsid w:val="00837F99"/>
    <w:rsid w:val="008400AC"/>
    <w:rsid w:val="008547B4"/>
    <w:rsid w:val="008758F8"/>
    <w:rsid w:val="008949B9"/>
    <w:rsid w:val="00895C1E"/>
    <w:rsid w:val="008C0A23"/>
    <w:rsid w:val="008C51FD"/>
    <w:rsid w:val="008F6E9A"/>
    <w:rsid w:val="009014DC"/>
    <w:rsid w:val="00901DDA"/>
    <w:rsid w:val="009032DF"/>
    <w:rsid w:val="0091561F"/>
    <w:rsid w:val="0092163A"/>
    <w:rsid w:val="00926C9B"/>
    <w:rsid w:val="0093548E"/>
    <w:rsid w:val="00940793"/>
    <w:rsid w:val="009414D8"/>
    <w:rsid w:val="009416B3"/>
    <w:rsid w:val="00945D9D"/>
    <w:rsid w:val="00967B89"/>
    <w:rsid w:val="00983929"/>
    <w:rsid w:val="00987886"/>
    <w:rsid w:val="009B7A8A"/>
    <w:rsid w:val="009C3F02"/>
    <w:rsid w:val="009D3D1A"/>
    <w:rsid w:val="009D4BE8"/>
    <w:rsid w:val="009E09F1"/>
    <w:rsid w:val="009E3819"/>
    <w:rsid w:val="00A138C7"/>
    <w:rsid w:val="00A13AD5"/>
    <w:rsid w:val="00A61FD9"/>
    <w:rsid w:val="00A80FAC"/>
    <w:rsid w:val="00A81AF5"/>
    <w:rsid w:val="00A913A8"/>
    <w:rsid w:val="00A95F27"/>
    <w:rsid w:val="00AB00E5"/>
    <w:rsid w:val="00AF65D0"/>
    <w:rsid w:val="00B04452"/>
    <w:rsid w:val="00B12D5E"/>
    <w:rsid w:val="00B16C1D"/>
    <w:rsid w:val="00B47ACD"/>
    <w:rsid w:val="00B5684C"/>
    <w:rsid w:val="00B779DE"/>
    <w:rsid w:val="00BB3BF8"/>
    <w:rsid w:val="00BB4EDD"/>
    <w:rsid w:val="00BB5CFE"/>
    <w:rsid w:val="00BB6272"/>
    <w:rsid w:val="00BD1DC9"/>
    <w:rsid w:val="00C144B2"/>
    <w:rsid w:val="00C17F4F"/>
    <w:rsid w:val="00C26786"/>
    <w:rsid w:val="00C37B85"/>
    <w:rsid w:val="00C41296"/>
    <w:rsid w:val="00C44378"/>
    <w:rsid w:val="00C449A3"/>
    <w:rsid w:val="00C44F53"/>
    <w:rsid w:val="00C64A0A"/>
    <w:rsid w:val="00C656E2"/>
    <w:rsid w:val="00C6701F"/>
    <w:rsid w:val="00CA0859"/>
    <w:rsid w:val="00CA1DCB"/>
    <w:rsid w:val="00CA4F68"/>
    <w:rsid w:val="00CC00CF"/>
    <w:rsid w:val="00CC3E95"/>
    <w:rsid w:val="00CD1172"/>
    <w:rsid w:val="00CF584A"/>
    <w:rsid w:val="00CF6955"/>
    <w:rsid w:val="00D4052E"/>
    <w:rsid w:val="00D43084"/>
    <w:rsid w:val="00D83C91"/>
    <w:rsid w:val="00D8757D"/>
    <w:rsid w:val="00DA3508"/>
    <w:rsid w:val="00DB3222"/>
    <w:rsid w:val="00DC0551"/>
    <w:rsid w:val="00DF6486"/>
    <w:rsid w:val="00E07D90"/>
    <w:rsid w:val="00E13BF8"/>
    <w:rsid w:val="00E37F42"/>
    <w:rsid w:val="00E604B9"/>
    <w:rsid w:val="00E604C2"/>
    <w:rsid w:val="00E61199"/>
    <w:rsid w:val="00E62364"/>
    <w:rsid w:val="00E7164F"/>
    <w:rsid w:val="00E775B6"/>
    <w:rsid w:val="00E8798D"/>
    <w:rsid w:val="00EB7C5C"/>
    <w:rsid w:val="00EC340E"/>
    <w:rsid w:val="00EC5972"/>
    <w:rsid w:val="00F01FBE"/>
    <w:rsid w:val="00F0734A"/>
    <w:rsid w:val="00F0765F"/>
    <w:rsid w:val="00F162A6"/>
    <w:rsid w:val="00F40B5C"/>
    <w:rsid w:val="00F466EE"/>
    <w:rsid w:val="00F735BE"/>
    <w:rsid w:val="00F7735E"/>
    <w:rsid w:val="00F95FE4"/>
    <w:rsid w:val="00FA5900"/>
    <w:rsid w:val="00FC6793"/>
    <w:rsid w:val="00FD3B68"/>
    <w:rsid w:val="00FE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13E209"/>
  <w15:chartTrackingRefBased/>
  <w15:docId w15:val="{8DC7835E-F8AA-4783-8E3F-1CABA1DFC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138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unhideWhenUsed/>
    <w:rsid w:val="002A3FC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2A3FC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A3FCB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2A3FC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3FC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719E6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138C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710388"/>
    <w:pPr>
      <w:ind w:left="720"/>
      <w:contextualSpacing/>
    </w:pPr>
  </w:style>
  <w:style w:type="character" w:customStyle="1" w:styleId="byline-prefix">
    <w:name w:val="byline-prefix"/>
    <w:basedOn w:val="DefaultParagraphFont"/>
    <w:rsid w:val="00003BFA"/>
  </w:style>
  <w:style w:type="character" w:customStyle="1" w:styleId="css-1baulvz">
    <w:name w:val="css-1baulvz"/>
    <w:basedOn w:val="DefaultParagraphFont"/>
    <w:rsid w:val="00003BFA"/>
  </w:style>
  <w:style w:type="character" w:customStyle="1" w:styleId="css-1sbuyqj">
    <w:name w:val="css-1sbuyqj"/>
    <w:basedOn w:val="DefaultParagraphFont"/>
    <w:rsid w:val="00003BFA"/>
  </w:style>
  <w:style w:type="character" w:customStyle="1" w:styleId="css-233int">
    <w:name w:val="css-233int"/>
    <w:basedOn w:val="DefaultParagraphFont"/>
    <w:rsid w:val="00003BFA"/>
  </w:style>
  <w:style w:type="character" w:styleId="CommentReference">
    <w:name w:val="annotation reference"/>
    <w:basedOn w:val="DefaultParagraphFont"/>
    <w:uiPriority w:val="99"/>
    <w:semiHidden/>
    <w:unhideWhenUsed/>
    <w:rsid w:val="002673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73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73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73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735F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6C0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0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end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capitol.texas.gov/tlodocs/87R/billtext/html/SB00019F.htm" TargetMode="External"/><Relationship Id="rId13" Type="http://schemas.openxmlformats.org/officeDocument/2006/relationships/hyperlink" Target="https://legislation.palestinelegal.org/" TargetMode="External"/><Relationship Id="rId18" Type="http://schemas.openxmlformats.org/officeDocument/2006/relationships/hyperlink" Target="https://fmep.org/resource/constitutionality-issues-bds-legislation-expert-views/" TargetMode="External"/><Relationship Id="rId26" Type="http://schemas.openxmlformats.org/officeDocument/2006/relationships/hyperlink" Target="https://www.ala.org/rt/sites/ala.org.rt/files/content/SRRT/Resolutions/2020/SRRT%20Report.pdf" TargetMode="External"/><Relationship Id="rId3" Type="http://schemas.openxmlformats.org/officeDocument/2006/relationships/hyperlink" Target="https://www.ala.org/rt/sites/ala.org.rt/files/content/SRRT/Resolutions/2020/SRRT%20Report.pdf" TargetMode="External"/><Relationship Id="rId21" Type="http://schemas.openxmlformats.org/officeDocument/2006/relationships/hyperlink" Target="https://www.nytimes.com/by/reid-j-epstein" TargetMode="External"/><Relationship Id="rId34" Type="http://schemas.openxmlformats.org/officeDocument/2006/relationships/hyperlink" Target="https://www.ci.boerne.tx.us/DocumentCenter/View/17657/Request-for-Proposal-Telecommunications-System-PDF?bidId=" TargetMode="External"/><Relationship Id="rId7" Type="http://schemas.openxmlformats.org/officeDocument/2006/relationships/hyperlink" Target="https://www.exposedbycmd.org/2022/02/08/alecs-critical-energy-theory-bills-moving-in-four-states/" TargetMode="External"/><Relationship Id="rId12" Type="http://schemas.openxmlformats.org/officeDocument/2006/relationships/hyperlink" Target="https://fmep.org/wp/wp-content/uploads/BDS-Laws-as-Template-for-Laws-on-Other-Issues.pdf" TargetMode="External"/><Relationship Id="rId17" Type="http://schemas.openxmlformats.org/officeDocument/2006/relationships/hyperlink" Target="https://www.lawfareblog.com/eighth-circuit-strikes-down-arkansass-anti-bds-law" TargetMode="External"/><Relationship Id="rId25" Type="http://schemas.openxmlformats.org/officeDocument/2006/relationships/hyperlink" Target="https://www.ala.org/news/sites/ala.org.news/files/content/state-of-americas-libraries-special-report-pandemic-year-two.pdf" TargetMode="External"/><Relationship Id="rId33" Type="http://schemas.openxmlformats.org/officeDocument/2006/relationships/hyperlink" Target="https://purchasing.houstontx.gov/bids/T30037/T30037%20-%20Request%20for%20Proposals.pdf" TargetMode="External"/><Relationship Id="rId2" Type="http://schemas.openxmlformats.org/officeDocument/2006/relationships/hyperlink" Target="https://www.ala.org/rt/sites/ala.org.rt/files/content/SRRT/Resolutions/2020/Resolution%20Opposing%20the%20Free%20Speech%20and%20Intellectual%20Freedom%20Restrictions.pdf" TargetMode="External"/><Relationship Id="rId16" Type="http://schemas.openxmlformats.org/officeDocument/2006/relationships/hyperlink" Target="https://www.lawfareblog.com/contributors/esetzer" TargetMode="External"/><Relationship Id="rId20" Type="http://schemas.openxmlformats.org/officeDocument/2006/relationships/hyperlink" Target="https://www.icnl.org/usprotestlawtracker/" TargetMode="External"/><Relationship Id="rId29" Type="http://schemas.openxmlformats.org/officeDocument/2006/relationships/hyperlink" Target="https://www.hccs.edu/about-hcc/procurement/rfps/RFP-18-34-Library-Discovery-Layer-06.14.2018.pdf" TargetMode="External"/><Relationship Id="rId1" Type="http://schemas.openxmlformats.org/officeDocument/2006/relationships/hyperlink" Target="https://www.ala.org/aboutala/sites/ala.org.aboutala/files/content/governance/council/council_documents/2019_ac_docs/ALA%20CD%2049%20Resolution%20in%20Defense%20of%20the%20Free%20Speech%20for%20Palestinian%20Rights.pdf" TargetMode="External"/><Relationship Id="rId6" Type="http://schemas.openxmlformats.org/officeDocument/2006/relationships/hyperlink" Target="https://www.theguardian.com/environment/2022/feb/08/rightwing-lobby-alec-blacklist-companies-boycott-oil-industry" TargetMode="External"/><Relationship Id="rId11" Type="http://schemas.openxmlformats.org/officeDocument/2006/relationships/hyperlink" Target="https://kansasreflector.com/2022/02/22/kansas-senate-considers-shielding-firearm-industry-from-discrimination-by-businesses/" TargetMode="External"/><Relationship Id="rId24" Type="http://schemas.openxmlformats.org/officeDocument/2006/relationships/hyperlink" Target="https://www.theguardian.com/world/2022/feb/15/lgbtq-rights-ban-us-schools-republicans" TargetMode="External"/><Relationship Id="rId32" Type="http://schemas.openxmlformats.org/officeDocument/2006/relationships/hyperlink" Target="https://cms7files.revize.com/edinburgtx/z/02%20RFP%202022-010%20RADIO%20FREQUENCY%20INDENTIFICATION%20SYSTEM.pdf" TargetMode="External"/><Relationship Id="rId5" Type="http://schemas.openxmlformats.org/officeDocument/2006/relationships/hyperlink" Target="https://jewishcurrents.org/what-the-fossil-fuel-industry-learned-from-anti-bds-laws" TargetMode="External"/><Relationship Id="rId15" Type="http://schemas.openxmlformats.org/officeDocument/2006/relationships/hyperlink" Target="https://www.middleeasteye.net/news/us-georgia-court-rules-anti-bds-law-unconstitutional" TargetMode="External"/><Relationship Id="rId23" Type="http://schemas.openxmlformats.org/officeDocument/2006/relationships/hyperlink" Target="https://www.nytimes.com/2021/04/21/us/politics/republican-anti-protest-laws.html" TargetMode="External"/><Relationship Id="rId28" Type="http://schemas.openxmlformats.org/officeDocument/2006/relationships/hyperlink" Target="https://www.chandleraz.gov/sites/default/files/20180913_30.pdf" TargetMode="External"/><Relationship Id="rId10" Type="http://schemas.openxmlformats.org/officeDocument/2006/relationships/hyperlink" Target="https://www.npr.org/2022/02/18/1081917682/a-bill-in-the-arizona-house-would-punish-banks-that-refuse-business-from-gun-fir" TargetMode="External"/><Relationship Id="rId19" Type="http://schemas.openxmlformats.org/officeDocument/2006/relationships/hyperlink" Target="https://www.pewtrusts.org/en/research-and-analysis/blogs/stateline/2021/06/21/eight-states-enact-anti-protest-laws" TargetMode="External"/><Relationship Id="rId31" Type="http://schemas.openxmlformats.org/officeDocument/2006/relationships/hyperlink" Target="C://Users/ttwiss/Downloads/761784320%20(1).pdf" TargetMode="External"/><Relationship Id="rId4" Type="http://schemas.openxmlformats.org/officeDocument/2006/relationships/hyperlink" Target="https://capitol.texas.gov/tlodocs/87R/billtext/pdf/SB00013F.pdf" TargetMode="External"/><Relationship Id="rId9" Type="http://schemas.openxmlformats.org/officeDocument/2006/relationships/hyperlink" Target="http://webserver1.lsb.state.ok.us/cf_pdf/2021-22%20ENGR/hB/HB3144%20ENGR.PDF" TargetMode="External"/><Relationship Id="rId14" Type="http://schemas.openxmlformats.org/officeDocument/2006/relationships/hyperlink" Target="https://legislation.palestinelegal.org/" TargetMode="External"/><Relationship Id="rId22" Type="http://schemas.openxmlformats.org/officeDocument/2006/relationships/hyperlink" Target="https://www.nytimes.com/by/patricia-mazzei" TargetMode="External"/><Relationship Id="rId27" Type="http://schemas.openxmlformats.org/officeDocument/2006/relationships/hyperlink" Target="https://www.dms.myflorida.com/content/download/147317/981665/DMS-1718-023_GCF_Contract_&amp;_Exhibits_Executed_REDACTED.pdf" TargetMode="External"/><Relationship Id="rId30" Type="http://schemas.openxmlformats.org/officeDocument/2006/relationships/hyperlink" Target="https://www.ala.org/rt/srrt/irtf/anti-bds-legislation-library-connection" TargetMode="External"/><Relationship Id="rId35" Type="http://schemas.openxmlformats.org/officeDocument/2006/relationships/hyperlink" Target="https://www.tsl.texas.gov/sites/default/files/public/tslac/admin/tandc/General%20Terms%20and%20Conditions_202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3E9BC1-9704-4DD6-8CDE-FED78B1D7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825</Words>
  <Characters>4704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Twiss, Thomas Marshall</dc:creator>
  <cp:keywords/>
  <dc:description/>
  <cp:lastModifiedBy>Twiss, Thomas Marshall</cp:lastModifiedBy>
  <cp:revision>2</cp:revision>
  <cp:lastPrinted>2022-05-25T22:04:00Z</cp:lastPrinted>
  <dcterms:created xsi:type="dcterms:W3CDTF">2022-06-04T10:31:00Z</dcterms:created>
  <dcterms:modified xsi:type="dcterms:W3CDTF">2022-06-04T10:31:00Z</dcterms:modified>
</cp:coreProperties>
</file>