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CE9B5" w14:textId="77777777" w:rsidR="00042364" w:rsidRPr="00C36C3D" w:rsidRDefault="00042364" w:rsidP="00042364">
      <w:pPr>
        <w:spacing w:after="0" w:line="240" w:lineRule="auto"/>
        <w:rPr>
          <w:rFonts w:cstheme="minorHAnsi"/>
          <w:b/>
          <w:iCs/>
        </w:rPr>
      </w:pPr>
      <w:r w:rsidRPr="00C36C3D">
        <w:rPr>
          <w:rFonts w:cstheme="minorHAnsi"/>
          <w:b/>
          <w:iCs/>
        </w:rPr>
        <w:t xml:space="preserve">PLA Board of Directors 2019 </w:t>
      </w:r>
      <w:r>
        <w:rPr>
          <w:rFonts w:cstheme="minorHAnsi"/>
          <w:b/>
          <w:iCs/>
        </w:rPr>
        <w:t>Annual Conference</w:t>
      </w:r>
      <w:r w:rsidRPr="00C36C3D">
        <w:rPr>
          <w:rFonts w:cstheme="minorHAnsi"/>
          <w:b/>
          <w:iCs/>
        </w:rPr>
        <w:t xml:space="preserve"> Meeting</w:t>
      </w:r>
    </w:p>
    <w:p w14:paraId="7E5E89AF" w14:textId="77777777" w:rsidR="00042364" w:rsidRDefault="00042364" w:rsidP="00042364">
      <w:pPr>
        <w:spacing w:after="0" w:line="240" w:lineRule="auto"/>
        <w:rPr>
          <w:rFonts w:cstheme="minorHAnsi"/>
          <w:b/>
          <w:iCs/>
        </w:rPr>
      </w:pPr>
      <w:r w:rsidRPr="00C36C3D">
        <w:rPr>
          <w:rFonts w:cstheme="minorHAnsi"/>
          <w:b/>
          <w:iCs/>
        </w:rPr>
        <w:t>Action Items/Discussions Requiring Follow Up</w:t>
      </w:r>
      <w:bookmarkStart w:id="0" w:name="_GoBack"/>
      <w:bookmarkEnd w:id="0"/>
    </w:p>
    <w:p w14:paraId="0BD502FA" w14:textId="77777777" w:rsidR="00042364" w:rsidRPr="00C36C3D" w:rsidRDefault="00042364" w:rsidP="00042364">
      <w:pPr>
        <w:spacing w:after="0" w:line="240" w:lineRule="auto"/>
        <w:rPr>
          <w:rFonts w:cstheme="minorHAnsi"/>
          <w:b/>
          <w:iCs/>
        </w:rPr>
      </w:pPr>
    </w:p>
    <w:p w14:paraId="05DFE2CD" w14:textId="77777777" w:rsidR="00042364" w:rsidRPr="00C36C3D" w:rsidRDefault="00042364" w:rsidP="00042364">
      <w:pPr>
        <w:spacing w:after="0" w:line="240" w:lineRule="auto"/>
        <w:rPr>
          <w:rFonts w:cstheme="minorHAnsi"/>
          <w:iCs/>
        </w:rPr>
      </w:pPr>
      <w:r w:rsidRPr="00C36C3D">
        <w:rPr>
          <w:rFonts w:cstheme="minorHAnsi"/>
          <w:iCs/>
        </w:rPr>
        <w:t xml:space="preserve">The following actions were drafted based on discussion at the 2019 </w:t>
      </w:r>
      <w:r>
        <w:rPr>
          <w:rFonts w:cstheme="minorHAnsi"/>
          <w:iCs/>
        </w:rPr>
        <w:t>Annual Conference</w:t>
      </w:r>
      <w:r w:rsidRPr="00C36C3D">
        <w:rPr>
          <w:rFonts w:cstheme="minorHAnsi"/>
          <w:iCs/>
        </w:rPr>
        <w:t xml:space="preserve"> board meeting.</w:t>
      </w:r>
    </w:p>
    <w:p w14:paraId="790C8BDD" w14:textId="77777777" w:rsidR="00042364" w:rsidRDefault="00042364" w:rsidP="00042364">
      <w:pPr>
        <w:spacing w:after="0" w:line="240" w:lineRule="auto"/>
        <w:rPr>
          <w:rFonts w:cstheme="minorHAnsi"/>
          <w:iCs/>
        </w:rPr>
      </w:pPr>
    </w:p>
    <w:p w14:paraId="715EA2BB" w14:textId="77777777" w:rsidR="00042364" w:rsidRDefault="00042364" w:rsidP="00042364">
      <w:pPr>
        <w:pStyle w:val="ListParagraph"/>
        <w:numPr>
          <w:ilvl w:val="0"/>
          <w:numId w:val="1"/>
        </w:numPr>
        <w:spacing w:after="0" w:line="240" w:lineRule="auto"/>
        <w:rPr>
          <w:rFonts w:cstheme="minorHAnsi"/>
          <w:iCs/>
        </w:rPr>
      </w:pPr>
      <w:r>
        <w:rPr>
          <w:rFonts w:cstheme="minorHAnsi"/>
          <w:b/>
          <w:iCs/>
        </w:rPr>
        <w:t>Financial Reports.</w:t>
      </w:r>
    </w:p>
    <w:p w14:paraId="5695CD1A" w14:textId="77777777" w:rsidR="00042364" w:rsidRPr="0050322C" w:rsidRDefault="00042364" w:rsidP="00042364">
      <w:pPr>
        <w:pStyle w:val="ListParagraph"/>
        <w:numPr>
          <w:ilvl w:val="1"/>
          <w:numId w:val="1"/>
        </w:numPr>
        <w:spacing w:after="0" w:line="240" w:lineRule="auto"/>
        <w:rPr>
          <w:rFonts w:cstheme="minorHAnsi"/>
          <w:iCs/>
        </w:rPr>
      </w:pPr>
      <w:r>
        <w:rPr>
          <w:rFonts w:cstheme="minorHAnsi"/>
          <w:iCs/>
        </w:rPr>
        <w:t xml:space="preserve">FY20 Budget. PLA will </w:t>
      </w:r>
      <w:r>
        <w:t>increase the sustainability consultant funding to $100,000 and double the other investment amounts during the next opening of the FY20 budget for revisions. (Macikas, Allen)</w:t>
      </w:r>
    </w:p>
    <w:p w14:paraId="4BEA514F" w14:textId="2CEABE1E" w:rsidR="00042364" w:rsidRDefault="00042364" w:rsidP="00042364">
      <w:pPr>
        <w:spacing w:after="0" w:line="240" w:lineRule="auto"/>
        <w:rPr>
          <w:rFonts w:cstheme="minorHAnsi"/>
          <w:iCs/>
        </w:rPr>
      </w:pPr>
    </w:p>
    <w:p w14:paraId="448C628F" w14:textId="782403F4" w:rsidR="00494909" w:rsidRDefault="00494909" w:rsidP="00042364">
      <w:pPr>
        <w:spacing w:after="0" w:line="240" w:lineRule="auto"/>
        <w:rPr>
          <w:rFonts w:cstheme="minorHAnsi"/>
          <w:iCs/>
        </w:rPr>
      </w:pPr>
      <w:r>
        <w:rPr>
          <w:rFonts w:cstheme="minorHAnsi"/>
          <w:iCs/>
        </w:rPr>
        <w:t>STATUS: ACCOMPLISHED and presented to the board during the September 5, 2019 conference call.</w:t>
      </w:r>
    </w:p>
    <w:p w14:paraId="65D339F1" w14:textId="77777777" w:rsidR="00494909" w:rsidRPr="0050322C" w:rsidRDefault="00494909" w:rsidP="00042364">
      <w:pPr>
        <w:spacing w:after="0" w:line="240" w:lineRule="auto"/>
        <w:rPr>
          <w:rFonts w:cstheme="minorHAnsi"/>
          <w:iCs/>
        </w:rPr>
      </w:pPr>
    </w:p>
    <w:p w14:paraId="773E2EFE" w14:textId="77777777" w:rsidR="00042364" w:rsidRPr="00A45D5A" w:rsidRDefault="00042364" w:rsidP="00042364">
      <w:pPr>
        <w:pStyle w:val="ListParagraph"/>
        <w:numPr>
          <w:ilvl w:val="0"/>
          <w:numId w:val="1"/>
        </w:numPr>
        <w:spacing w:after="0" w:line="240" w:lineRule="auto"/>
        <w:rPr>
          <w:rFonts w:cstheme="minorHAnsi"/>
          <w:iCs/>
        </w:rPr>
      </w:pPr>
      <w:r w:rsidRPr="00A45D5A">
        <w:rPr>
          <w:rFonts w:cstheme="minorHAnsi"/>
          <w:b/>
          <w:iCs/>
        </w:rPr>
        <w:t xml:space="preserve">Long Term Investment (LTI). </w:t>
      </w:r>
    </w:p>
    <w:p w14:paraId="279DCAAC" w14:textId="77777777" w:rsidR="00042364" w:rsidRDefault="00042364" w:rsidP="00042364">
      <w:pPr>
        <w:pStyle w:val="ListParagraph"/>
        <w:numPr>
          <w:ilvl w:val="1"/>
          <w:numId w:val="1"/>
        </w:numPr>
        <w:spacing w:after="0" w:line="240" w:lineRule="auto"/>
        <w:rPr>
          <w:rFonts w:cstheme="minorHAnsi"/>
          <w:iCs/>
        </w:rPr>
      </w:pPr>
      <w:r>
        <w:rPr>
          <w:rFonts w:cstheme="minorHAnsi"/>
          <w:iCs/>
        </w:rPr>
        <w:t>FY19 Investments. PLA will notify Finance to reinvest the FY19 interest back into the LTI and to move another $50,000 from the fund balance to the LTI as part of FY19 closing procedures. (Macikas)</w:t>
      </w:r>
    </w:p>
    <w:p w14:paraId="6B7500D3" w14:textId="11BC96D7" w:rsidR="00042364" w:rsidRDefault="00042364" w:rsidP="00042364">
      <w:pPr>
        <w:pStyle w:val="ListParagraph"/>
        <w:numPr>
          <w:ilvl w:val="1"/>
          <w:numId w:val="1"/>
        </w:numPr>
        <w:spacing w:after="0" w:line="240" w:lineRule="auto"/>
        <w:rPr>
          <w:rFonts w:cstheme="minorHAnsi"/>
          <w:iCs/>
        </w:rPr>
      </w:pPr>
      <w:r w:rsidRPr="005344A1">
        <w:rPr>
          <w:rFonts w:cstheme="minorHAnsi"/>
          <w:iCs/>
        </w:rPr>
        <w:t xml:space="preserve">Transfer of Funds into LTI. </w:t>
      </w:r>
      <w:r w:rsidR="000E235E">
        <w:rPr>
          <w:rFonts w:cstheme="minorHAnsi"/>
          <w:iCs/>
        </w:rPr>
        <w:t>B</w:t>
      </w:r>
      <w:r w:rsidRPr="005344A1">
        <w:rPr>
          <w:rFonts w:cstheme="minorHAnsi"/>
          <w:iCs/>
        </w:rPr>
        <w:t>efore the fall 2019 PLA board meeting</w:t>
      </w:r>
      <w:r w:rsidR="000E235E">
        <w:rPr>
          <w:rFonts w:cstheme="minorHAnsi"/>
          <w:iCs/>
        </w:rPr>
        <w:t xml:space="preserve">, a plan will be developed to provide greater flexibility for </w:t>
      </w:r>
      <w:r w:rsidRPr="005344A1">
        <w:rPr>
          <w:rFonts w:cstheme="minorHAnsi"/>
          <w:iCs/>
        </w:rPr>
        <w:t>transferring funds from the fund balance into the LTI, with the goal of increasing the transfer by more than $50,000. (Bohrer, Macikas)</w:t>
      </w:r>
      <w:r>
        <w:rPr>
          <w:rFonts w:cstheme="minorHAnsi"/>
          <w:iCs/>
        </w:rPr>
        <w:t>.</w:t>
      </w:r>
      <w:r w:rsidR="000E235E">
        <w:rPr>
          <w:rFonts w:cstheme="minorHAnsi"/>
          <w:iCs/>
        </w:rPr>
        <w:t xml:space="preserve"> ALA’s policy requires a two-year notification and this notification will be made. </w:t>
      </w:r>
    </w:p>
    <w:p w14:paraId="02AD7E6A" w14:textId="67543837" w:rsidR="00042364" w:rsidRDefault="00042364" w:rsidP="00494909">
      <w:pPr>
        <w:spacing w:after="0" w:line="240" w:lineRule="auto"/>
        <w:rPr>
          <w:rFonts w:cstheme="minorHAnsi"/>
          <w:iCs/>
        </w:rPr>
      </w:pPr>
    </w:p>
    <w:p w14:paraId="69B0507D" w14:textId="114B9E2F" w:rsidR="00494909" w:rsidRDefault="00494909" w:rsidP="00494909">
      <w:pPr>
        <w:spacing w:after="0" w:line="240" w:lineRule="auto"/>
        <w:rPr>
          <w:rFonts w:cstheme="minorHAnsi"/>
          <w:iCs/>
        </w:rPr>
      </w:pPr>
      <w:r>
        <w:rPr>
          <w:rFonts w:cstheme="minorHAnsi"/>
          <w:iCs/>
        </w:rPr>
        <w:t xml:space="preserve">STATUS: ACCOMPLISHED (a); Finance was notified in August 2019. </w:t>
      </w:r>
      <w:r w:rsidR="000E235E">
        <w:rPr>
          <w:rFonts w:cstheme="minorHAnsi"/>
          <w:iCs/>
        </w:rPr>
        <w:t>ACCOMPLISHED</w:t>
      </w:r>
      <w:r>
        <w:rPr>
          <w:rFonts w:cstheme="minorHAnsi"/>
          <w:iCs/>
        </w:rPr>
        <w:t xml:space="preserve"> (b); In lieu of a specific amount that has board approval, staff </w:t>
      </w:r>
      <w:r w:rsidR="000E235E">
        <w:rPr>
          <w:rFonts w:cstheme="minorHAnsi"/>
          <w:iCs/>
        </w:rPr>
        <w:t xml:space="preserve">submitted the official request and </w:t>
      </w:r>
      <w:r>
        <w:rPr>
          <w:rFonts w:cstheme="minorHAnsi"/>
          <w:iCs/>
        </w:rPr>
        <w:t>provided a placeholder amount ($350,000</w:t>
      </w:r>
      <w:r w:rsidR="000E235E">
        <w:rPr>
          <w:rFonts w:cstheme="minorHAnsi"/>
          <w:iCs/>
        </w:rPr>
        <w:t>/year</w:t>
      </w:r>
      <w:r>
        <w:rPr>
          <w:rFonts w:cstheme="minorHAnsi"/>
          <w:iCs/>
        </w:rPr>
        <w:t>) to Finance</w:t>
      </w:r>
      <w:r w:rsidR="000E235E">
        <w:rPr>
          <w:rFonts w:cstheme="minorHAnsi"/>
          <w:iCs/>
        </w:rPr>
        <w:t>.</w:t>
      </w:r>
    </w:p>
    <w:p w14:paraId="099B4CDE" w14:textId="25E08BCF" w:rsidR="00494909" w:rsidRDefault="00494909" w:rsidP="00494909">
      <w:pPr>
        <w:spacing w:after="0" w:line="240" w:lineRule="auto"/>
        <w:rPr>
          <w:rFonts w:cstheme="minorHAnsi"/>
          <w:iCs/>
        </w:rPr>
      </w:pPr>
    </w:p>
    <w:p w14:paraId="54D76161" w14:textId="77777777" w:rsidR="00042364" w:rsidRDefault="00042364" w:rsidP="00042364">
      <w:pPr>
        <w:pStyle w:val="ListParagraph"/>
        <w:numPr>
          <w:ilvl w:val="0"/>
          <w:numId w:val="1"/>
        </w:numPr>
        <w:spacing w:after="0" w:line="240" w:lineRule="auto"/>
        <w:rPr>
          <w:rFonts w:cstheme="minorHAnsi"/>
          <w:iCs/>
        </w:rPr>
      </w:pPr>
      <w:r>
        <w:rPr>
          <w:rFonts w:cstheme="minorHAnsi"/>
          <w:b/>
          <w:iCs/>
        </w:rPr>
        <w:t>ALA Overhead</w:t>
      </w:r>
    </w:p>
    <w:p w14:paraId="65BF9AE8" w14:textId="77777777" w:rsidR="00042364" w:rsidRDefault="00042364" w:rsidP="00042364">
      <w:pPr>
        <w:pStyle w:val="ListParagraph"/>
        <w:numPr>
          <w:ilvl w:val="1"/>
          <w:numId w:val="1"/>
        </w:numPr>
        <w:spacing w:after="0" w:line="240" w:lineRule="auto"/>
        <w:rPr>
          <w:rFonts w:cstheme="minorHAnsi"/>
          <w:iCs/>
        </w:rPr>
      </w:pPr>
      <w:r w:rsidRPr="005344A1">
        <w:rPr>
          <w:rFonts w:cstheme="minorHAnsi"/>
          <w:iCs/>
        </w:rPr>
        <w:t xml:space="preserve">Finance (Leon, Brown) will be asked to correct the 10-year analysis of PLA’s overhead payments, expenses, and effective overhead and resubmit to PLA for sharing with the board. (Bohrer, Macikas)   </w:t>
      </w:r>
    </w:p>
    <w:p w14:paraId="02A6B0DE" w14:textId="67463990" w:rsidR="00042364" w:rsidRDefault="00042364" w:rsidP="00494909">
      <w:pPr>
        <w:spacing w:after="0" w:line="240" w:lineRule="auto"/>
        <w:rPr>
          <w:rFonts w:cstheme="minorHAnsi"/>
          <w:iCs/>
        </w:rPr>
      </w:pPr>
    </w:p>
    <w:p w14:paraId="0C1B4912" w14:textId="41A12399" w:rsidR="00494909" w:rsidRDefault="00494909" w:rsidP="00494909">
      <w:pPr>
        <w:spacing w:after="0" w:line="240" w:lineRule="auto"/>
        <w:rPr>
          <w:rFonts w:cstheme="minorHAnsi"/>
          <w:iCs/>
        </w:rPr>
      </w:pPr>
      <w:r>
        <w:rPr>
          <w:rFonts w:cstheme="minorHAnsi"/>
          <w:iCs/>
        </w:rPr>
        <w:t>STATUS:</w:t>
      </w:r>
      <w:r w:rsidR="00C4597C">
        <w:rPr>
          <w:rFonts w:cstheme="minorHAnsi"/>
          <w:iCs/>
        </w:rPr>
        <w:t xml:space="preserve"> </w:t>
      </w:r>
      <w:r w:rsidR="000E235E">
        <w:rPr>
          <w:rFonts w:cstheme="minorHAnsi"/>
          <w:iCs/>
        </w:rPr>
        <w:t>IN PROCESS.</w:t>
      </w:r>
    </w:p>
    <w:p w14:paraId="239CCF47" w14:textId="77777777" w:rsidR="00494909" w:rsidRPr="00494909" w:rsidRDefault="00494909" w:rsidP="00494909">
      <w:pPr>
        <w:spacing w:after="0" w:line="240" w:lineRule="auto"/>
        <w:rPr>
          <w:rFonts w:cstheme="minorHAnsi"/>
          <w:iCs/>
        </w:rPr>
      </w:pPr>
    </w:p>
    <w:p w14:paraId="4FDBEE6B" w14:textId="77777777" w:rsidR="00042364" w:rsidRPr="00500183" w:rsidRDefault="00042364" w:rsidP="00042364">
      <w:pPr>
        <w:pStyle w:val="ListParagraph"/>
        <w:numPr>
          <w:ilvl w:val="0"/>
          <w:numId w:val="1"/>
        </w:numPr>
        <w:spacing w:after="0" w:line="240" w:lineRule="auto"/>
        <w:rPr>
          <w:rFonts w:cstheme="minorHAnsi"/>
          <w:iCs/>
        </w:rPr>
      </w:pPr>
      <w:r>
        <w:rPr>
          <w:rFonts w:cstheme="minorHAnsi"/>
          <w:b/>
          <w:iCs/>
        </w:rPr>
        <w:t>Steering Committee on Organizational Effectiveness (SCOE)</w:t>
      </w:r>
      <w:r w:rsidRPr="00500183">
        <w:rPr>
          <w:rFonts w:cstheme="minorHAnsi"/>
          <w:b/>
          <w:iCs/>
        </w:rPr>
        <w:t xml:space="preserve">. </w:t>
      </w:r>
    </w:p>
    <w:p w14:paraId="43565A70" w14:textId="77777777" w:rsidR="00042364" w:rsidRDefault="00042364" w:rsidP="00042364">
      <w:pPr>
        <w:pStyle w:val="ListParagraph"/>
        <w:numPr>
          <w:ilvl w:val="1"/>
          <w:numId w:val="1"/>
        </w:numPr>
        <w:spacing w:after="0" w:line="240" w:lineRule="auto"/>
        <w:rPr>
          <w:rFonts w:cstheme="minorHAnsi"/>
          <w:iCs/>
        </w:rPr>
      </w:pPr>
      <w:r w:rsidRPr="00A45D5A">
        <w:rPr>
          <w:rFonts w:cstheme="minorHAnsi"/>
          <w:iCs/>
        </w:rPr>
        <w:t xml:space="preserve">The Budget and Finance Committee will prepare recommendations </w:t>
      </w:r>
      <w:r>
        <w:t>related to the financial health of ALA and PLA</w:t>
      </w:r>
      <w:r w:rsidRPr="00A45D5A">
        <w:rPr>
          <w:rFonts w:cstheme="minorHAnsi"/>
          <w:iCs/>
        </w:rPr>
        <w:t xml:space="preserve">, for consideration during the planned, SCOE-related financial modeling process and the </w:t>
      </w:r>
      <w:proofErr w:type="gramStart"/>
      <w:r w:rsidRPr="00A45D5A">
        <w:rPr>
          <w:rFonts w:cstheme="minorHAnsi"/>
          <w:iCs/>
        </w:rPr>
        <w:t>opening up</w:t>
      </w:r>
      <w:proofErr w:type="gramEnd"/>
      <w:r w:rsidRPr="00A45D5A">
        <w:rPr>
          <w:rFonts w:cstheme="minorHAnsi"/>
          <w:iCs/>
        </w:rPr>
        <w:t xml:space="preserve"> of the operating agreement slated to occur in 2020. (Boh</w:t>
      </w:r>
      <w:r>
        <w:rPr>
          <w:rFonts w:cstheme="minorHAnsi"/>
          <w:iCs/>
        </w:rPr>
        <w:t>r</w:t>
      </w:r>
      <w:r w:rsidRPr="00A45D5A">
        <w:rPr>
          <w:rFonts w:cstheme="minorHAnsi"/>
          <w:iCs/>
        </w:rPr>
        <w:t xml:space="preserve">er, Macikas)  </w:t>
      </w:r>
    </w:p>
    <w:p w14:paraId="62D843D1" w14:textId="57A421D5" w:rsidR="00042364" w:rsidRDefault="00042364" w:rsidP="00494909">
      <w:pPr>
        <w:spacing w:after="0" w:line="240" w:lineRule="auto"/>
        <w:rPr>
          <w:rFonts w:cstheme="minorHAnsi"/>
          <w:iCs/>
        </w:rPr>
      </w:pPr>
    </w:p>
    <w:p w14:paraId="4EB2D626" w14:textId="03A5B969" w:rsidR="00494909" w:rsidRDefault="00494909" w:rsidP="00494909">
      <w:pPr>
        <w:spacing w:after="0" w:line="240" w:lineRule="auto"/>
        <w:rPr>
          <w:rFonts w:cstheme="minorHAnsi"/>
          <w:iCs/>
        </w:rPr>
      </w:pPr>
      <w:r>
        <w:rPr>
          <w:rFonts w:cstheme="minorHAnsi"/>
          <w:iCs/>
        </w:rPr>
        <w:t>STATUS:</w:t>
      </w:r>
      <w:r w:rsidR="00C4597C">
        <w:rPr>
          <w:rFonts w:cstheme="minorHAnsi"/>
          <w:iCs/>
        </w:rPr>
        <w:t xml:space="preserve"> </w:t>
      </w:r>
      <w:r w:rsidR="000E235E">
        <w:rPr>
          <w:rFonts w:cstheme="minorHAnsi"/>
          <w:iCs/>
        </w:rPr>
        <w:t xml:space="preserve">ON HOLD since the SCOE financial group has not moved forward with any significant discussion of the operating agreement. Once the financial group and/or the implication group signal the financial modeling and operating agreement discussion will happen, B&amp;F will begin preparing recommendations. </w:t>
      </w:r>
    </w:p>
    <w:p w14:paraId="65FA8824" w14:textId="77777777" w:rsidR="00494909" w:rsidRPr="00494909" w:rsidRDefault="00494909" w:rsidP="00494909">
      <w:pPr>
        <w:spacing w:after="0" w:line="240" w:lineRule="auto"/>
        <w:rPr>
          <w:rFonts w:cstheme="minorHAnsi"/>
          <w:iCs/>
        </w:rPr>
      </w:pPr>
    </w:p>
    <w:p w14:paraId="1DAE8D8F" w14:textId="77777777" w:rsidR="00042364" w:rsidRPr="00370BDE" w:rsidRDefault="00042364" w:rsidP="00042364">
      <w:pPr>
        <w:pStyle w:val="ListParagraph"/>
        <w:numPr>
          <w:ilvl w:val="0"/>
          <w:numId w:val="1"/>
        </w:numPr>
        <w:spacing w:after="0" w:line="240" w:lineRule="auto"/>
        <w:rPr>
          <w:rFonts w:cstheme="minorHAnsi"/>
          <w:iCs/>
        </w:rPr>
      </w:pPr>
      <w:bookmarkStart w:id="1" w:name="_Hlk20816615"/>
      <w:r w:rsidRPr="00CD391B">
        <w:rPr>
          <w:b/>
          <w:bCs/>
        </w:rPr>
        <w:t>IFLA Section Report</w:t>
      </w:r>
      <w:r>
        <w:rPr>
          <w:b/>
          <w:bCs/>
        </w:rPr>
        <w:t>s</w:t>
      </w:r>
    </w:p>
    <w:p w14:paraId="4C795840" w14:textId="77777777" w:rsidR="00042364" w:rsidRDefault="00042364" w:rsidP="00042364">
      <w:pPr>
        <w:pStyle w:val="ListParagraph"/>
        <w:numPr>
          <w:ilvl w:val="1"/>
          <w:numId w:val="1"/>
        </w:numPr>
        <w:spacing w:after="0" w:line="240" w:lineRule="auto"/>
        <w:rPr>
          <w:rFonts w:cstheme="minorHAnsi"/>
          <w:iCs/>
        </w:rPr>
      </w:pPr>
      <w:r>
        <w:rPr>
          <w:rFonts w:cstheme="minorHAnsi"/>
          <w:iCs/>
        </w:rPr>
        <w:t xml:space="preserve">An article on being involved in IFLA will be written for </w:t>
      </w:r>
      <w:r>
        <w:rPr>
          <w:rFonts w:cstheme="minorHAnsi"/>
          <w:i/>
          <w:iCs/>
        </w:rPr>
        <w:t xml:space="preserve">Public Libraries </w:t>
      </w:r>
      <w:r>
        <w:rPr>
          <w:rFonts w:cstheme="minorHAnsi"/>
          <w:iCs/>
        </w:rPr>
        <w:t xml:space="preserve">magazine to address the “mystery” of being involved, including issues such as cost for potentially two </w:t>
      </w:r>
      <w:r>
        <w:rPr>
          <w:rFonts w:cstheme="minorHAnsi"/>
          <w:iCs/>
        </w:rPr>
        <w:lastRenderedPageBreak/>
        <w:t>international meetings annually, strategies to secure funds from friends groups or other sources, requirements of serving on IFLA committees, and how IFLA conferences and speaking duties differ from U.S. library conferences. (Hughes, Hill)</w:t>
      </w:r>
    </w:p>
    <w:p w14:paraId="663B7D05" w14:textId="77777777" w:rsidR="00042364" w:rsidRPr="003369A8" w:rsidRDefault="00042364" w:rsidP="00042364">
      <w:pPr>
        <w:pStyle w:val="ListParagraph"/>
        <w:numPr>
          <w:ilvl w:val="1"/>
          <w:numId w:val="1"/>
        </w:numPr>
        <w:spacing w:after="0" w:line="240" w:lineRule="auto"/>
        <w:rPr>
          <w:rFonts w:cstheme="minorHAnsi"/>
          <w:iCs/>
        </w:rPr>
      </w:pPr>
      <w:r>
        <w:rPr>
          <w:rFonts w:cstheme="minorHAnsi"/>
          <w:iCs/>
        </w:rPr>
        <w:t xml:space="preserve">PLA will promote the opportunity to apply for the </w:t>
      </w:r>
      <w:r w:rsidRPr="003369A8">
        <w:rPr>
          <w:rFonts w:cstheme="minorHAnsi"/>
          <w:iCs/>
        </w:rPr>
        <w:t>IFLA/Systematic Public Library of the Year</w:t>
      </w:r>
      <w:r>
        <w:rPr>
          <w:rFonts w:cstheme="minorHAnsi"/>
          <w:iCs/>
        </w:rPr>
        <w:t xml:space="preserve"> to members to encourage U.S. submissions. (Deutsch, Hill) </w:t>
      </w:r>
    </w:p>
    <w:p w14:paraId="133806A1" w14:textId="77777777" w:rsidR="00042364" w:rsidRPr="00500183" w:rsidRDefault="00042364" w:rsidP="00042364">
      <w:pPr>
        <w:pStyle w:val="ListParagraph"/>
        <w:numPr>
          <w:ilvl w:val="1"/>
          <w:numId w:val="1"/>
        </w:numPr>
        <w:spacing w:after="0" w:line="240" w:lineRule="auto"/>
        <w:rPr>
          <w:rFonts w:cstheme="minorHAnsi"/>
          <w:iCs/>
        </w:rPr>
      </w:pPr>
      <w:r>
        <w:rPr>
          <w:bCs/>
        </w:rPr>
        <w:t xml:space="preserve">An article on </w:t>
      </w:r>
      <w:r>
        <w:t xml:space="preserve">the </w:t>
      </w:r>
      <w:r w:rsidRPr="007B110F">
        <w:t>United Nations General Assembly</w:t>
      </w:r>
      <w:r>
        <w:t xml:space="preserve">’s Sustainable Development Goals (SDGs) will be published in </w:t>
      </w:r>
      <w:r>
        <w:rPr>
          <w:i/>
        </w:rPr>
        <w:t xml:space="preserve">Public Libraries </w:t>
      </w:r>
      <w:r>
        <w:t>magazine to promote them to U.S. public librarians. (Hughes, Anthony)</w:t>
      </w:r>
    </w:p>
    <w:p w14:paraId="0267DFF5" w14:textId="77777777" w:rsidR="00494909" w:rsidRDefault="00494909" w:rsidP="00042364">
      <w:pPr>
        <w:spacing w:after="0" w:line="240" w:lineRule="auto"/>
        <w:rPr>
          <w:rFonts w:cstheme="minorHAnsi"/>
          <w:iCs/>
        </w:rPr>
      </w:pPr>
    </w:p>
    <w:bookmarkEnd w:id="1"/>
    <w:p w14:paraId="676311D9" w14:textId="1EA38667" w:rsidR="00042364" w:rsidRDefault="00494909" w:rsidP="00042364">
      <w:pPr>
        <w:spacing w:after="0" w:line="240" w:lineRule="auto"/>
        <w:rPr>
          <w:rFonts w:cstheme="minorHAnsi"/>
          <w:iCs/>
        </w:rPr>
      </w:pPr>
      <w:r>
        <w:rPr>
          <w:rFonts w:cstheme="minorHAnsi"/>
          <w:iCs/>
        </w:rPr>
        <w:t>STATUS:</w:t>
      </w:r>
    </w:p>
    <w:p w14:paraId="5D6DC22D" w14:textId="5186D83C" w:rsidR="00F839C0" w:rsidRDefault="008F221B" w:rsidP="00042364">
      <w:pPr>
        <w:pStyle w:val="ListParagraph"/>
        <w:numPr>
          <w:ilvl w:val="0"/>
          <w:numId w:val="2"/>
        </w:numPr>
        <w:spacing w:after="0" w:line="240" w:lineRule="auto"/>
        <w:rPr>
          <w:rFonts w:cstheme="minorHAnsi"/>
          <w:iCs/>
        </w:rPr>
      </w:pPr>
      <w:r>
        <w:rPr>
          <w:rFonts w:cstheme="minorHAnsi"/>
          <w:iCs/>
        </w:rPr>
        <w:t>IN PROCESS. Corinne Hill has been asked to draft this article but has not confirmed her intention to do so.</w:t>
      </w:r>
    </w:p>
    <w:p w14:paraId="5EB096FC" w14:textId="10AFD5E1" w:rsidR="00042364" w:rsidRDefault="00EB01C7" w:rsidP="00042364">
      <w:pPr>
        <w:pStyle w:val="ListParagraph"/>
        <w:numPr>
          <w:ilvl w:val="0"/>
          <w:numId w:val="2"/>
        </w:numPr>
        <w:spacing w:after="0" w:line="240" w:lineRule="auto"/>
        <w:rPr>
          <w:rFonts w:cstheme="minorHAnsi"/>
          <w:iCs/>
        </w:rPr>
      </w:pPr>
      <w:r w:rsidRPr="00F839C0">
        <w:rPr>
          <w:rFonts w:cstheme="minorHAnsi"/>
          <w:iCs/>
        </w:rPr>
        <w:t>IN PROCESS. Staff contacted Corinne Hill in July to request details on the 2020 IFLA/Systematic Public Library of the Year Award. The information is not yet available, and the IFLA Award web page is still showing the Call for Applications status as TBA.</w:t>
      </w:r>
    </w:p>
    <w:p w14:paraId="44ACD2E2" w14:textId="6CB4BBCF" w:rsidR="00F839C0" w:rsidRPr="00F839C0" w:rsidRDefault="008F221B" w:rsidP="00042364">
      <w:pPr>
        <w:pStyle w:val="ListParagraph"/>
        <w:numPr>
          <w:ilvl w:val="0"/>
          <w:numId w:val="2"/>
        </w:numPr>
        <w:spacing w:after="0" w:line="240" w:lineRule="auto"/>
        <w:rPr>
          <w:rFonts w:cstheme="minorHAnsi"/>
          <w:iCs/>
        </w:rPr>
      </w:pPr>
      <w:r>
        <w:rPr>
          <w:rFonts w:cstheme="minorHAnsi"/>
          <w:iCs/>
        </w:rPr>
        <w:t>IN PROCESS. Carolyn Anthony is working on the article</w:t>
      </w:r>
      <w:r w:rsidR="004C260C">
        <w:rPr>
          <w:rFonts w:cstheme="minorHAnsi"/>
          <w:iCs/>
        </w:rPr>
        <w:t>.</w:t>
      </w:r>
    </w:p>
    <w:p w14:paraId="6AEEDA06" w14:textId="77777777" w:rsidR="008A61F5" w:rsidRDefault="008A61F5"/>
    <w:sectPr w:rsidR="008A61F5" w:rsidSect="006319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1D092" w14:textId="77777777" w:rsidR="004F0DFB" w:rsidRDefault="004F0DFB">
      <w:pPr>
        <w:spacing w:after="0" w:line="240" w:lineRule="auto"/>
      </w:pPr>
      <w:r>
        <w:separator/>
      </w:r>
    </w:p>
  </w:endnote>
  <w:endnote w:type="continuationSeparator" w:id="0">
    <w:p w14:paraId="7F1A56A8" w14:textId="77777777" w:rsidR="004F0DFB" w:rsidRDefault="004F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82B5A" w14:textId="77777777" w:rsidR="004F0DFB" w:rsidRDefault="004F0DFB">
      <w:pPr>
        <w:spacing w:after="0" w:line="240" w:lineRule="auto"/>
      </w:pPr>
      <w:r>
        <w:separator/>
      </w:r>
    </w:p>
  </w:footnote>
  <w:footnote w:type="continuationSeparator" w:id="0">
    <w:p w14:paraId="3D02AA8A" w14:textId="77777777" w:rsidR="004F0DFB" w:rsidRDefault="004F0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23A1" w14:textId="77777777" w:rsidR="005E56CD" w:rsidRDefault="00494909" w:rsidP="00B915CE">
    <w:pPr>
      <w:pStyle w:val="Header"/>
      <w:jc w:val="right"/>
    </w:pPr>
    <w:r>
      <w:t>PLA Board of Directors</w:t>
    </w:r>
  </w:p>
  <w:p w14:paraId="226CA86A" w14:textId="463B90DF" w:rsidR="005E56CD" w:rsidRDefault="00494909" w:rsidP="00B915CE">
    <w:pPr>
      <w:pStyle w:val="Header"/>
      <w:jc w:val="right"/>
    </w:pPr>
    <w:r>
      <w:t xml:space="preserve">Fall </w:t>
    </w:r>
    <w:r w:rsidR="00810F26">
      <w:t xml:space="preserve">2019 </w:t>
    </w:r>
    <w:r>
      <w:t>Meeting</w:t>
    </w:r>
  </w:p>
  <w:p w14:paraId="3D85A494" w14:textId="669F8805" w:rsidR="005E56CD" w:rsidRDefault="00494909" w:rsidP="00500183">
    <w:pPr>
      <w:pStyle w:val="Header"/>
      <w:jc w:val="right"/>
    </w:pPr>
    <w:r>
      <w:t>Document no.: 20</w:t>
    </w:r>
    <w:r w:rsidR="00810F26">
      <w:t>20</w:t>
    </w:r>
    <w:r>
      <w:t>.</w:t>
    </w:r>
    <w:r w:rsidR="00DE3F38">
      <w:t>13</w:t>
    </w:r>
  </w:p>
  <w:p w14:paraId="4B0792D6" w14:textId="77777777" w:rsidR="005E56CD" w:rsidRDefault="00DE3F38" w:rsidP="005001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27E1"/>
    <w:multiLevelType w:val="hybridMultilevel"/>
    <w:tmpl w:val="7B3C2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C26FA"/>
    <w:multiLevelType w:val="hybridMultilevel"/>
    <w:tmpl w:val="B1989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64"/>
    <w:rsid w:val="00042364"/>
    <w:rsid w:val="000E235E"/>
    <w:rsid w:val="0048078B"/>
    <w:rsid w:val="00494909"/>
    <w:rsid w:val="004C260C"/>
    <w:rsid w:val="004F0DFB"/>
    <w:rsid w:val="007A1006"/>
    <w:rsid w:val="00810F26"/>
    <w:rsid w:val="00851049"/>
    <w:rsid w:val="008A61F5"/>
    <w:rsid w:val="008F221B"/>
    <w:rsid w:val="00C4597C"/>
    <w:rsid w:val="00DE3F38"/>
    <w:rsid w:val="00EB01C7"/>
    <w:rsid w:val="00F8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B179"/>
  <w15:chartTrackingRefBased/>
  <w15:docId w15:val="{EB6C8960-2AA3-4774-9632-B64483DB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3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2364"/>
    <w:pPr>
      <w:ind w:left="720"/>
      <w:contextualSpacing/>
    </w:pPr>
  </w:style>
  <w:style w:type="paragraph" w:styleId="Header">
    <w:name w:val="header"/>
    <w:basedOn w:val="Normal"/>
    <w:link w:val="HeaderChar"/>
    <w:uiPriority w:val="99"/>
    <w:unhideWhenUsed/>
    <w:rsid w:val="0004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364"/>
  </w:style>
  <w:style w:type="character" w:customStyle="1" w:styleId="ListParagraphChar">
    <w:name w:val="List Paragraph Char"/>
    <w:link w:val="ListParagraph"/>
    <w:uiPriority w:val="34"/>
    <w:locked/>
    <w:rsid w:val="00042364"/>
  </w:style>
  <w:style w:type="character" w:styleId="CommentReference">
    <w:name w:val="annotation reference"/>
    <w:basedOn w:val="DefaultParagraphFont"/>
    <w:uiPriority w:val="99"/>
    <w:semiHidden/>
    <w:unhideWhenUsed/>
    <w:rsid w:val="00F839C0"/>
    <w:rPr>
      <w:sz w:val="16"/>
      <w:szCs w:val="16"/>
    </w:rPr>
  </w:style>
  <w:style w:type="paragraph" w:styleId="CommentText">
    <w:name w:val="annotation text"/>
    <w:basedOn w:val="Normal"/>
    <w:link w:val="CommentTextChar"/>
    <w:uiPriority w:val="99"/>
    <w:semiHidden/>
    <w:unhideWhenUsed/>
    <w:rsid w:val="00F839C0"/>
    <w:pPr>
      <w:spacing w:line="240" w:lineRule="auto"/>
    </w:pPr>
    <w:rPr>
      <w:sz w:val="20"/>
      <w:szCs w:val="20"/>
    </w:rPr>
  </w:style>
  <w:style w:type="character" w:customStyle="1" w:styleId="CommentTextChar">
    <w:name w:val="Comment Text Char"/>
    <w:basedOn w:val="DefaultParagraphFont"/>
    <w:link w:val="CommentText"/>
    <w:uiPriority w:val="99"/>
    <w:semiHidden/>
    <w:rsid w:val="00F839C0"/>
    <w:rPr>
      <w:sz w:val="20"/>
      <w:szCs w:val="20"/>
    </w:rPr>
  </w:style>
  <w:style w:type="paragraph" w:styleId="CommentSubject">
    <w:name w:val="annotation subject"/>
    <w:basedOn w:val="CommentText"/>
    <w:next w:val="CommentText"/>
    <w:link w:val="CommentSubjectChar"/>
    <w:uiPriority w:val="99"/>
    <w:semiHidden/>
    <w:unhideWhenUsed/>
    <w:rsid w:val="00F839C0"/>
    <w:rPr>
      <w:b/>
      <w:bCs/>
    </w:rPr>
  </w:style>
  <w:style w:type="character" w:customStyle="1" w:styleId="CommentSubjectChar">
    <w:name w:val="Comment Subject Char"/>
    <w:basedOn w:val="CommentTextChar"/>
    <w:link w:val="CommentSubject"/>
    <w:uiPriority w:val="99"/>
    <w:semiHidden/>
    <w:rsid w:val="00F839C0"/>
    <w:rPr>
      <w:b/>
      <w:bCs/>
      <w:sz w:val="20"/>
      <w:szCs w:val="20"/>
    </w:rPr>
  </w:style>
  <w:style w:type="paragraph" w:styleId="BalloonText">
    <w:name w:val="Balloon Text"/>
    <w:basedOn w:val="Normal"/>
    <w:link w:val="BalloonTextChar"/>
    <w:uiPriority w:val="99"/>
    <w:semiHidden/>
    <w:unhideWhenUsed/>
    <w:rsid w:val="00F83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9C0"/>
    <w:rPr>
      <w:rFonts w:ascii="Segoe UI" w:hAnsi="Segoe UI" w:cs="Segoe UI"/>
      <w:sz w:val="18"/>
      <w:szCs w:val="18"/>
    </w:rPr>
  </w:style>
  <w:style w:type="paragraph" w:styleId="Footer">
    <w:name w:val="footer"/>
    <w:basedOn w:val="Normal"/>
    <w:link w:val="FooterChar"/>
    <w:uiPriority w:val="99"/>
    <w:unhideWhenUsed/>
    <w:rsid w:val="00810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12</cp:revision>
  <dcterms:created xsi:type="dcterms:W3CDTF">2019-10-01T13:52:00Z</dcterms:created>
  <dcterms:modified xsi:type="dcterms:W3CDTF">2019-10-11T14:06:00Z</dcterms:modified>
</cp:coreProperties>
</file>