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DD44F" w14:textId="77777777" w:rsidR="00B76E1A" w:rsidRPr="00B76E1A" w:rsidRDefault="00B76E1A" w:rsidP="00B76E1A">
      <w:pPr>
        <w:spacing w:after="0" w:line="240" w:lineRule="auto"/>
        <w:rPr>
          <w:bCs/>
        </w:rPr>
      </w:pPr>
      <w:r w:rsidRPr="00B76E1A">
        <w:rPr>
          <w:b/>
        </w:rPr>
        <w:t xml:space="preserve">TO: </w:t>
      </w:r>
      <w:r w:rsidRPr="00B76E1A">
        <w:rPr>
          <w:b/>
        </w:rPr>
        <w:tab/>
      </w:r>
      <w:r w:rsidRPr="00B76E1A">
        <w:rPr>
          <w:b/>
        </w:rPr>
        <w:tab/>
      </w:r>
      <w:r w:rsidRPr="00B76E1A">
        <w:rPr>
          <w:bCs/>
        </w:rPr>
        <w:t>PLA Board of Directors</w:t>
      </w:r>
    </w:p>
    <w:p w14:paraId="5E56BD61" w14:textId="594C0295" w:rsidR="00B76E1A" w:rsidRPr="00B76E1A" w:rsidRDefault="00B76E1A" w:rsidP="00B76E1A">
      <w:pPr>
        <w:spacing w:after="0" w:line="240" w:lineRule="auto"/>
      </w:pPr>
      <w:r w:rsidRPr="00B76E1A">
        <w:rPr>
          <w:b/>
        </w:rPr>
        <w:t>RE:</w:t>
      </w:r>
      <w:r w:rsidRPr="00B76E1A">
        <w:tab/>
      </w:r>
      <w:r w:rsidRPr="00B76E1A">
        <w:tab/>
      </w:r>
      <w:r>
        <w:t>FY20 Budget Status</w:t>
      </w:r>
    </w:p>
    <w:p w14:paraId="249CFE53" w14:textId="6CA5F4FC" w:rsidR="00B76E1A" w:rsidRPr="00B76E1A" w:rsidRDefault="00B76E1A" w:rsidP="00B76E1A">
      <w:pPr>
        <w:spacing w:after="0" w:line="240" w:lineRule="auto"/>
      </w:pPr>
      <w:r w:rsidRPr="00B76E1A">
        <w:rPr>
          <w:b/>
        </w:rPr>
        <w:t>DATE:</w:t>
      </w:r>
      <w:r w:rsidRPr="00B76E1A">
        <w:tab/>
      </w:r>
      <w:r w:rsidRPr="00B76E1A">
        <w:tab/>
      </w:r>
      <w:r w:rsidR="003C15AC">
        <w:t>May 22, 2019</w:t>
      </w:r>
    </w:p>
    <w:p w14:paraId="35D58A39" w14:textId="77777777" w:rsidR="00B76E1A" w:rsidRPr="00B76E1A" w:rsidRDefault="00B76E1A" w:rsidP="00B76E1A">
      <w:pPr>
        <w:spacing w:after="0" w:line="240" w:lineRule="auto"/>
      </w:pPr>
    </w:p>
    <w:p w14:paraId="5C247EE7" w14:textId="77777777" w:rsidR="00B76E1A" w:rsidRPr="00B76E1A" w:rsidRDefault="00B76E1A" w:rsidP="00B76E1A">
      <w:pPr>
        <w:spacing w:after="0" w:line="240" w:lineRule="auto"/>
        <w:rPr>
          <w:b/>
        </w:rPr>
      </w:pPr>
      <w:r w:rsidRPr="00B76E1A">
        <w:rPr>
          <w:b/>
        </w:rPr>
        <w:t>ACTION REQUESTED/INFORMATION/REPORT:</w:t>
      </w:r>
    </w:p>
    <w:p w14:paraId="7F2547B8" w14:textId="50E0D386" w:rsidR="00B76E1A" w:rsidRPr="00B76E1A" w:rsidRDefault="00EC0317" w:rsidP="00B76E1A">
      <w:pPr>
        <w:spacing w:after="0" w:line="240" w:lineRule="auto"/>
        <w:ind w:firstLine="720"/>
      </w:pPr>
      <w:r>
        <w:t>ACTION</w:t>
      </w:r>
    </w:p>
    <w:p w14:paraId="50FD47BA" w14:textId="015885A9" w:rsidR="00B76E1A" w:rsidRPr="00B76E1A" w:rsidRDefault="00B76E1A" w:rsidP="00391876">
      <w:pPr>
        <w:spacing w:after="0" w:line="240" w:lineRule="auto"/>
      </w:pPr>
      <w:r w:rsidRPr="00B76E1A">
        <w:rPr>
          <w:b/>
        </w:rPr>
        <w:t>ACTION REQUESTED BY:</w:t>
      </w:r>
      <w:r w:rsidRPr="00B76E1A">
        <w:rPr>
          <w:b/>
        </w:rPr>
        <w:tab/>
      </w:r>
      <w:r w:rsidRPr="00B76E1A">
        <w:t>N/A</w:t>
      </w:r>
    </w:p>
    <w:p w14:paraId="12AB160D" w14:textId="4D3BCE76" w:rsidR="00B76E1A" w:rsidRDefault="00B76E1A" w:rsidP="00391876">
      <w:pPr>
        <w:spacing w:after="0" w:line="240" w:lineRule="auto"/>
      </w:pPr>
      <w:r w:rsidRPr="00B76E1A">
        <w:rPr>
          <w:b/>
        </w:rPr>
        <w:t>DRAFT OF MOTION:</w:t>
      </w:r>
      <w:r w:rsidR="00391876">
        <w:rPr>
          <w:b/>
        </w:rPr>
        <w:tab/>
      </w:r>
      <w:r w:rsidR="00391876">
        <w:rPr>
          <w:b/>
        </w:rPr>
        <w:tab/>
      </w:r>
    </w:p>
    <w:p w14:paraId="7FC7E26C" w14:textId="5AD84145" w:rsidR="00EC0317" w:rsidRPr="00B76E1A" w:rsidRDefault="00EC0317" w:rsidP="00391876">
      <w:pPr>
        <w:spacing w:after="0" w:line="240" w:lineRule="auto"/>
      </w:pPr>
      <w:r>
        <w:t xml:space="preserve">That the PLA Board accept the recommendation of PLA Budget &amp; Finance Committee to approve the FY20 budget as presented with the understanding that PLA has the option to revise the budget till September 16, when ALA locks budgets ahead of the ALA board’s October meeting to approve the entire ALA budget for FY20.  </w:t>
      </w:r>
    </w:p>
    <w:p w14:paraId="5CBB209B" w14:textId="77777777" w:rsidR="00F47C2C" w:rsidRDefault="00F47C2C" w:rsidP="00B76E1A">
      <w:pPr>
        <w:spacing w:after="0" w:line="240" w:lineRule="auto"/>
      </w:pPr>
    </w:p>
    <w:p w14:paraId="5DC6577D" w14:textId="77777777" w:rsidR="00EC0317" w:rsidRDefault="00EC0317" w:rsidP="00B76E1A">
      <w:pPr>
        <w:spacing w:after="0" w:line="240" w:lineRule="auto"/>
      </w:pPr>
    </w:p>
    <w:p w14:paraId="6BE47D1F" w14:textId="77777777" w:rsidR="00EC0317" w:rsidRPr="00EC0317" w:rsidRDefault="00EC0317" w:rsidP="00B76E1A">
      <w:pPr>
        <w:spacing w:after="0" w:line="240" w:lineRule="auto"/>
        <w:rPr>
          <w:u w:val="single"/>
        </w:rPr>
      </w:pPr>
      <w:r w:rsidRPr="00EC0317">
        <w:rPr>
          <w:u w:val="single"/>
        </w:rPr>
        <w:t>FY20 Budget Overview</w:t>
      </w:r>
    </w:p>
    <w:p w14:paraId="77290527" w14:textId="630C59F8" w:rsidR="00B76E1A" w:rsidRDefault="00B76E1A" w:rsidP="00B76E1A">
      <w:pPr>
        <w:spacing w:after="0" w:line="240" w:lineRule="auto"/>
      </w:pPr>
      <w:r>
        <w:t>In accordance with ALA’s budgeting deadlines, PLA has completed a</w:t>
      </w:r>
      <w:r w:rsidR="0063336E">
        <w:t xml:space="preserve"> </w:t>
      </w:r>
      <w:r w:rsidR="003C15AC">
        <w:t>second</w:t>
      </w:r>
      <w:r w:rsidR="001B1E75">
        <w:t xml:space="preserve"> draft</w:t>
      </w:r>
      <w:r w:rsidR="00F03950">
        <w:t xml:space="preserve"> </w:t>
      </w:r>
      <w:r w:rsidR="0063336E">
        <w:t xml:space="preserve">of </w:t>
      </w:r>
      <w:r>
        <w:t>its</w:t>
      </w:r>
      <w:r w:rsidR="0063336E">
        <w:t xml:space="preserve"> </w:t>
      </w:r>
      <w:r w:rsidR="007302EF">
        <w:t>FY20</w:t>
      </w:r>
      <w:r w:rsidR="00784F0E">
        <w:t>20</w:t>
      </w:r>
      <w:r w:rsidR="001B1E75">
        <w:t xml:space="preserve"> </w:t>
      </w:r>
      <w:r w:rsidR="007302EF">
        <w:t>(September 1, 201</w:t>
      </w:r>
      <w:r w:rsidR="00784F0E">
        <w:t>9</w:t>
      </w:r>
      <w:r w:rsidR="007302EF">
        <w:t>-August 31, 20</w:t>
      </w:r>
      <w:r w:rsidR="00784F0E">
        <w:t>20</w:t>
      </w:r>
      <w:r w:rsidR="00BA3DF0">
        <w:t>)</w:t>
      </w:r>
      <w:r w:rsidR="00C66F39">
        <w:t xml:space="preserve"> </w:t>
      </w:r>
      <w:r w:rsidR="0063336E">
        <w:t xml:space="preserve">PLA budget.  </w:t>
      </w:r>
      <w:r>
        <w:t xml:space="preserve">A summary by project is </w:t>
      </w:r>
      <w:r w:rsidR="00F47C2C">
        <w:t>attached to this report.</w:t>
      </w:r>
    </w:p>
    <w:p w14:paraId="2F131AA6" w14:textId="0AF214D8" w:rsidR="00B76E1A" w:rsidRDefault="00B76E1A" w:rsidP="00B76E1A">
      <w:pPr>
        <w:spacing w:after="0" w:line="240" w:lineRule="auto"/>
      </w:pPr>
    </w:p>
    <w:tbl>
      <w:tblPr>
        <w:tblStyle w:val="TableGrid"/>
        <w:tblW w:w="0" w:type="auto"/>
        <w:tblInd w:w="828" w:type="dxa"/>
        <w:tblLook w:val="04A0" w:firstRow="1" w:lastRow="0" w:firstColumn="1" w:lastColumn="0" w:noHBand="0" w:noVBand="1"/>
      </w:tblPr>
      <w:tblGrid>
        <w:gridCol w:w="1530"/>
        <w:gridCol w:w="1590"/>
        <w:gridCol w:w="1590"/>
        <w:gridCol w:w="1590"/>
        <w:gridCol w:w="1590"/>
      </w:tblGrid>
      <w:tr w:rsidR="003C15AC" w:rsidRPr="00B76E1A" w14:paraId="3F0E13E7" w14:textId="77777777" w:rsidTr="003C15AC">
        <w:tc>
          <w:tcPr>
            <w:tcW w:w="1530" w:type="dxa"/>
          </w:tcPr>
          <w:p w14:paraId="6961BDFB" w14:textId="56B78814" w:rsidR="003C15AC" w:rsidRPr="00B76E1A" w:rsidRDefault="003C15AC" w:rsidP="00B76E1A">
            <w:pPr>
              <w:rPr>
                <w:b/>
              </w:rPr>
            </w:pPr>
            <w:r w:rsidRPr="00B76E1A">
              <w:rPr>
                <w:b/>
              </w:rPr>
              <w:t>Projects</w:t>
            </w:r>
          </w:p>
        </w:tc>
        <w:tc>
          <w:tcPr>
            <w:tcW w:w="1590" w:type="dxa"/>
          </w:tcPr>
          <w:p w14:paraId="65C23AB2" w14:textId="6107DC26" w:rsidR="003C15AC" w:rsidRPr="00B76E1A" w:rsidRDefault="003C15AC" w:rsidP="00B76E1A">
            <w:pPr>
              <w:rPr>
                <w:b/>
              </w:rPr>
            </w:pPr>
            <w:r w:rsidRPr="00B76E1A">
              <w:rPr>
                <w:b/>
              </w:rPr>
              <w:t xml:space="preserve">Revenue </w:t>
            </w:r>
          </w:p>
        </w:tc>
        <w:tc>
          <w:tcPr>
            <w:tcW w:w="1590" w:type="dxa"/>
          </w:tcPr>
          <w:p w14:paraId="6752A9CF" w14:textId="13C6000D" w:rsidR="003C15AC" w:rsidRPr="00B76E1A" w:rsidRDefault="003C15AC" w:rsidP="00B76E1A">
            <w:pPr>
              <w:rPr>
                <w:b/>
              </w:rPr>
            </w:pPr>
            <w:r w:rsidRPr="00B76E1A">
              <w:rPr>
                <w:b/>
              </w:rPr>
              <w:t>Expenses</w:t>
            </w:r>
          </w:p>
        </w:tc>
        <w:tc>
          <w:tcPr>
            <w:tcW w:w="1590" w:type="dxa"/>
          </w:tcPr>
          <w:p w14:paraId="0CE59DA0" w14:textId="27096DD3" w:rsidR="003C15AC" w:rsidRPr="00B76E1A" w:rsidRDefault="003C15AC" w:rsidP="00B76E1A">
            <w:pPr>
              <w:rPr>
                <w:b/>
              </w:rPr>
            </w:pPr>
            <w:r>
              <w:rPr>
                <w:b/>
              </w:rPr>
              <w:t>Overhead</w:t>
            </w:r>
          </w:p>
        </w:tc>
        <w:tc>
          <w:tcPr>
            <w:tcW w:w="1590" w:type="dxa"/>
          </w:tcPr>
          <w:p w14:paraId="694960A9" w14:textId="767BF7FD" w:rsidR="003C15AC" w:rsidRPr="00B76E1A" w:rsidRDefault="003C15AC" w:rsidP="00B76E1A">
            <w:pPr>
              <w:rPr>
                <w:b/>
              </w:rPr>
            </w:pPr>
            <w:r w:rsidRPr="00B76E1A">
              <w:rPr>
                <w:b/>
              </w:rPr>
              <w:t>Net</w:t>
            </w:r>
          </w:p>
        </w:tc>
      </w:tr>
      <w:tr w:rsidR="003C15AC" w14:paraId="756B8839" w14:textId="77777777" w:rsidTr="003C15AC">
        <w:tc>
          <w:tcPr>
            <w:tcW w:w="1530" w:type="dxa"/>
          </w:tcPr>
          <w:p w14:paraId="1A1E5CF6" w14:textId="7F496673" w:rsidR="003C15AC" w:rsidRDefault="003C15AC" w:rsidP="00B76E1A">
            <w:r>
              <w:t>General Fund</w:t>
            </w:r>
          </w:p>
        </w:tc>
        <w:tc>
          <w:tcPr>
            <w:tcW w:w="1590" w:type="dxa"/>
          </w:tcPr>
          <w:p w14:paraId="19E10D41" w14:textId="2B421A81" w:rsidR="003C15AC" w:rsidRDefault="003C15AC" w:rsidP="003C4E66">
            <w:pPr>
              <w:jc w:val="right"/>
            </w:pPr>
            <w:r>
              <w:t>$1,006,250</w:t>
            </w:r>
          </w:p>
        </w:tc>
        <w:tc>
          <w:tcPr>
            <w:tcW w:w="1590" w:type="dxa"/>
          </w:tcPr>
          <w:p w14:paraId="69C63FD1" w14:textId="35F20EC2" w:rsidR="003C15AC" w:rsidRDefault="003C15AC" w:rsidP="003C4E66">
            <w:pPr>
              <w:jc w:val="right"/>
            </w:pPr>
            <w:r>
              <w:t>$1,596,913</w:t>
            </w:r>
          </w:p>
        </w:tc>
        <w:tc>
          <w:tcPr>
            <w:tcW w:w="1590" w:type="dxa"/>
          </w:tcPr>
          <w:p w14:paraId="2F2E1C73" w14:textId="6615C913" w:rsidR="003C15AC" w:rsidRDefault="003C15AC" w:rsidP="003C4E66">
            <w:pPr>
              <w:jc w:val="right"/>
            </w:pPr>
            <w:r>
              <w:t>$66,613</w:t>
            </w:r>
          </w:p>
        </w:tc>
        <w:tc>
          <w:tcPr>
            <w:tcW w:w="1590" w:type="dxa"/>
          </w:tcPr>
          <w:p w14:paraId="758B2085" w14:textId="6CCFCEE4" w:rsidR="003C15AC" w:rsidRDefault="003C15AC" w:rsidP="003C4E66">
            <w:pPr>
              <w:jc w:val="right"/>
            </w:pPr>
            <w:r>
              <w:t>$657,276</w:t>
            </w:r>
          </w:p>
        </w:tc>
      </w:tr>
      <w:tr w:rsidR="003C15AC" w14:paraId="7A5DC590" w14:textId="77777777" w:rsidTr="003C15AC">
        <w:tc>
          <w:tcPr>
            <w:tcW w:w="1530" w:type="dxa"/>
          </w:tcPr>
          <w:p w14:paraId="3955E0ED" w14:textId="13219282" w:rsidR="003C15AC" w:rsidRDefault="003C15AC" w:rsidP="00B76E1A">
            <w:r>
              <w:t>Conference</w:t>
            </w:r>
          </w:p>
        </w:tc>
        <w:tc>
          <w:tcPr>
            <w:tcW w:w="1590" w:type="dxa"/>
          </w:tcPr>
          <w:p w14:paraId="2EA2C56E" w14:textId="1F0F0EEF" w:rsidR="003C15AC" w:rsidRDefault="003C15AC" w:rsidP="003C4E66">
            <w:pPr>
              <w:jc w:val="right"/>
            </w:pPr>
            <w:r>
              <w:t>$3,712,365</w:t>
            </w:r>
          </w:p>
        </w:tc>
        <w:tc>
          <w:tcPr>
            <w:tcW w:w="1590" w:type="dxa"/>
          </w:tcPr>
          <w:p w14:paraId="357CE4ED" w14:textId="0915711A" w:rsidR="003C15AC" w:rsidRDefault="003C15AC" w:rsidP="003C4E66">
            <w:pPr>
              <w:jc w:val="right"/>
            </w:pPr>
            <w:r>
              <w:t>$1,850,476</w:t>
            </w:r>
          </w:p>
        </w:tc>
        <w:tc>
          <w:tcPr>
            <w:tcW w:w="1590" w:type="dxa"/>
          </w:tcPr>
          <w:p w14:paraId="63D6F5AD" w14:textId="7B40FDBB" w:rsidR="003C15AC" w:rsidRDefault="003C15AC" w:rsidP="003C4E66">
            <w:pPr>
              <w:jc w:val="right"/>
            </w:pPr>
            <w:r>
              <w:t>$874,730</w:t>
            </w:r>
          </w:p>
        </w:tc>
        <w:tc>
          <w:tcPr>
            <w:tcW w:w="1590" w:type="dxa"/>
          </w:tcPr>
          <w:p w14:paraId="13673B61" w14:textId="170632C9" w:rsidR="003C15AC" w:rsidRDefault="003C15AC" w:rsidP="003C4E66">
            <w:pPr>
              <w:jc w:val="right"/>
            </w:pPr>
            <w:r>
              <w:t>$987,159</w:t>
            </w:r>
          </w:p>
        </w:tc>
      </w:tr>
      <w:tr w:rsidR="003C15AC" w14:paraId="20F33664" w14:textId="77777777" w:rsidTr="003C15AC">
        <w:tc>
          <w:tcPr>
            <w:tcW w:w="1530" w:type="dxa"/>
          </w:tcPr>
          <w:p w14:paraId="7A711088" w14:textId="05596F82" w:rsidR="003C15AC" w:rsidRDefault="003C15AC" w:rsidP="00B76E1A">
            <w:r>
              <w:t>Grants</w:t>
            </w:r>
          </w:p>
        </w:tc>
        <w:tc>
          <w:tcPr>
            <w:tcW w:w="1590" w:type="dxa"/>
          </w:tcPr>
          <w:p w14:paraId="5E942EE9" w14:textId="380B5777" w:rsidR="003C15AC" w:rsidRDefault="003C15AC" w:rsidP="003C4E66">
            <w:pPr>
              <w:jc w:val="right"/>
            </w:pPr>
            <w:r>
              <w:t>$1,624,032</w:t>
            </w:r>
          </w:p>
        </w:tc>
        <w:tc>
          <w:tcPr>
            <w:tcW w:w="1590" w:type="dxa"/>
          </w:tcPr>
          <w:p w14:paraId="75D88412" w14:textId="1ABE1417" w:rsidR="003C15AC" w:rsidRDefault="003C15AC" w:rsidP="003C4E66">
            <w:pPr>
              <w:jc w:val="right"/>
            </w:pPr>
            <w:r>
              <w:t>$1,579,760</w:t>
            </w:r>
          </w:p>
        </w:tc>
        <w:tc>
          <w:tcPr>
            <w:tcW w:w="1590" w:type="dxa"/>
          </w:tcPr>
          <w:p w14:paraId="1CC3EB8A" w14:textId="0752E759" w:rsidR="003C15AC" w:rsidRDefault="003C15AC" w:rsidP="003C4E66">
            <w:pPr>
              <w:jc w:val="right"/>
            </w:pPr>
            <w:r>
              <w:t>$44,272</w:t>
            </w:r>
          </w:p>
        </w:tc>
        <w:tc>
          <w:tcPr>
            <w:tcW w:w="1590" w:type="dxa"/>
          </w:tcPr>
          <w:p w14:paraId="0E4FA82B" w14:textId="489BD194" w:rsidR="003C15AC" w:rsidRDefault="003C15AC" w:rsidP="003C4E66">
            <w:pPr>
              <w:jc w:val="right"/>
            </w:pPr>
            <w:r>
              <w:t>$0</w:t>
            </w:r>
          </w:p>
        </w:tc>
      </w:tr>
      <w:tr w:rsidR="003C15AC" w:rsidRPr="003C4E66" w14:paraId="153E6325" w14:textId="77777777" w:rsidTr="003C15AC">
        <w:tc>
          <w:tcPr>
            <w:tcW w:w="1530" w:type="dxa"/>
          </w:tcPr>
          <w:p w14:paraId="50176CE4" w14:textId="1F2CF17B" w:rsidR="003C15AC" w:rsidRPr="003C4E66" w:rsidRDefault="003C15AC" w:rsidP="00B76E1A">
            <w:pPr>
              <w:jc w:val="right"/>
              <w:rPr>
                <w:b/>
              </w:rPr>
            </w:pPr>
            <w:r w:rsidRPr="003C4E66">
              <w:rPr>
                <w:b/>
              </w:rPr>
              <w:t>TOTALS</w:t>
            </w:r>
          </w:p>
        </w:tc>
        <w:tc>
          <w:tcPr>
            <w:tcW w:w="1590" w:type="dxa"/>
          </w:tcPr>
          <w:p w14:paraId="2DB95101" w14:textId="2BFE8D5A" w:rsidR="003C15AC" w:rsidRPr="003C4E66" w:rsidRDefault="003C15AC" w:rsidP="003C4E66">
            <w:pPr>
              <w:jc w:val="right"/>
              <w:rPr>
                <w:b/>
              </w:rPr>
            </w:pPr>
            <w:r>
              <w:rPr>
                <w:b/>
              </w:rPr>
              <w:t>$6,342,647</w:t>
            </w:r>
          </w:p>
        </w:tc>
        <w:tc>
          <w:tcPr>
            <w:tcW w:w="1590" w:type="dxa"/>
          </w:tcPr>
          <w:p w14:paraId="3965559A" w14:textId="1E040199" w:rsidR="003C15AC" w:rsidRPr="003C4E66" w:rsidRDefault="003C15AC" w:rsidP="003C4E66">
            <w:pPr>
              <w:jc w:val="right"/>
              <w:rPr>
                <w:b/>
              </w:rPr>
            </w:pPr>
            <w:r>
              <w:rPr>
                <w:b/>
              </w:rPr>
              <w:t>$5,027,149</w:t>
            </w:r>
          </w:p>
        </w:tc>
        <w:tc>
          <w:tcPr>
            <w:tcW w:w="1590" w:type="dxa"/>
          </w:tcPr>
          <w:p w14:paraId="7EA2FCCD" w14:textId="1281F0EA" w:rsidR="003C15AC" w:rsidRDefault="003C15AC" w:rsidP="003C4E66">
            <w:pPr>
              <w:jc w:val="right"/>
              <w:rPr>
                <w:b/>
              </w:rPr>
            </w:pPr>
            <w:r>
              <w:rPr>
                <w:b/>
              </w:rPr>
              <w:t>$985,615</w:t>
            </w:r>
          </w:p>
        </w:tc>
        <w:tc>
          <w:tcPr>
            <w:tcW w:w="1590" w:type="dxa"/>
          </w:tcPr>
          <w:p w14:paraId="7F91BE4C" w14:textId="701A4AB5" w:rsidR="003C15AC" w:rsidRPr="003C4E66" w:rsidRDefault="003C15AC" w:rsidP="003C4E66">
            <w:pPr>
              <w:jc w:val="right"/>
              <w:rPr>
                <w:b/>
              </w:rPr>
            </w:pPr>
            <w:r>
              <w:rPr>
                <w:b/>
              </w:rPr>
              <w:t>$329,883</w:t>
            </w:r>
          </w:p>
        </w:tc>
      </w:tr>
    </w:tbl>
    <w:p w14:paraId="055CA62F" w14:textId="77777777" w:rsidR="00F47C2C" w:rsidRDefault="00F47C2C" w:rsidP="00F47C2C">
      <w:pPr>
        <w:spacing w:after="0" w:line="240" w:lineRule="auto"/>
      </w:pPr>
    </w:p>
    <w:p w14:paraId="20B52139" w14:textId="3A30E89C" w:rsidR="00683EA4" w:rsidRDefault="00683EA4" w:rsidP="00F47C2C">
      <w:pPr>
        <w:spacing w:after="0" w:line="240" w:lineRule="auto"/>
      </w:pPr>
      <w:r>
        <w:t xml:space="preserve">Revisions since the PLA board met in the spring include addition of spend-down funding for new projects (see below), and some refinements to </w:t>
      </w:r>
      <w:r w:rsidR="00391876">
        <w:t>the budgets</w:t>
      </w:r>
      <w:r>
        <w:t xml:space="preserve"> for Public Libraries magazine, DigitalLearn.org, and the PLA 2020 Conference, </w:t>
      </w:r>
      <w:r w:rsidR="00391876">
        <w:t xml:space="preserve">all of </w:t>
      </w:r>
      <w:r>
        <w:t xml:space="preserve">which added expenses </w:t>
      </w:r>
      <w:r w:rsidR="00391876">
        <w:t>and reduced total net for FY20.</w:t>
      </w:r>
    </w:p>
    <w:p w14:paraId="2124CF2C" w14:textId="77777777" w:rsidR="00391876" w:rsidRDefault="00391876" w:rsidP="00F47C2C">
      <w:pPr>
        <w:spacing w:after="0" w:line="240" w:lineRule="auto"/>
      </w:pPr>
    </w:p>
    <w:p w14:paraId="753C6558" w14:textId="46C8CEDF" w:rsidR="003C15AC" w:rsidRDefault="00F47C2C" w:rsidP="00F47C2C">
      <w:pPr>
        <w:spacing w:after="0" w:line="240" w:lineRule="auto"/>
      </w:pPr>
      <w:r>
        <w:t>We are projecting a net loss in our general fund projects of about $</w:t>
      </w:r>
      <w:r w:rsidR="003C15AC">
        <w:t>657</w:t>
      </w:r>
      <w:r>
        <w:t>,000</w:t>
      </w:r>
      <w:r w:rsidR="003C15AC">
        <w:t>. This is higher than previous years due to the tentative decision to make investments in new and expanded projects, helping to spend down our fund balance predicted to be approximately $3 million at the end of FY19. Specifically budgeted since the spring 2019 PLA board meeting are the following: $75,000 for a sustainability consultant, $25,000 to develop a plan to grow our EDISJ and leadership work; $25,000 for communications support to develop messaging/marketing to help libraries sell themselves;</w:t>
      </w:r>
      <w:r w:rsidR="00683EA4">
        <w:t xml:space="preserve"> and </w:t>
      </w:r>
      <w:r w:rsidR="003C15AC">
        <w:t>$35,000 for a speaker/facilitator training initiative.</w:t>
      </w:r>
    </w:p>
    <w:p w14:paraId="51324F15" w14:textId="77777777" w:rsidR="003C15AC" w:rsidRDefault="003C15AC" w:rsidP="00F47C2C">
      <w:pPr>
        <w:spacing w:after="0" w:line="240" w:lineRule="auto"/>
      </w:pPr>
    </w:p>
    <w:p w14:paraId="3D59429D" w14:textId="22248C02" w:rsidR="00F47C2C" w:rsidRDefault="00F47C2C" w:rsidP="00F47C2C">
      <w:pPr>
        <w:spacing w:after="0" w:line="240" w:lineRule="auto"/>
      </w:pPr>
      <w:r>
        <w:t>FY20 is a PLA conference year</w:t>
      </w:r>
      <w:r w:rsidR="00E31F7E">
        <w:t xml:space="preserve">, </w:t>
      </w:r>
      <w:r>
        <w:t>and the conference is our primary revenue generator. Using actuals from past years and anticipated expenses based on Nashville contracts and costs, we estimate net revenue for conference to be about $987,000. This is slightly lower than previous years, however the budget</w:t>
      </w:r>
      <w:r w:rsidR="00E31F7E">
        <w:t xml:space="preserve"> is conservative. It</w:t>
      </w:r>
      <w:r>
        <w:t xml:space="preserve"> includes over $500,000 for entertainment</w:t>
      </w:r>
      <w:r w:rsidR="00E31F7E">
        <w:t xml:space="preserve"> (bi</w:t>
      </w:r>
      <w:r>
        <w:t>g name speakers</w:t>
      </w:r>
      <w:r w:rsidR="00E31F7E">
        <w:t>)</w:t>
      </w:r>
      <w:r>
        <w:t xml:space="preserve"> and </w:t>
      </w:r>
      <w:r w:rsidR="00E31F7E">
        <w:t>certain</w:t>
      </w:r>
      <w:r>
        <w:t xml:space="preserve"> other costs, such as $40,000 for shuttle buses, which may not be needed.</w:t>
      </w:r>
    </w:p>
    <w:p w14:paraId="1A87091E" w14:textId="2143FFFF" w:rsidR="00F47C2C" w:rsidRDefault="00F47C2C" w:rsidP="00F47C2C">
      <w:pPr>
        <w:spacing w:after="0" w:line="240" w:lineRule="auto"/>
      </w:pPr>
    </w:p>
    <w:p w14:paraId="48C095BB" w14:textId="54E7343C" w:rsidR="00E31F7E" w:rsidRDefault="00E31F7E" w:rsidP="00F47C2C">
      <w:pPr>
        <w:spacing w:after="0" w:line="240" w:lineRule="auto"/>
      </w:pPr>
      <w:r>
        <w:t>PLA will spend about $1.</w:t>
      </w:r>
      <w:r w:rsidR="00683EA4">
        <w:t>6</w:t>
      </w:r>
      <w:r>
        <w:t xml:space="preserve"> million in grants</w:t>
      </w:r>
      <w:r w:rsidR="00683EA4">
        <w:t>. N</w:t>
      </w:r>
      <w:r>
        <w:t xml:space="preserve">early </w:t>
      </w:r>
      <w:r w:rsidR="00683EA4">
        <w:t xml:space="preserve">$1.2 million of that amount will be spent from </w:t>
      </w:r>
      <w:r>
        <w:t>the Gates Foundation general operating grant received in 2017</w:t>
      </w:r>
      <w:r w:rsidR="00683EA4">
        <w:t>, which will support about 9 FTE staff positions, initial work to create a centralized data collection and management system for PLA and the field, and other costs such as travel, meeting expenses, and staff development</w:t>
      </w:r>
      <w:r>
        <w:t xml:space="preserve">. PLA will spend down this grant before spending any additional funds from the legacy grant. </w:t>
      </w:r>
      <w:r w:rsidR="00683EA4">
        <w:t>The remaining $400,000 in grants is split between the final expenses for the A</w:t>
      </w:r>
      <w:r>
        <w:t>frican Leadership Training Grant</w:t>
      </w:r>
      <w:r w:rsidR="00683EA4">
        <w:t xml:space="preserve"> and the new Microsoft Philanthropies project. Nothing is confirmed for other projects such as the health, insurance enrollment, and internship programs, so nothing has been budgeted for FY20.</w:t>
      </w:r>
    </w:p>
    <w:p w14:paraId="3F204040" w14:textId="77777777" w:rsidR="00E31F7E" w:rsidRDefault="00E31F7E" w:rsidP="00F47C2C">
      <w:pPr>
        <w:spacing w:after="0" w:line="240" w:lineRule="auto"/>
      </w:pPr>
    </w:p>
    <w:p w14:paraId="6F40D98B" w14:textId="75780F50" w:rsidR="00EC0317" w:rsidRDefault="00F47C2C" w:rsidP="00B76E1A">
      <w:pPr>
        <w:spacing w:after="0" w:line="240" w:lineRule="auto"/>
      </w:pPr>
      <w:r>
        <w:t xml:space="preserve">ALA will </w:t>
      </w:r>
      <w:proofErr w:type="gramStart"/>
      <w:r>
        <w:t>open up</w:t>
      </w:r>
      <w:proofErr w:type="gramEnd"/>
      <w:r>
        <w:t xml:space="preserve"> the FY20 budget for final revision in late summer. PLA’s FY20 budget will be presented for a vote at the board of directors meeting at the 2019 Annual Conference. If revisions are required </w:t>
      </w:r>
      <w:r w:rsidR="00EC0317">
        <w:t xml:space="preserve">after June, </w:t>
      </w:r>
      <w:r>
        <w:t xml:space="preserve">they will be made and </w:t>
      </w:r>
      <w:r w:rsidR="00EC0317">
        <w:t>the board will vote</w:t>
      </w:r>
      <w:r>
        <w:t xml:space="preserve"> virtually</w:t>
      </w:r>
      <w:r w:rsidR="00EC0317">
        <w:t xml:space="preserve"> on a final budget</w:t>
      </w:r>
      <w:r w:rsidR="00343276">
        <w:t xml:space="preserve"> before mid-September.</w:t>
      </w:r>
      <w:bookmarkStart w:id="0" w:name="_GoBack"/>
      <w:bookmarkEnd w:id="0"/>
    </w:p>
    <w:p w14:paraId="62BC2EEF" w14:textId="03F87F86" w:rsidR="00C66F39" w:rsidRDefault="00FB6C1A" w:rsidP="00B76E1A">
      <w:pPr>
        <w:spacing w:after="0" w:line="240" w:lineRule="auto"/>
      </w:pPr>
      <w:r>
        <w:t xml:space="preserve"> </w:t>
      </w:r>
    </w:p>
    <w:p w14:paraId="0ED7A2A4" w14:textId="0A1B0A5A" w:rsidR="007C3709" w:rsidRDefault="00AF192C" w:rsidP="00B76E1A">
      <w:pPr>
        <w:spacing w:after="0" w:line="240" w:lineRule="auto"/>
      </w:pPr>
      <w:r>
        <w:t>Finally, t</w:t>
      </w:r>
      <w:r w:rsidR="007C3709">
        <w:t xml:space="preserve">he PLA Budget &amp; Finance Committee is asked to recommend to the Board how interest from PLA’s long-term investment should be used. Below is information about how </w:t>
      </w:r>
      <w:r>
        <w:t>it</w:t>
      </w:r>
      <w:r w:rsidR="007C3709">
        <w:t xml:space="preserve"> has been used in the past. As of April 2019, PLA’s LTI stood at $1.4M. Interest </w:t>
      </w:r>
      <w:r>
        <w:t>is</w:t>
      </w:r>
      <w:r w:rsidR="007C3709">
        <w:t xml:space="preserve"> estimated to be $55,000.</w:t>
      </w:r>
    </w:p>
    <w:p w14:paraId="5EEB346A" w14:textId="00469FD4" w:rsidR="007C3709" w:rsidRDefault="007C3709" w:rsidP="00B76E1A">
      <w:pPr>
        <w:spacing w:after="0" w:line="240" w:lineRule="auto"/>
      </w:pPr>
    </w:p>
    <w:tbl>
      <w:tblPr>
        <w:tblW w:w="0" w:type="auto"/>
        <w:tblLayout w:type="fixed"/>
        <w:tblCellMar>
          <w:left w:w="0" w:type="dxa"/>
          <w:right w:w="0" w:type="dxa"/>
        </w:tblCellMar>
        <w:tblLook w:val="04A0" w:firstRow="1" w:lastRow="0" w:firstColumn="1" w:lastColumn="0" w:noHBand="0" w:noVBand="1"/>
      </w:tblPr>
      <w:tblGrid>
        <w:gridCol w:w="970"/>
        <w:gridCol w:w="6040"/>
        <w:gridCol w:w="1105"/>
      </w:tblGrid>
      <w:tr w:rsidR="00AF192C" w14:paraId="42A8A184" w14:textId="77777777" w:rsidTr="00AF192C">
        <w:tc>
          <w:tcPr>
            <w:tcW w:w="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53956D" w14:textId="77777777" w:rsidR="00AF192C" w:rsidRDefault="00AF192C" w:rsidP="00720CE2">
            <w:pPr>
              <w:rPr>
                <w:b/>
                <w:bCs/>
              </w:rPr>
            </w:pPr>
            <w:r>
              <w:rPr>
                <w:b/>
                <w:bCs/>
              </w:rPr>
              <w:t>FY</w:t>
            </w:r>
          </w:p>
        </w:tc>
        <w:tc>
          <w:tcPr>
            <w:tcW w:w="6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84259" w14:textId="77777777" w:rsidR="00AF192C" w:rsidRDefault="00AF192C" w:rsidP="00720CE2">
            <w:pPr>
              <w:rPr>
                <w:b/>
                <w:bCs/>
              </w:rPr>
            </w:pPr>
            <w:r>
              <w:rPr>
                <w:b/>
                <w:bCs/>
              </w:rPr>
              <w:t>B&amp;F/Board Discussion</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642AC" w14:textId="77777777" w:rsidR="00AF192C" w:rsidRDefault="00AF192C" w:rsidP="00720CE2">
            <w:pPr>
              <w:rPr>
                <w:b/>
                <w:bCs/>
              </w:rPr>
            </w:pPr>
            <w:r>
              <w:rPr>
                <w:b/>
                <w:bCs/>
              </w:rPr>
              <w:t>Amount</w:t>
            </w:r>
          </w:p>
        </w:tc>
      </w:tr>
      <w:tr w:rsidR="00AF192C" w14:paraId="1A4274E3" w14:textId="77777777" w:rsidTr="00AF192C">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2768" w14:textId="77777777" w:rsidR="00AF192C" w:rsidRDefault="00AF192C" w:rsidP="00720CE2">
            <w:r>
              <w:t>FY15</w:t>
            </w:r>
          </w:p>
        </w:tc>
        <w:tc>
          <w:tcPr>
            <w:tcW w:w="6040" w:type="dxa"/>
            <w:tcBorders>
              <w:top w:val="nil"/>
              <w:left w:val="nil"/>
              <w:bottom w:val="single" w:sz="8" w:space="0" w:color="auto"/>
              <w:right w:val="single" w:sz="8" w:space="0" w:color="auto"/>
            </w:tcBorders>
            <w:tcMar>
              <w:top w:w="0" w:type="dxa"/>
              <w:left w:w="108" w:type="dxa"/>
              <w:bottom w:w="0" w:type="dxa"/>
              <w:right w:w="108" w:type="dxa"/>
            </w:tcMar>
            <w:hideMark/>
          </w:tcPr>
          <w:p w14:paraId="4379B48C" w14:textId="77777777" w:rsidR="00AF192C" w:rsidRDefault="00AF192C" w:rsidP="00720CE2">
            <w:r>
              <w:t>“used for development of a new program to be held in non-PLA conference years”</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2F102AB0" w14:textId="77777777" w:rsidR="00AF192C" w:rsidRDefault="00AF192C" w:rsidP="00720CE2">
            <w:r>
              <w:t>$51,532</w:t>
            </w:r>
          </w:p>
        </w:tc>
      </w:tr>
      <w:tr w:rsidR="00AF192C" w14:paraId="72FB1E37" w14:textId="77777777" w:rsidTr="00AF192C">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ADEDE" w14:textId="77777777" w:rsidR="00AF192C" w:rsidRDefault="00AF192C" w:rsidP="00720CE2">
            <w:r>
              <w:t>FY16</w:t>
            </w:r>
          </w:p>
        </w:tc>
        <w:tc>
          <w:tcPr>
            <w:tcW w:w="6040" w:type="dxa"/>
            <w:tcBorders>
              <w:top w:val="nil"/>
              <w:left w:val="nil"/>
              <w:bottom w:val="single" w:sz="8" w:space="0" w:color="auto"/>
              <w:right w:val="single" w:sz="8" w:space="0" w:color="auto"/>
            </w:tcBorders>
            <w:tcMar>
              <w:top w:w="0" w:type="dxa"/>
              <w:left w:w="108" w:type="dxa"/>
              <w:bottom w:w="0" w:type="dxa"/>
              <w:right w:w="108" w:type="dxa"/>
            </w:tcMar>
            <w:hideMark/>
          </w:tcPr>
          <w:p w14:paraId="2494992E" w14:textId="77777777" w:rsidR="00AF192C" w:rsidRDefault="00AF192C" w:rsidP="00720CE2">
            <w:proofErr w:type="spellStart"/>
            <w:r>
              <w:t>DigitalLearn</w:t>
            </w:r>
            <w:proofErr w:type="spellEnd"/>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73C54BD5" w14:textId="77777777" w:rsidR="00AF192C" w:rsidRDefault="00AF192C" w:rsidP="00720CE2">
            <w:r>
              <w:t>$55,040</w:t>
            </w:r>
          </w:p>
        </w:tc>
      </w:tr>
      <w:tr w:rsidR="00AF192C" w14:paraId="51D83FC1" w14:textId="77777777" w:rsidTr="00AF192C">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31D4B" w14:textId="77777777" w:rsidR="00AF192C" w:rsidRDefault="00AF192C" w:rsidP="00720CE2">
            <w:r>
              <w:t>FY17</w:t>
            </w:r>
          </w:p>
        </w:tc>
        <w:tc>
          <w:tcPr>
            <w:tcW w:w="6040" w:type="dxa"/>
            <w:tcBorders>
              <w:top w:val="nil"/>
              <w:left w:val="nil"/>
              <w:bottom w:val="single" w:sz="8" w:space="0" w:color="auto"/>
              <w:right w:val="single" w:sz="8" w:space="0" w:color="auto"/>
            </w:tcBorders>
            <w:tcMar>
              <w:top w:w="0" w:type="dxa"/>
              <w:left w:w="108" w:type="dxa"/>
              <w:bottom w:w="0" w:type="dxa"/>
              <w:right w:w="108" w:type="dxa"/>
            </w:tcMar>
            <w:hideMark/>
          </w:tcPr>
          <w:p w14:paraId="26477CB9" w14:textId="77777777" w:rsidR="00AF192C" w:rsidRDefault="00AF192C" w:rsidP="00720CE2">
            <w:r>
              <w:t>No transfer (rolled into principal)</w:t>
            </w:r>
          </w:p>
        </w:tc>
        <w:tc>
          <w:tcPr>
            <w:tcW w:w="1105" w:type="dxa"/>
            <w:tcBorders>
              <w:top w:val="nil"/>
              <w:left w:val="nil"/>
              <w:bottom w:val="single" w:sz="8" w:space="0" w:color="auto"/>
              <w:right w:val="single" w:sz="8" w:space="0" w:color="auto"/>
            </w:tcBorders>
            <w:tcMar>
              <w:top w:w="0" w:type="dxa"/>
              <w:left w:w="108" w:type="dxa"/>
              <w:bottom w:w="0" w:type="dxa"/>
              <w:right w:w="108" w:type="dxa"/>
            </w:tcMar>
          </w:tcPr>
          <w:p w14:paraId="1F887AB5" w14:textId="77777777" w:rsidR="00AF192C" w:rsidRDefault="00AF192C" w:rsidP="00720CE2"/>
        </w:tc>
      </w:tr>
      <w:tr w:rsidR="00AF192C" w14:paraId="6012215C" w14:textId="77777777" w:rsidTr="00AF192C">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2AC52" w14:textId="77777777" w:rsidR="00AF192C" w:rsidRDefault="00AF192C" w:rsidP="00720CE2">
            <w:r>
              <w:t>FY18</w:t>
            </w:r>
          </w:p>
        </w:tc>
        <w:tc>
          <w:tcPr>
            <w:tcW w:w="6040" w:type="dxa"/>
            <w:tcBorders>
              <w:top w:val="nil"/>
              <w:left w:val="nil"/>
              <w:bottom w:val="single" w:sz="8" w:space="0" w:color="auto"/>
              <w:right w:val="single" w:sz="8" w:space="0" w:color="auto"/>
            </w:tcBorders>
            <w:tcMar>
              <w:top w:w="0" w:type="dxa"/>
              <w:left w:w="108" w:type="dxa"/>
              <w:bottom w:w="0" w:type="dxa"/>
              <w:right w:w="108" w:type="dxa"/>
            </w:tcMar>
            <w:hideMark/>
          </w:tcPr>
          <w:p w14:paraId="1769C47F" w14:textId="77777777" w:rsidR="00AF192C" w:rsidRDefault="00AF192C" w:rsidP="00720CE2">
            <w:r>
              <w:t>EDISJ</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4FA3F59B" w14:textId="77777777" w:rsidR="00AF192C" w:rsidRDefault="00AF192C" w:rsidP="00720CE2">
            <w:r>
              <w:t>$57,792</w:t>
            </w:r>
          </w:p>
        </w:tc>
      </w:tr>
      <w:tr w:rsidR="00AF192C" w14:paraId="55C2FDDE" w14:textId="77777777" w:rsidTr="00AF192C">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6AF66" w14:textId="77777777" w:rsidR="00AF192C" w:rsidRDefault="00AF192C" w:rsidP="00720CE2">
            <w:r>
              <w:t>FY19</w:t>
            </w:r>
          </w:p>
        </w:tc>
        <w:tc>
          <w:tcPr>
            <w:tcW w:w="6040" w:type="dxa"/>
            <w:tcBorders>
              <w:top w:val="nil"/>
              <w:left w:val="nil"/>
              <w:bottom w:val="single" w:sz="8" w:space="0" w:color="auto"/>
              <w:right w:val="single" w:sz="8" w:space="0" w:color="auto"/>
            </w:tcBorders>
            <w:tcMar>
              <w:top w:w="0" w:type="dxa"/>
              <w:left w:w="108" w:type="dxa"/>
              <w:bottom w:w="0" w:type="dxa"/>
              <w:right w:w="108" w:type="dxa"/>
            </w:tcMar>
            <w:hideMark/>
          </w:tcPr>
          <w:p w14:paraId="59D3A1E3" w14:textId="77777777" w:rsidR="00AF192C" w:rsidRDefault="00AF192C" w:rsidP="00720CE2">
            <w:r>
              <w:t>Family Engagement</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26F66665" w14:textId="77777777" w:rsidR="00AF192C" w:rsidRDefault="00AF192C" w:rsidP="00720CE2">
            <w:r>
              <w:t>$55,000</w:t>
            </w:r>
          </w:p>
        </w:tc>
      </w:tr>
      <w:tr w:rsidR="00AF192C" w14:paraId="129E725F" w14:textId="77777777" w:rsidTr="00AF192C">
        <w:tc>
          <w:tcPr>
            <w:tcW w:w="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20AEF" w14:textId="77777777" w:rsidR="00AF192C" w:rsidRDefault="00AF192C" w:rsidP="00720CE2">
            <w:r>
              <w:t>FY20</w:t>
            </w:r>
          </w:p>
        </w:tc>
        <w:tc>
          <w:tcPr>
            <w:tcW w:w="6040" w:type="dxa"/>
            <w:tcBorders>
              <w:top w:val="nil"/>
              <w:left w:val="nil"/>
              <w:bottom w:val="single" w:sz="8" w:space="0" w:color="auto"/>
              <w:right w:val="single" w:sz="8" w:space="0" w:color="auto"/>
            </w:tcBorders>
            <w:tcMar>
              <w:top w:w="0" w:type="dxa"/>
              <w:left w:w="108" w:type="dxa"/>
              <w:bottom w:w="0" w:type="dxa"/>
              <w:right w:w="108" w:type="dxa"/>
            </w:tcMar>
            <w:hideMark/>
          </w:tcPr>
          <w:p w14:paraId="61BA5222" w14:textId="77777777" w:rsidR="00AF192C" w:rsidRDefault="00AF192C" w:rsidP="00720CE2">
            <w:r>
              <w:t>TBD</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14:paraId="43EDBDFD" w14:textId="77777777" w:rsidR="00AF192C" w:rsidRDefault="00AF192C" w:rsidP="00720CE2">
            <w:r>
              <w:t>~$55,000</w:t>
            </w:r>
          </w:p>
        </w:tc>
      </w:tr>
    </w:tbl>
    <w:p w14:paraId="639669B8" w14:textId="77777777" w:rsidR="00AF192C" w:rsidRDefault="00AF192C" w:rsidP="00AF192C"/>
    <w:p w14:paraId="306E28E9" w14:textId="77777777" w:rsidR="007C3709" w:rsidRDefault="007C3709" w:rsidP="00B76E1A">
      <w:pPr>
        <w:spacing w:after="0" w:line="240" w:lineRule="auto"/>
      </w:pPr>
    </w:p>
    <w:sectPr w:rsidR="007C3709" w:rsidSect="00AB70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9562" w14:textId="77777777" w:rsidR="000F6976" w:rsidRDefault="000F6976" w:rsidP="0011078E">
      <w:pPr>
        <w:spacing w:after="0" w:line="240" w:lineRule="auto"/>
      </w:pPr>
      <w:r>
        <w:separator/>
      </w:r>
    </w:p>
  </w:endnote>
  <w:endnote w:type="continuationSeparator" w:id="0">
    <w:p w14:paraId="085F88E1" w14:textId="77777777" w:rsidR="000F6976" w:rsidRDefault="000F6976" w:rsidP="001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68F3" w14:textId="77777777" w:rsidR="009A4A7D" w:rsidRDefault="009A4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472B" w14:textId="19392AD5" w:rsidR="0063240F" w:rsidRDefault="0063240F">
    <w:pPr>
      <w:pStyle w:val="Footer"/>
      <w:jc w:val="right"/>
    </w:pPr>
  </w:p>
  <w:p w14:paraId="7904199B" w14:textId="77777777" w:rsidR="0063240F" w:rsidRPr="00ED0FD8" w:rsidRDefault="0063240F" w:rsidP="00ED0FD8">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D4B8" w14:textId="77777777" w:rsidR="009A4A7D" w:rsidRDefault="009A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300E" w14:textId="77777777" w:rsidR="000F6976" w:rsidRDefault="000F6976" w:rsidP="0011078E">
      <w:pPr>
        <w:spacing w:after="0" w:line="240" w:lineRule="auto"/>
      </w:pPr>
      <w:r>
        <w:separator/>
      </w:r>
    </w:p>
  </w:footnote>
  <w:footnote w:type="continuationSeparator" w:id="0">
    <w:p w14:paraId="4D1F80C9" w14:textId="77777777" w:rsidR="000F6976" w:rsidRDefault="000F6976" w:rsidP="0011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233A" w14:textId="77777777" w:rsidR="009A4A7D" w:rsidRDefault="009A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D0A9" w14:textId="77777777" w:rsidR="00D44576" w:rsidRPr="007077E5" w:rsidRDefault="00D44576" w:rsidP="00D44576">
    <w:pPr>
      <w:pStyle w:val="Header"/>
      <w:jc w:val="right"/>
    </w:pPr>
    <w:r w:rsidRPr="007077E5">
      <w:t>PLA Board of Directors</w:t>
    </w:r>
  </w:p>
  <w:p w14:paraId="0723C687" w14:textId="5BC6635D" w:rsidR="00D44576" w:rsidRPr="007077E5" w:rsidRDefault="003C15AC" w:rsidP="00D44576">
    <w:pPr>
      <w:pStyle w:val="Header"/>
      <w:tabs>
        <w:tab w:val="left" w:pos="5280"/>
      </w:tabs>
      <w:jc w:val="right"/>
      <w:rPr>
        <w:rFonts w:cs="Arial"/>
      </w:rPr>
    </w:pPr>
    <w:r>
      <w:rPr>
        <w:rFonts w:cs="Arial"/>
      </w:rPr>
      <w:t>Annual Conference</w:t>
    </w:r>
    <w:r w:rsidR="00D44576">
      <w:rPr>
        <w:rFonts w:cs="Arial"/>
      </w:rPr>
      <w:t xml:space="preserve"> </w:t>
    </w:r>
    <w:r w:rsidR="005D40B0">
      <w:rPr>
        <w:rFonts w:cs="Arial"/>
      </w:rPr>
      <w:t>2019</w:t>
    </w:r>
  </w:p>
  <w:p w14:paraId="41799EB2" w14:textId="6DDF953F" w:rsidR="00213294" w:rsidRPr="005D40B0" w:rsidRDefault="005D40B0" w:rsidP="00213294">
    <w:pPr>
      <w:pStyle w:val="Header"/>
      <w:tabs>
        <w:tab w:val="left" w:pos="5280"/>
      </w:tabs>
      <w:jc w:val="right"/>
      <w:rPr>
        <w:rFonts w:cs="Arial"/>
      </w:rPr>
    </w:pPr>
    <w:r>
      <w:rPr>
        <w:rFonts w:cs="Arial"/>
      </w:rPr>
      <w:t xml:space="preserve">Document no.: </w:t>
    </w:r>
    <w:r w:rsidR="00D44576">
      <w:rPr>
        <w:rFonts w:cs="Arial"/>
      </w:rPr>
      <w:t>2019.</w:t>
    </w:r>
    <w:r w:rsidR="00213294">
      <w:rPr>
        <w:rFonts w:cs="Arial"/>
      </w:rPr>
      <w:t>9</w:t>
    </w:r>
    <w:r w:rsidR="009A4A7D">
      <w:rPr>
        <w:rFonts w:cs="Arial"/>
      </w:rPr>
      <w:t>2</w:t>
    </w:r>
  </w:p>
  <w:p w14:paraId="54C47F77" w14:textId="77777777" w:rsidR="0063240F" w:rsidRPr="00913926" w:rsidRDefault="0063240F" w:rsidP="00913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B8FD" w14:textId="77777777" w:rsidR="009A4A7D" w:rsidRDefault="009A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6F6"/>
    <w:multiLevelType w:val="hybridMultilevel"/>
    <w:tmpl w:val="09BA8272"/>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B5B"/>
    <w:multiLevelType w:val="hybridMultilevel"/>
    <w:tmpl w:val="7E7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2628"/>
    <w:multiLevelType w:val="hybridMultilevel"/>
    <w:tmpl w:val="3B3247D0"/>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44A9D"/>
    <w:multiLevelType w:val="hybridMultilevel"/>
    <w:tmpl w:val="A9BA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03"/>
    <w:rsid w:val="000040B5"/>
    <w:rsid w:val="00017506"/>
    <w:rsid w:val="00037846"/>
    <w:rsid w:val="00046FBF"/>
    <w:rsid w:val="00053B7D"/>
    <w:rsid w:val="00091201"/>
    <w:rsid w:val="0009748B"/>
    <w:rsid w:val="000B1A22"/>
    <w:rsid w:val="000B6646"/>
    <w:rsid w:val="000D5771"/>
    <w:rsid w:val="000F6976"/>
    <w:rsid w:val="000F76AA"/>
    <w:rsid w:val="0011078E"/>
    <w:rsid w:val="001B1E75"/>
    <w:rsid w:val="001F2FF7"/>
    <w:rsid w:val="002061EA"/>
    <w:rsid w:val="00213294"/>
    <w:rsid w:val="002136A3"/>
    <w:rsid w:val="002222AD"/>
    <w:rsid w:val="00257BD4"/>
    <w:rsid w:val="002618EC"/>
    <w:rsid w:val="00267575"/>
    <w:rsid w:val="002A7C4B"/>
    <w:rsid w:val="002B3D91"/>
    <w:rsid w:val="002D4C74"/>
    <w:rsid w:val="002D7F40"/>
    <w:rsid w:val="00314E14"/>
    <w:rsid w:val="00332A22"/>
    <w:rsid w:val="00343276"/>
    <w:rsid w:val="00353253"/>
    <w:rsid w:val="00391876"/>
    <w:rsid w:val="0039721A"/>
    <w:rsid w:val="003A20B2"/>
    <w:rsid w:val="003A3B14"/>
    <w:rsid w:val="003A76DA"/>
    <w:rsid w:val="003B54EC"/>
    <w:rsid w:val="003C15AC"/>
    <w:rsid w:val="003C4E66"/>
    <w:rsid w:val="003F2164"/>
    <w:rsid w:val="00442869"/>
    <w:rsid w:val="004446B2"/>
    <w:rsid w:val="004502C5"/>
    <w:rsid w:val="00472735"/>
    <w:rsid w:val="00474F4C"/>
    <w:rsid w:val="004814E2"/>
    <w:rsid w:val="004B1B12"/>
    <w:rsid w:val="004D0F04"/>
    <w:rsid w:val="004E478A"/>
    <w:rsid w:val="005732FB"/>
    <w:rsid w:val="00576F8F"/>
    <w:rsid w:val="005933A4"/>
    <w:rsid w:val="005960C4"/>
    <w:rsid w:val="005973F8"/>
    <w:rsid w:val="005A353E"/>
    <w:rsid w:val="005D40B0"/>
    <w:rsid w:val="0060461C"/>
    <w:rsid w:val="00620053"/>
    <w:rsid w:val="0062042E"/>
    <w:rsid w:val="0063240F"/>
    <w:rsid w:val="0063336E"/>
    <w:rsid w:val="00647A8C"/>
    <w:rsid w:val="00661C7B"/>
    <w:rsid w:val="00683EA4"/>
    <w:rsid w:val="0069282A"/>
    <w:rsid w:val="00695049"/>
    <w:rsid w:val="006A2B85"/>
    <w:rsid w:val="006E4032"/>
    <w:rsid w:val="006E4491"/>
    <w:rsid w:val="006F4F54"/>
    <w:rsid w:val="007212A8"/>
    <w:rsid w:val="00724068"/>
    <w:rsid w:val="007302EF"/>
    <w:rsid w:val="0074629E"/>
    <w:rsid w:val="00752158"/>
    <w:rsid w:val="00783180"/>
    <w:rsid w:val="007841FA"/>
    <w:rsid w:val="00784F0E"/>
    <w:rsid w:val="00787D0F"/>
    <w:rsid w:val="007A1B3E"/>
    <w:rsid w:val="007A65D7"/>
    <w:rsid w:val="007C3709"/>
    <w:rsid w:val="007C7830"/>
    <w:rsid w:val="00801200"/>
    <w:rsid w:val="00836D59"/>
    <w:rsid w:val="00862CE7"/>
    <w:rsid w:val="0087391D"/>
    <w:rsid w:val="00886CCA"/>
    <w:rsid w:val="008941DA"/>
    <w:rsid w:val="008A5D06"/>
    <w:rsid w:val="008B1C62"/>
    <w:rsid w:val="008D432E"/>
    <w:rsid w:val="008F6A16"/>
    <w:rsid w:val="00906AF5"/>
    <w:rsid w:val="00913926"/>
    <w:rsid w:val="00937625"/>
    <w:rsid w:val="0094311F"/>
    <w:rsid w:val="00952F29"/>
    <w:rsid w:val="00967CAB"/>
    <w:rsid w:val="009A4A7D"/>
    <w:rsid w:val="009B5C6D"/>
    <w:rsid w:val="009B5D65"/>
    <w:rsid w:val="009B5E5A"/>
    <w:rsid w:val="009E7CFE"/>
    <w:rsid w:val="009F1C50"/>
    <w:rsid w:val="00A038BA"/>
    <w:rsid w:val="00A12578"/>
    <w:rsid w:val="00A149CF"/>
    <w:rsid w:val="00A4086D"/>
    <w:rsid w:val="00A609EF"/>
    <w:rsid w:val="00A830FA"/>
    <w:rsid w:val="00A95E32"/>
    <w:rsid w:val="00A96DA5"/>
    <w:rsid w:val="00AB70A9"/>
    <w:rsid w:val="00AC2EE9"/>
    <w:rsid w:val="00AC78FC"/>
    <w:rsid w:val="00AF192C"/>
    <w:rsid w:val="00AF42AA"/>
    <w:rsid w:val="00B12D85"/>
    <w:rsid w:val="00B44801"/>
    <w:rsid w:val="00B76E1A"/>
    <w:rsid w:val="00B82B6B"/>
    <w:rsid w:val="00B9718C"/>
    <w:rsid w:val="00BA3604"/>
    <w:rsid w:val="00BA3DF0"/>
    <w:rsid w:val="00BC4001"/>
    <w:rsid w:val="00BD3CCB"/>
    <w:rsid w:val="00BE08BA"/>
    <w:rsid w:val="00BE5CE8"/>
    <w:rsid w:val="00BE6688"/>
    <w:rsid w:val="00BE7ED0"/>
    <w:rsid w:val="00C01B63"/>
    <w:rsid w:val="00C067B4"/>
    <w:rsid w:val="00C15AD0"/>
    <w:rsid w:val="00C20000"/>
    <w:rsid w:val="00C22270"/>
    <w:rsid w:val="00C367D6"/>
    <w:rsid w:val="00C5274C"/>
    <w:rsid w:val="00C54333"/>
    <w:rsid w:val="00C6602A"/>
    <w:rsid w:val="00C66F39"/>
    <w:rsid w:val="00C94803"/>
    <w:rsid w:val="00CA4B32"/>
    <w:rsid w:val="00CB595B"/>
    <w:rsid w:val="00CC4B8D"/>
    <w:rsid w:val="00CF3D95"/>
    <w:rsid w:val="00D04C30"/>
    <w:rsid w:val="00D26591"/>
    <w:rsid w:val="00D44576"/>
    <w:rsid w:val="00E31F7E"/>
    <w:rsid w:val="00E46097"/>
    <w:rsid w:val="00E47D3A"/>
    <w:rsid w:val="00E52633"/>
    <w:rsid w:val="00E56603"/>
    <w:rsid w:val="00E6386F"/>
    <w:rsid w:val="00E67F39"/>
    <w:rsid w:val="00E90905"/>
    <w:rsid w:val="00E96AAF"/>
    <w:rsid w:val="00EA4CBE"/>
    <w:rsid w:val="00EC0317"/>
    <w:rsid w:val="00EC44D5"/>
    <w:rsid w:val="00ED0FD8"/>
    <w:rsid w:val="00ED4042"/>
    <w:rsid w:val="00F03950"/>
    <w:rsid w:val="00F1006B"/>
    <w:rsid w:val="00F13371"/>
    <w:rsid w:val="00F42CA0"/>
    <w:rsid w:val="00F45B6C"/>
    <w:rsid w:val="00F47C2C"/>
    <w:rsid w:val="00F64255"/>
    <w:rsid w:val="00F81813"/>
    <w:rsid w:val="00FB6C1A"/>
    <w:rsid w:val="00FD2913"/>
    <w:rsid w:val="00FE051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2083DA"/>
  <w15:docId w15:val="{87BFD098-0724-4693-838D-8BE9DD9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30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8"/>
    <w:pPr>
      <w:ind w:left="720"/>
      <w:contextualSpacing/>
    </w:pPr>
  </w:style>
  <w:style w:type="paragraph" w:styleId="Header">
    <w:name w:val="header"/>
    <w:basedOn w:val="Normal"/>
    <w:link w:val="HeaderChar"/>
    <w:unhideWhenUsed/>
    <w:rsid w:val="0011078E"/>
    <w:pPr>
      <w:tabs>
        <w:tab w:val="center" w:pos="4680"/>
        <w:tab w:val="right" w:pos="9360"/>
      </w:tabs>
      <w:spacing w:after="0" w:line="240" w:lineRule="auto"/>
    </w:pPr>
  </w:style>
  <w:style w:type="character" w:customStyle="1" w:styleId="HeaderChar">
    <w:name w:val="Header Char"/>
    <w:basedOn w:val="DefaultParagraphFont"/>
    <w:link w:val="Header"/>
    <w:rsid w:val="0011078E"/>
  </w:style>
  <w:style w:type="paragraph" w:styleId="Footer">
    <w:name w:val="footer"/>
    <w:basedOn w:val="Normal"/>
    <w:link w:val="FooterChar"/>
    <w:uiPriority w:val="99"/>
    <w:unhideWhenUsed/>
    <w:rsid w:val="0011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8E"/>
  </w:style>
  <w:style w:type="character" w:customStyle="1" w:styleId="Heading2Char">
    <w:name w:val="Heading 2 Char"/>
    <w:basedOn w:val="DefaultParagraphFont"/>
    <w:link w:val="Heading2"/>
    <w:uiPriority w:val="9"/>
    <w:rsid w:val="00A830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9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1A"/>
    <w:rPr>
      <w:rFonts w:ascii="Segoe UI" w:hAnsi="Segoe UI" w:cs="Segoe UI"/>
      <w:sz w:val="18"/>
      <w:szCs w:val="18"/>
    </w:rPr>
  </w:style>
  <w:style w:type="table" w:styleId="TableGrid">
    <w:name w:val="Table Grid"/>
    <w:basedOn w:val="TableNormal"/>
    <w:uiPriority w:val="59"/>
    <w:rsid w:val="00B7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389">
      <w:bodyDiv w:val="1"/>
      <w:marLeft w:val="0"/>
      <w:marRight w:val="0"/>
      <w:marTop w:val="0"/>
      <w:marBottom w:val="0"/>
      <w:divBdr>
        <w:top w:val="none" w:sz="0" w:space="0" w:color="auto"/>
        <w:left w:val="none" w:sz="0" w:space="0" w:color="auto"/>
        <w:bottom w:val="none" w:sz="0" w:space="0" w:color="auto"/>
        <w:right w:val="none" w:sz="0" w:space="0" w:color="auto"/>
      </w:divBdr>
    </w:div>
    <w:div w:id="403574371">
      <w:bodyDiv w:val="1"/>
      <w:marLeft w:val="0"/>
      <w:marRight w:val="0"/>
      <w:marTop w:val="0"/>
      <w:marBottom w:val="0"/>
      <w:divBdr>
        <w:top w:val="none" w:sz="0" w:space="0" w:color="auto"/>
        <w:left w:val="none" w:sz="0" w:space="0" w:color="auto"/>
        <w:bottom w:val="none" w:sz="0" w:space="0" w:color="auto"/>
        <w:right w:val="none" w:sz="0" w:space="0" w:color="auto"/>
      </w:divBdr>
    </w:div>
    <w:div w:id="460340415">
      <w:bodyDiv w:val="1"/>
      <w:marLeft w:val="0"/>
      <w:marRight w:val="0"/>
      <w:marTop w:val="0"/>
      <w:marBottom w:val="0"/>
      <w:divBdr>
        <w:top w:val="none" w:sz="0" w:space="0" w:color="auto"/>
        <w:left w:val="none" w:sz="0" w:space="0" w:color="auto"/>
        <w:bottom w:val="none" w:sz="0" w:space="0" w:color="auto"/>
        <w:right w:val="none" w:sz="0" w:space="0" w:color="auto"/>
      </w:divBdr>
    </w:div>
    <w:div w:id="723483605">
      <w:bodyDiv w:val="1"/>
      <w:marLeft w:val="0"/>
      <w:marRight w:val="0"/>
      <w:marTop w:val="0"/>
      <w:marBottom w:val="0"/>
      <w:divBdr>
        <w:top w:val="none" w:sz="0" w:space="0" w:color="auto"/>
        <w:left w:val="none" w:sz="0" w:space="0" w:color="auto"/>
        <w:bottom w:val="none" w:sz="0" w:space="0" w:color="auto"/>
        <w:right w:val="none" w:sz="0" w:space="0" w:color="auto"/>
      </w:divBdr>
    </w:div>
    <w:div w:id="948438456">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272401357">
      <w:bodyDiv w:val="1"/>
      <w:marLeft w:val="0"/>
      <w:marRight w:val="0"/>
      <w:marTop w:val="0"/>
      <w:marBottom w:val="0"/>
      <w:divBdr>
        <w:top w:val="none" w:sz="0" w:space="0" w:color="auto"/>
        <w:left w:val="none" w:sz="0" w:space="0" w:color="auto"/>
        <w:bottom w:val="none" w:sz="0" w:space="0" w:color="auto"/>
        <w:right w:val="none" w:sz="0" w:space="0" w:color="auto"/>
      </w:divBdr>
    </w:div>
    <w:div w:id="1736123343">
      <w:bodyDiv w:val="1"/>
      <w:marLeft w:val="0"/>
      <w:marRight w:val="0"/>
      <w:marTop w:val="0"/>
      <w:marBottom w:val="0"/>
      <w:divBdr>
        <w:top w:val="none" w:sz="0" w:space="0" w:color="auto"/>
        <w:left w:val="none" w:sz="0" w:space="0" w:color="auto"/>
        <w:bottom w:val="none" w:sz="0" w:space="0" w:color="auto"/>
        <w:right w:val="none" w:sz="0" w:space="0" w:color="auto"/>
      </w:divBdr>
    </w:div>
    <w:div w:id="19661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bmacikas</dc:creator>
  <cp:lastModifiedBy>Barb Macikas</cp:lastModifiedBy>
  <cp:revision>15</cp:revision>
  <cp:lastPrinted>2019-05-22T22:19:00Z</cp:lastPrinted>
  <dcterms:created xsi:type="dcterms:W3CDTF">2019-03-18T14:29:00Z</dcterms:created>
  <dcterms:modified xsi:type="dcterms:W3CDTF">2019-06-13T19:06:00Z</dcterms:modified>
</cp:coreProperties>
</file>