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ABF2" w14:textId="77777777" w:rsidR="00066FDA" w:rsidRPr="00B561F1" w:rsidRDefault="00066FDA" w:rsidP="00066FDA">
      <w:pPr>
        <w:rPr>
          <w:rFonts w:asciiTheme="minorHAnsi" w:hAnsiTheme="minorHAnsi" w:cstheme="minorHAnsi"/>
          <w:bCs/>
        </w:rPr>
      </w:pPr>
      <w:r w:rsidRPr="00B561F1">
        <w:rPr>
          <w:rFonts w:asciiTheme="minorHAnsi" w:hAnsiTheme="minorHAnsi" w:cstheme="minorHAnsi"/>
          <w:b/>
        </w:rPr>
        <w:t xml:space="preserve">TO: </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bCs/>
        </w:rPr>
        <w:t>PLA Board of Directors</w:t>
      </w:r>
    </w:p>
    <w:p w14:paraId="68001A82" w14:textId="5E10D5D9"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FROM:</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rPr>
        <w:t xml:space="preserve">Barb Macikas, Executive Director and Scott Allen, Deputy Director </w:t>
      </w:r>
    </w:p>
    <w:p w14:paraId="6705E4E3" w14:textId="16B5ED3C"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RE:</w:t>
      </w:r>
      <w:r w:rsidRPr="00B561F1">
        <w:rPr>
          <w:rFonts w:asciiTheme="minorHAnsi" w:hAnsiTheme="minorHAnsi" w:cstheme="minorHAnsi"/>
        </w:rPr>
        <w:tab/>
      </w:r>
      <w:r w:rsidRPr="00B561F1">
        <w:rPr>
          <w:rFonts w:asciiTheme="minorHAnsi" w:hAnsiTheme="minorHAnsi" w:cstheme="minorHAnsi"/>
        </w:rPr>
        <w:tab/>
        <w:t xml:space="preserve">FY19 Financial Report, </w:t>
      </w:r>
      <w:r w:rsidR="00FF34A4">
        <w:rPr>
          <w:rFonts w:asciiTheme="minorHAnsi" w:hAnsiTheme="minorHAnsi" w:cstheme="minorHAnsi"/>
        </w:rPr>
        <w:t>January 2019</w:t>
      </w:r>
    </w:p>
    <w:p w14:paraId="682AB560" w14:textId="14B2795F"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DATE:</w:t>
      </w:r>
      <w:r w:rsidRPr="00B561F1">
        <w:rPr>
          <w:rFonts w:asciiTheme="minorHAnsi" w:hAnsiTheme="minorHAnsi" w:cstheme="minorHAnsi"/>
        </w:rPr>
        <w:tab/>
      </w:r>
      <w:r w:rsidRPr="00B561F1">
        <w:rPr>
          <w:rFonts w:asciiTheme="minorHAnsi" w:hAnsiTheme="minorHAnsi" w:cstheme="minorHAnsi"/>
        </w:rPr>
        <w:tab/>
      </w:r>
      <w:r w:rsidR="000825E8">
        <w:rPr>
          <w:rFonts w:asciiTheme="minorHAnsi" w:hAnsiTheme="minorHAnsi" w:cstheme="minorHAnsi"/>
        </w:rPr>
        <w:t>May 22, 2019</w:t>
      </w:r>
      <w:bookmarkStart w:id="0" w:name="_GoBack"/>
      <w:bookmarkEnd w:id="0"/>
    </w:p>
    <w:p w14:paraId="5C7717A2" w14:textId="77777777" w:rsidR="00066FDA" w:rsidRPr="00B561F1" w:rsidRDefault="00066FDA" w:rsidP="00974C47">
      <w:pPr>
        <w:ind w:left="2160" w:hanging="2160"/>
        <w:rPr>
          <w:rFonts w:asciiTheme="minorHAnsi" w:hAnsiTheme="minorHAnsi" w:cstheme="minorHAnsi"/>
        </w:rPr>
      </w:pPr>
      <w:r w:rsidRPr="00B561F1">
        <w:rPr>
          <w:rFonts w:asciiTheme="minorHAnsi" w:hAnsiTheme="minorHAnsi" w:cstheme="minorHAnsi"/>
          <w:b/>
        </w:rPr>
        <w:t>ACTION REQUESTED/INFORMATION/REPORT:</w:t>
      </w:r>
      <w:r w:rsidR="00974C47" w:rsidRPr="00B561F1">
        <w:rPr>
          <w:rFonts w:asciiTheme="minorHAnsi" w:hAnsiTheme="minorHAnsi" w:cstheme="minorHAnsi"/>
        </w:rPr>
        <w:t xml:space="preserve">  </w:t>
      </w:r>
      <w:r w:rsidRPr="00B561F1">
        <w:rPr>
          <w:rFonts w:asciiTheme="minorHAnsi" w:hAnsiTheme="minorHAnsi" w:cstheme="minorHAnsi"/>
        </w:rPr>
        <w:t>Report</w:t>
      </w:r>
    </w:p>
    <w:p w14:paraId="5FD27F6F" w14:textId="77777777" w:rsidR="00D1600D" w:rsidRPr="00B561F1" w:rsidRDefault="00D1600D" w:rsidP="00066FDA">
      <w:pPr>
        <w:rPr>
          <w:rFonts w:asciiTheme="minorHAnsi" w:hAnsiTheme="minorHAnsi" w:cstheme="minorHAnsi"/>
        </w:rPr>
      </w:pPr>
    </w:p>
    <w:p w14:paraId="296FC082" w14:textId="77777777" w:rsidR="00066FDA" w:rsidRPr="00B561F1" w:rsidRDefault="00066FDA" w:rsidP="00066FDA">
      <w:pPr>
        <w:rPr>
          <w:rFonts w:asciiTheme="minorHAnsi" w:hAnsiTheme="minorHAnsi" w:cstheme="minorHAnsi"/>
          <w:b/>
        </w:rPr>
      </w:pPr>
      <w:r w:rsidRPr="00B561F1">
        <w:rPr>
          <w:rFonts w:asciiTheme="minorHAnsi" w:hAnsiTheme="minorHAnsi" w:cstheme="minorHAnsi"/>
          <w:b/>
        </w:rPr>
        <w:t>FY19 Budget Overview</w:t>
      </w:r>
    </w:p>
    <w:p w14:paraId="3F390661" w14:textId="3C844BC2" w:rsidR="00066FDA" w:rsidRDefault="00066FDA" w:rsidP="00066FDA">
      <w:pPr>
        <w:rPr>
          <w:rFonts w:asciiTheme="minorHAnsi" w:hAnsiTheme="minorHAnsi" w:cstheme="minorHAnsi"/>
        </w:rPr>
      </w:pPr>
      <w:r w:rsidRPr="00B561F1">
        <w:rPr>
          <w:rFonts w:asciiTheme="minorHAnsi" w:hAnsiTheme="minorHAnsi" w:cstheme="minorHAnsi"/>
        </w:rPr>
        <w:t xml:space="preserve">PLA’s final FY19 budget </w:t>
      </w:r>
      <w:r w:rsidR="00974C47" w:rsidRPr="00B561F1">
        <w:rPr>
          <w:rFonts w:asciiTheme="minorHAnsi" w:hAnsiTheme="minorHAnsi" w:cstheme="minorHAnsi"/>
        </w:rPr>
        <w:t>includes</w:t>
      </w:r>
      <w:r w:rsidRPr="00B561F1">
        <w:rPr>
          <w:rFonts w:asciiTheme="minorHAnsi" w:hAnsiTheme="minorHAnsi" w:cstheme="minorHAnsi"/>
        </w:rPr>
        <w:t xml:space="preserve"> total revenue of $</w:t>
      </w:r>
      <w:r w:rsidR="00D1600D" w:rsidRPr="00B561F1">
        <w:rPr>
          <w:rFonts w:asciiTheme="minorHAnsi" w:hAnsiTheme="minorHAnsi" w:cstheme="minorHAnsi"/>
        </w:rPr>
        <w:t xml:space="preserve">3.2 million with </w:t>
      </w:r>
      <w:r w:rsidRPr="00B561F1">
        <w:rPr>
          <w:rFonts w:asciiTheme="minorHAnsi" w:hAnsiTheme="minorHAnsi" w:cstheme="minorHAnsi"/>
        </w:rPr>
        <w:t>expenses of $</w:t>
      </w:r>
      <w:r w:rsidR="00D1600D" w:rsidRPr="00B561F1">
        <w:rPr>
          <w:rFonts w:asciiTheme="minorHAnsi" w:hAnsiTheme="minorHAnsi" w:cstheme="minorHAnsi"/>
        </w:rPr>
        <w:t>3.</w:t>
      </w:r>
      <w:r w:rsidR="00974C47" w:rsidRPr="00B561F1">
        <w:rPr>
          <w:rFonts w:asciiTheme="minorHAnsi" w:hAnsiTheme="minorHAnsi" w:cstheme="minorHAnsi"/>
        </w:rPr>
        <w:t>95</w:t>
      </w:r>
      <w:r w:rsidR="00D1600D" w:rsidRPr="00B561F1">
        <w:rPr>
          <w:rFonts w:asciiTheme="minorHAnsi" w:hAnsiTheme="minorHAnsi" w:cstheme="minorHAnsi"/>
        </w:rPr>
        <w:t xml:space="preserve"> million</w:t>
      </w:r>
      <w:r w:rsidRPr="00B561F1">
        <w:rPr>
          <w:rFonts w:asciiTheme="minorHAnsi" w:hAnsiTheme="minorHAnsi" w:cstheme="minorHAnsi"/>
        </w:rPr>
        <w:t>, for a net loss of $749,540.</w:t>
      </w:r>
      <w:r w:rsidR="00D1600D" w:rsidRPr="00B561F1">
        <w:rPr>
          <w:rFonts w:asciiTheme="minorHAnsi" w:hAnsiTheme="minorHAnsi" w:cstheme="minorHAnsi"/>
        </w:rPr>
        <w:t xml:space="preserve"> The fund balance is projected to be $3.1 million at the close of FY19.</w:t>
      </w:r>
    </w:p>
    <w:tbl>
      <w:tblPr>
        <w:tblStyle w:val="TableGrid"/>
        <w:tblW w:w="0" w:type="auto"/>
        <w:tblInd w:w="355" w:type="dxa"/>
        <w:tblLook w:val="04A0" w:firstRow="1" w:lastRow="0" w:firstColumn="1" w:lastColumn="0" w:noHBand="0" w:noVBand="1"/>
      </w:tblPr>
      <w:tblGrid>
        <w:gridCol w:w="3905"/>
        <w:gridCol w:w="2340"/>
        <w:gridCol w:w="2070"/>
      </w:tblGrid>
      <w:tr w:rsidR="00D1600D" w:rsidRPr="00B561F1" w14:paraId="04EFB816" w14:textId="77777777" w:rsidTr="00D34667">
        <w:trPr>
          <w:trHeight w:val="300"/>
        </w:trPr>
        <w:tc>
          <w:tcPr>
            <w:tcW w:w="3905" w:type="dxa"/>
            <w:noWrap/>
            <w:hideMark/>
          </w:tcPr>
          <w:p w14:paraId="3CF991A7"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Fund Balance, FY18 Close</w:t>
            </w:r>
          </w:p>
        </w:tc>
        <w:tc>
          <w:tcPr>
            <w:tcW w:w="2340" w:type="dxa"/>
            <w:vAlign w:val="bottom"/>
          </w:tcPr>
          <w:p w14:paraId="4D558531" w14:textId="77777777" w:rsidR="00D1600D" w:rsidRPr="00B561F1" w:rsidRDefault="00D1600D" w:rsidP="00066FDA">
            <w:pPr>
              <w:jc w:val="right"/>
              <w:rPr>
                <w:rFonts w:asciiTheme="minorHAnsi" w:hAnsiTheme="minorHAnsi" w:cstheme="minorHAnsi"/>
                <w:color w:val="000000"/>
              </w:rPr>
            </w:pPr>
          </w:p>
        </w:tc>
        <w:tc>
          <w:tcPr>
            <w:tcW w:w="2070" w:type="dxa"/>
          </w:tcPr>
          <w:p w14:paraId="64E3744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$3,866,403</w:t>
            </w:r>
          </w:p>
        </w:tc>
      </w:tr>
      <w:tr w:rsidR="00066FDA" w:rsidRPr="00B561F1" w14:paraId="7AB228DE" w14:textId="77777777" w:rsidTr="00D34667">
        <w:trPr>
          <w:trHeight w:val="300"/>
        </w:trPr>
        <w:tc>
          <w:tcPr>
            <w:tcW w:w="3905" w:type="dxa"/>
            <w:noWrap/>
            <w:hideMark/>
          </w:tcPr>
          <w:p w14:paraId="7B75C8A1" w14:textId="77777777" w:rsidR="00066FDA" w:rsidRPr="00B561F1" w:rsidRDefault="00D1600D" w:rsidP="00066FDA">
            <w:pPr>
              <w:jc w:val="right"/>
              <w:rPr>
                <w:rFonts w:asciiTheme="minorHAnsi" w:hAnsiTheme="minorHAnsi" w:cstheme="minorHAnsi"/>
              </w:rPr>
            </w:pPr>
            <w:r w:rsidRPr="00B561F1">
              <w:rPr>
                <w:rFonts w:asciiTheme="minorHAnsi" w:hAnsiTheme="minorHAnsi" w:cstheme="minorHAnsi"/>
              </w:rPr>
              <w:t xml:space="preserve">FY19 </w:t>
            </w:r>
            <w:r w:rsidR="00066FDA" w:rsidRPr="00B561F1">
              <w:rPr>
                <w:rFonts w:asciiTheme="minorHAnsi" w:hAnsiTheme="minorHAnsi" w:cstheme="minorHAnsi"/>
              </w:rPr>
              <w:t>Revenue</w:t>
            </w:r>
          </w:p>
        </w:tc>
        <w:tc>
          <w:tcPr>
            <w:tcW w:w="2340" w:type="dxa"/>
            <w:vAlign w:val="bottom"/>
          </w:tcPr>
          <w:p w14:paraId="709EC1DF" w14:textId="77777777" w:rsidR="00066FDA"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066FDA" w:rsidRPr="00B561F1">
              <w:rPr>
                <w:rFonts w:asciiTheme="minorHAnsi" w:hAnsiTheme="minorHAnsi" w:cstheme="minorHAnsi"/>
                <w:color w:val="000000"/>
              </w:rPr>
              <w:t xml:space="preserve">852,413 </w:t>
            </w:r>
          </w:p>
        </w:tc>
        <w:tc>
          <w:tcPr>
            <w:tcW w:w="2070" w:type="dxa"/>
          </w:tcPr>
          <w:p w14:paraId="15806BBF" w14:textId="77777777" w:rsidR="00066FDA" w:rsidRPr="00B561F1" w:rsidRDefault="00066FDA" w:rsidP="00066FDA">
            <w:pPr>
              <w:jc w:val="right"/>
              <w:rPr>
                <w:rFonts w:asciiTheme="minorHAnsi" w:hAnsiTheme="minorHAnsi" w:cstheme="minorHAnsi"/>
                <w:color w:val="000000"/>
              </w:rPr>
            </w:pPr>
          </w:p>
        </w:tc>
      </w:tr>
      <w:tr w:rsidR="00066FDA" w:rsidRPr="00B561F1" w14:paraId="2126CEA1" w14:textId="77777777" w:rsidTr="00D34667">
        <w:trPr>
          <w:trHeight w:val="300"/>
        </w:trPr>
        <w:tc>
          <w:tcPr>
            <w:tcW w:w="3905" w:type="dxa"/>
            <w:noWrap/>
            <w:hideMark/>
          </w:tcPr>
          <w:p w14:paraId="1FD6CC7A" w14:textId="1672F1E8" w:rsidR="00066FDA" w:rsidRPr="00B561F1" w:rsidRDefault="00D1600D" w:rsidP="00066FDA">
            <w:pPr>
              <w:jc w:val="right"/>
              <w:rPr>
                <w:rFonts w:asciiTheme="minorHAnsi" w:hAnsiTheme="minorHAnsi" w:cstheme="minorHAnsi"/>
              </w:rPr>
            </w:pPr>
            <w:r w:rsidRPr="00B561F1">
              <w:rPr>
                <w:rFonts w:asciiTheme="minorHAnsi" w:hAnsiTheme="minorHAnsi" w:cstheme="minorHAnsi"/>
              </w:rPr>
              <w:t xml:space="preserve">FY19 </w:t>
            </w:r>
            <w:r w:rsidR="00066FDA" w:rsidRPr="00B561F1">
              <w:rPr>
                <w:rFonts w:asciiTheme="minorHAnsi" w:hAnsiTheme="minorHAnsi" w:cstheme="minorHAnsi"/>
              </w:rPr>
              <w:t>Revenue - Grants</w:t>
            </w:r>
          </w:p>
        </w:tc>
        <w:tc>
          <w:tcPr>
            <w:tcW w:w="2340" w:type="dxa"/>
            <w:vAlign w:val="bottom"/>
          </w:tcPr>
          <w:p w14:paraId="0E6F39AB" w14:textId="77777777" w:rsidR="00066FDA" w:rsidRPr="00B561F1" w:rsidRDefault="00066FDA" w:rsidP="00066FDA">
            <w:pPr>
              <w:jc w:val="right"/>
              <w:rPr>
                <w:rFonts w:asciiTheme="minorHAnsi" w:hAnsiTheme="minorHAnsi" w:cstheme="minorHAnsi"/>
                <w:color w:val="000000"/>
              </w:rPr>
            </w:pPr>
            <w:r w:rsidRPr="00B561F1">
              <w:rPr>
                <w:rFonts w:asciiTheme="minorHAnsi" w:hAnsiTheme="minorHAnsi" w:cstheme="minorHAnsi"/>
                <w:color w:val="000000"/>
              </w:rPr>
              <w:t xml:space="preserve"> $2,350,278 </w:t>
            </w:r>
          </w:p>
        </w:tc>
        <w:tc>
          <w:tcPr>
            <w:tcW w:w="2070" w:type="dxa"/>
          </w:tcPr>
          <w:p w14:paraId="5C040453" w14:textId="77777777" w:rsidR="00066FDA" w:rsidRPr="00B561F1" w:rsidRDefault="00066FDA" w:rsidP="00066FDA">
            <w:pPr>
              <w:jc w:val="right"/>
              <w:rPr>
                <w:rFonts w:asciiTheme="minorHAnsi" w:hAnsiTheme="minorHAnsi" w:cstheme="minorHAnsi"/>
                <w:color w:val="000000"/>
              </w:rPr>
            </w:pPr>
          </w:p>
        </w:tc>
      </w:tr>
      <w:tr w:rsidR="00D1600D" w:rsidRPr="00B561F1" w14:paraId="15A160FC" w14:textId="77777777" w:rsidTr="00D34667">
        <w:trPr>
          <w:trHeight w:val="300"/>
        </w:trPr>
        <w:tc>
          <w:tcPr>
            <w:tcW w:w="3905" w:type="dxa"/>
            <w:noWrap/>
            <w:hideMark/>
          </w:tcPr>
          <w:p w14:paraId="68D1AE3C"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Revenue, FY19</w:t>
            </w:r>
          </w:p>
        </w:tc>
        <w:tc>
          <w:tcPr>
            <w:tcW w:w="2340" w:type="dxa"/>
            <w:vAlign w:val="bottom"/>
          </w:tcPr>
          <w:p w14:paraId="4F161308" w14:textId="77777777" w:rsidR="00D1600D" w:rsidRPr="00B561F1" w:rsidRDefault="00D1600D" w:rsidP="00066FDA">
            <w:pPr>
              <w:jc w:val="right"/>
              <w:rPr>
                <w:rFonts w:asciiTheme="minorHAnsi" w:hAnsiTheme="minorHAnsi" w:cstheme="minorHAnsi"/>
                <w:color w:val="000000"/>
              </w:rPr>
            </w:pPr>
          </w:p>
        </w:tc>
        <w:tc>
          <w:tcPr>
            <w:tcW w:w="2070" w:type="dxa"/>
          </w:tcPr>
          <w:p w14:paraId="1CE4EE94"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$3,202,691</w:t>
            </w:r>
          </w:p>
        </w:tc>
      </w:tr>
      <w:tr w:rsidR="00066FDA" w:rsidRPr="00B561F1" w14:paraId="6796B827" w14:textId="77777777" w:rsidTr="00D34667">
        <w:trPr>
          <w:trHeight w:val="300"/>
        </w:trPr>
        <w:tc>
          <w:tcPr>
            <w:tcW w:w="3905" w:type="dxa"/>
            <w:noWrap/>
            <w:hideMark/>
          </w:tcPr>
          <w:p w14:paraId="6B126661" w14:textId="77777777" w:rsidR="00066FDA" w:rsidRPr="00B561F1" w:rsidRDefault="00066FDA" w:rsidP="00066FDA">
            <w:pPr>
              <w:jc w:val="right"/>
              <w:rPr>
                <w:rFonts w:asciiTheme="minorHAnsi" w:hAnsiTheme="minorHAnsi" w:cstheme="minorHAnsi"/>
              </w:rPr>
            </w:pPr>
            <w:r w:rsidRPr="00B561F1">
              <w:rPr>
                <w:rFonts w:asciiTheme="minorHAnsi" w:hAnsiTheme="minorHAnsi" w:cstheme="minorHAnsi"/>
              </w:rPr>
              <w:t>Expenses</w:t>
            </w:r>
          </w:p>
        </w:tc>
        <w:tc>
          <w:tcPr>
            <w:tcW w:w="2340" w:type="dxa"/>
            <w:vAlign w:val="bottom"/>
          </w:tcPr>
          <w:p w14:paraId="3BEE9857" w14:textId="77777777" w:rsidR="00066FDA" w:rsidRPr="00B561F1" w:rsidRDefault="00066FDA" w:rsidP="00D1600D">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D1600D" w:rsidRPr="00B561F1">
              <w:rPr>
                <w:rFonts w:asciiTheme="minorHAnsi" w:hAnsiTheme="minorHAnsi" w:cstheme="minorHAnsi"/>
                <w:color w:val="000000"/>
              </w:rPr>
              <w:t>(</w:t>
            </w:r>
            <w:r w:rsidRPr="00B561F1">
              <w:rPr>
                <w:rFonts w:asciiTheme="minorHAnsi" w:hAnsiTheme="minorHAnsi" w:cstheme="minorHAnsi"/>
                <w:color w:val="000000"/>
              </w:rPr>
              <w:t>$1,552,321)</w:t>
            </w:r>
          </w:p>
        </w:tc>
        <w:tc>
          <w:tcPr>
            <w:tcW w:w="2070" w:type="dxa"/>
          </w:tcPr>
          <w:p w14:paraId="4B571A3F" w14:textId="77777777" w:rsidR="00066FDA" w:rsidRPr="00B561F1" w:rsidRDefault="00066FDA" w:rsidP="00066FDA">
            <w:pPr>
              <w:jc w:val="right"/>
              <w:rPr>
                <w:rFonts w:asciiTheme="minorHAnsi" w:hAnsiTheme="minorHAnsi" w:cstheme="minorHAnsi"/>
                <w:color w:val="000000"/>
              </w:rPr>
            </w:pPr>
          </w:p>
        </w:tc>
      </w:tr>
      <w:tr w:rsidR="00066FDA" w:rsidRPr="00B561F1" w14:paraId="283FE70B" w14:textId="77777777" w:rsidTr="00D34667">
        <w:trPr>
          <w:trHeight w:val="300"/>
        </w:trPr>
        <w:tc>
          <w:tcPr>
            <w:tcW w:w="3905" w:type="dxa"/>
            <w:noWrap/>
            <w:hideMark/>
          </w:tcPr>
          <w:p w14:paraId="1C23A522" w14:textId="77777777" w:rsidR="00066FDA" w:rsidRPr="00B561F1" w:rsidRDefault="00066FDA" w:rsidP="00066FDA">
            <w:pPr>
              <w:jc w:val="right"/>
              <w:rPr>
                <w:rFonts w:asciiTheme="minorHAnsi" w:hAnsiTheme="minorHAnsi" w:cstheme="minorHAnsi"/>
              </w:rPr>
            </w:pPr>
            <w:r w:rsidRPr="00B561F1">
              <w:rPr>
                <w:rFonts w:asciiTheme="minorHAnsi" w:hAnsiTheme="minorHAnsi" w:cstheme="minorHAnsi"/>
              </w:rPr>
              <w:t>Expenses - Grants</w:t>
            </w:r>
          </w:p>
        </w:tc>
        <w:tc>
          <w:tcPr>
            <w:tcW w:w="2340" w:type="dxa"/>
            <w:vAlign w:val="bottom"/>
          </w:tcPr>
          <w:p w14:paraId="1E82D196" w14:textId="77777777" w:rsidR="00066FDA" w:rsidRPr="00B561F1" w:rsidRDefault="00066FDA" w:rsidP="00D1600D">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D1600D" w:rsidRPr="00B561F1">
              <w:rPr>
                <w:rFonts w:asciiTheme="minorHAnsi" w:hAnsiTheme="minorHAnsi" w:cstheme="minorHAnsi"/>
                <w:color w:val="000000"/>
              </w:rPr>
              <w:t>(</w:t>
            </w:r>
            <w:r w:rsidRPr="00B561F1">
              <w:rPr>
                <w:rFonts w:asciiTheme="minorHAnsi" w:hAnsiTheme="minorHAnsi" w:cstheme="minorHAnsi"/>
                <w:color w:val="000000"/>
              </w:rPr>
              <w:t>$2,033,275)</w:t>
            </w:r>
          </w:p>
        </w:tc>
        <w:tc>
          <w:tcPr>
            <w:tcW w:w="2070" w:type="dxa"/>
          </w:tcPr>
          <w:p w14:paraId="1BAF1EDE" w14:textId="77777777" w:rsidR="00066FDA" w:rsidRPr="00B561F1" w:rsidRDefault="00066FDA" w:rsidP="00066FDA">
            <w:pPr>
              <w:jc w:val="right"/>
              <w:rPr>
                <w:rFonts w:asciiTheme="minorHAnsi" w:hAnsiTheme="minorHAnsi" w:cstheme="minorHAnsi"/>
                <w:color w:val="000000"/>
              </w:rPr>
            </w:pPr>
          </w:p>
        </w:tc>
      </w:tr>
      <w:tr w:rsidR="00D1600D" w:rsidRPr="00B561F1" w14:paraId="179BA3BC" w14:textId="77777777" w:rsidTr="00D34667">
        <w:trPr>
          <w:trHeight w:val="300"/>
        </w:trPr>
        <w:tc>
          <w:tcPr>
            <w:tcW w:w="3905" w:type="dxa"/>
            <w:noWrap/>
            <w:hideMark/>
          </w:tcPr>
          <w:p w14:paraId="368F53E8"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Expenses, FY19</w:t>
            </w:r>
          </w:p>
        </w:tc>
        <w:tc>
          <w:tcPr>
            <w:tcW w:w="2340" w:type="dxa"/>
            <w:vAlign w:val="bottom"/>
          </w:tcPr>
          <w:p w14:paraId="3392CCFD" w14:textId="77777777" w:rsidR="00D1600D" w:rsidRPr="00B561F1" w:rsidRDefault="00D1600D" w:rsidP="00066FDA">
            <w:pPr>
              <w:jc w:val="right"/>
              <w:rPr>
                <w:rFonts w:asciiTheme="minorHAnsi" w:hAnsiTheme="minorHAnsi" w:cstheme="minorHAnsi"/>
                <w:color w:val="000000"/>
              </w:rPr>
            </w:pPr>
          </w:p>
        </w:tc>
        <w:tc>
          <w:tcPr>
            <w:tcW w:w="2070" w:type="dxa"/>
          </w:tcPr>
          <w:p w14:paraId="21CEDA5B"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($3,585,596)</w:t>
            </w:r>
          </w:p>
        </w:tc>
      </w:tr>
      <w:tr w:rsidR="00D1600D" w:rsidRPr="00B561F1" w14:paraId="0DEF487F" w14:textId="77777777" w:rsidTr="00D34667">
        <w:trPr>
          <w:trHeight w:val="300"/>
        </w:trPr>
        <w:tc>
          <w:tcPr>
            <w:tcW w:w="3905" w:type="dxa"/>
            <w:noWrap/>
            <w:hideMark/>
          </w:tcPr>
          <w:p w14:paraId="48E5327F" w14:textId="77777777" w:rsidR="00D1600D" w:rsidRPr="00B561F1" w:rsidRDefault="00D1600D" w:rsidP="00066FDA">
            <w:pPr>
              <w:jc w:val="right"/>
              <w:rPr>
                <w:rFonts w:asciiTheme="minorHAnsi" w:hAnsiTheme="minorHAnsi" w:cstheme="minorHAnsi"/>
              </w:rPr>
            </w:pPr>
            <w:r w:rsidRPr="00B561F1">
              <w:rPr>
                <w:rFonts w:asciiTheme="minorHAnsi" w:hAnsiTheme="minorHAnsi" w:cstheme="minorHAnsi"/>
              </w:rPr>
              <w:t>Overhead &amp; Taxes</w:t>
            </w:r>
          </w:p>
        </w:tc>
        <w:tc>
          <w:tcPr>
            <w:tcW w:w="2340" w:type="dxa"/>
            <w:vAlign w:val="bottom"/>
          </w:tcPr>
          <w:p w14:paraId="1BCF0BC1" w14:textId="77777777" w:rsidR="00D1600D" w:rsidRPr="00B561F1" w:rsidRDefault="00D1600D" w:rsidP="00D1600D">
            <w:pPr>
              <w:jc w:val="right"/>
              <w:rPr>
                <w:rFonts w:asciiTheme="minorHAnsi" w:hAnsiTheme="minorHAnsi" w:cstheme="minorHAnsi"/>
                <w:color w:val="000000"/>
              </w:rPr>
            </w:pPr>
            <w:r w:rsidRPr="00B561F1">
              <w:rPr>
                <w:rFonts w:asciiTheme="minorHAnsi" w:hAnsiTheme="minorHAnsi" w:cstheme="minorHAnsi"/>
                <w:color w:val="000000"/>
              </w:rPr>
              <w:t>($49,632)</w:t>
            </w:r>
          </w:p>
        </w:tc>
        <w:tc>
          <w:tcPr>
            <w:tcW w:w="2070" w:type="dxa"/>
          </w:tcPr>
          <w:p w14:paraId="7102A7E1" w14:textId="77777777" w:rsidR="00D1600D" w:rsidRPr="00B561F1" w:rsidRDefault="00D1600D" w:rsidP="00066FDA">
            <w:pPr>
              <w:jc w:val="right"/>
              <w:rPr>
                <w:rFonts w:asciiTheme="minorHAnsi" w:hAnsiTheme="minorHAnsi" w:cstheme="minorHAnsi"/>
                <w:color w:val="000000"/>
              </w:rPr>
            </w:pPr>
          </w:p>
        </w:tc>
      </w:tr>
      <w:tr w:rsidR="00D1600D" w:rsidRPr="00B561F1" w14:paraId="2302B3AE" w14:textId="77777777" w:rsidTr="00D34667">
        <w:trPr>
          <w:trHeight w:val="300"/>
        </w:trPr>
        <w:tc>
          <w:tcPr>
            <w:tcW w:w="3905" w:type="dxa"/>
            <w:noWrap/>
            <w:hideMark/>
          </w:tcPr>
          <w:p w14:paraId="2FBCD707" w14:textId="77777777" w:rsidR="00D1600D" w:rsidRPr="00B561F1" w:rsidRDefault="00D1600D" w:rsidP="00066FDA">
            <w:pPr>
              <w:jc w:val="right"/>
              <w:rPr>
                <w:rFonts w:asciiTheme="minorHAnsi" w:hAnsiTheme="minorHAnsi" w:cstheme="minorHAnsi"/>
              </w:rPr>
            </w:pPr>
            <w:r w:rsidRPr="00B561F1">
              <w:rPr>
                <w:rFonts w:asciiTheme="minorHAnsi" w:hAnsiTheme="minorHAnsi" w:cstheme="minorHAnsi"/>
              </w:rPr>
              <w:t>Overhead &amp; Taxes - Grants</w:t>
            </w:r>
          </w:p>
        </w:tc>
        <w:tc>
          <w:tcPr>
            <w:tcW w:w="2340" w:type="dxa"/>
            <w:vAlign w:val="bottom"/>
          </w:tcPr>
          <w:p w14:paraId="7A91E56E"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($317,003)</w:t>
            </w:r>
          </w:p>
        </w:tc>
        <w:tc>
          <w:tcPr>
            <w:tcW w:w="2070" w:type="dxa"/>
          </w:tcPr>
          <w:p w14:paraId="4A1BAE83" w14:textId="77777777" w:rsidR="00D1600D" w:rsidRPr="00B561F1" w:rsidRDefault="00D1600D" w:rsidP="00066FDA">
            <w:pPr>
              <w:jc w:val="right"/>
              <w:rPr>
                <w:rFonts w:asciiTheme="minorHAnsi" w:hAnsiTheme="minorHAnsi" w:cstheme="minorHAnsi"/>
                <w:color w:val="000000"/>
              </w:rPr>
            </w:pPr>
          </w:p>
        </w:tc>
      </w:tr>
      <w:tr w:rsidR="00D1600D" w:rsidRPr="00B561F1" w14:paraId="4683A893" w14:textId="77777777" w:rsidTr="00D34667">
        <w:trPr>
          <w:trHeight w:val="300"/>
        </w:trPr>
        <w:tc>
          <w:tcPr>
            <w:tcW w:w="3905" w:type="dxa"/>
            <w:noWrap/>
            <w:hideMark/>
          </w:tcPr>
          <w:p w14:paraId="39B3D6C1"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OH &amp; Taxes, FY19</w:t>
            </w:r>
          </w:p>
        </w:tc>
        <w:tc>
          <w:tcPr>
            <w:tcW w:w="2340" w:type="dxa"/>
            <w:vAlign w:val="bottom"/>
          </w:tcPr>
          <w:p w14:paraId="43427AF6"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w:t>
            </w:r>
          </w:p>
        </w:tc>
        <w:tc>
          <w:tcPr>
            <w:tcW w:w="2070" w:type="dxa"/>
          </w:tcPr>
          <w:p w14:paraId="687408D4"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($366,635)</w:t>
            </w:r>
          </w:p>
        </w:tc>
      </w:tr>
      <w:tr w:rsidR="00D1600D" w:rsidRPr="00B561F1" w14:paraId="1492188B" w14:textId="77777777" w:rsidTr="00D34667">
        <w:trPr>
          <w:trHeight w:val="300"/>
        </w:trPr>
        <w:tc>
          <w:tcPr>
            <w:tcW w:w="3905" w:type="dxa"/>
            <w:noWrap/>
            <w:hideMark/>
          </w:tcPr>
          <w:p w14:paraId="43E6D709"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Fiscal Year Results</w:t>
            </w:r>
          </w:p>
        </w:tc>
        <w:tc>
          <w:tcPr>
            <w:tcW w:w="2340" w:type="dxa"/>
            <w:vAlign w:val="bottom"/>
          </w:tcPr>
          <w:p w14:paraId="09D440A0" w14:textId="77777777" w:rsidR="00D1600D" w:rsidRPr="00B561F1" w:rsidRDefault="00D1600D" w:rsidP="00D1600D">
            <w:pPr>
              <w:jc w:val="right"/>
              <w:rPr>
                <w:rFonts w:asciiTheme="minorHAnsi" w:hAnsiTheme="minorHAnsi" w:cstheme="minorHAnsi"/>
                <w:color w:val="000000"/>
              </w:rPr>
            </w:pPr>
          </w:p>
        </w:tc>
        <w:tc>
          <w:tcPr>
            <w:tcW w:w="2070" w:type="dxa"/>
          </w:tcPr>
          <w:p w14:paraId="2EBFF12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($749,540)</w:t>
            </w:r>
          </w:p>
        </w:tc>
      </w:tr>
      <w:tr w:rsidR="00D1600D" w:rsidRPr="00B561F1" w14:paraId="7AFA4D2D" w14:textId="77777777" w:rsidTr="00D34667">
        <w:trPr>
          <w:trHeight w:val="300"/>
        </w:trPr>
        <w:tc>
          <w:tcPr>
            <w:tcW w:w="3905" w:type="dxa"/>
            <w:noWrap/>
          </w:tcPr>
          <w:p w14:paraId="43C43DA6"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Projected Fund Balance, FY19 Close</w:t>
            </w:r>
          </w:p>
        </w:tc>
        <w:tc>
          <w:tcPr>
            <w:tcW w:w="2340" w:type="dxa"/>
            <w:vAlign w:val="bottom"/>
          </w:tcPr>
          <w:p w14:paraId="5A7DE923" w14:textId="77777777" w:rsidR="00D1600D" w:rsidRPr="00B561F1" w:rsidRDefault="00D1600D" w:rsidP="00D1600D">
            <w:pPr>
              <w:jc w:val="right"/>
              <w:rPr>
                <w:rFonts w:asciiTheme="minorHAnsi" w:hAnsiTheme="minorHAnsi" w:cstheme="minorHAnsi"/>
                <w:color w:val="000000"/>
              </w:rPr>
            </w:pPr>
          </w:p>
        </w:tc>
        <w:tc>
          <w:tcPr>
            <w:tcW w:w="2070" w:type="dxa"/>
          </w:tcPr>
          <w:p w14:paraId="2B65C9C5"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$3,116,683</w:t>
            </w:r>
          </w:p>
        </w:tc>
      </w:tr>
    </w:tbl>
    <w:p w14:paraId="7BFE93C6" w14:textId="77777777" w:rsidR="00DB0302" w:rsidRPr="00B561F1" w:rsidRDefault="00DB0302" w:rsidP="00066FDA">
      <w:pPr>
        <w:rPr>
          <w:rFonts w:asciiTheme="minorHAnsi" w:hAnsiTheme="minorHAnsi" w:cstheme="minorHAnsi"/>
        </w:rPr>
      </w:pPr>
    </w:p>
    <w:p w14:paraId="3BA09CF1" w14:textId="13085E09" w:rsidR="00D34667" w:rsidRPr="00B561F1" w:rsidRDefault="00D34667" w:rsidP="00D34667">
      <w:pPr>
        <w:rPr>
          <w:rFonts w:asciiTheme="minorHAnsi" w:hAnsiTheme="minorHAnsi" w:cstheme="minorHAnsi"/>
          <w:b/>
        </w:rPr>
      </w:pPr>
      <w:r w:rsidRPr="00B561F1">
        <w:rPr>
          <w:rFonts w:asciiTheme="minorHAnsi" w:hAnsiTheme="minorHAnsi" w:cstheme="minorHAnsi"/>
          <w:b/>
        </w:rPr>
        <w:t xml:space="preserve">FY19 Budget </w:t>
      </w:r>
      <w:r>
        <w:rPr>
          <w:rFonts w:asciiTheme="minorHAnsi" w:hAnsiTheme="minorHAnsi" w:cstheme="minorHAnsi"/>
          <w:b/>
        </w:rPr>
        <w:t xml:space="preserve">Status as of </w:t>
      </w:r>
      <w:r w:rsidR="000825E8">
        <w:rPr>
          <w:rFonts w:asciiTheme="minorHAnsi" w:hAnsiTheme="minorHAnsi" w:cstheme="minorHAnsi"/>
          <w:b/>
        </w:rPr>
        <w:t>April</w:t>
      </w:r>
      <w:r>
        <w:rPr>
          <w:rFonts w:asciiTheme="minorHAnsi" w:hAnsiTheme="minorHAnsi" w:cstheme="minorHAnsi"/>
          <w:b/>
        </w:rPr>
        <w:t xml:space="preserve"> 2019</w:t>
      </w:r>
      <w:r w:rsidR="00573F34">
        <w:rPr>
          <w:rFonts w:asciiTheme="minorHAnsi" w:hAnsiTheme="minorHAnsi" w:cstheme="minorHAnsi"/>
          <w:b/>
        </w:rPr>
        <w:t>*</w:t>
      </w:r>
    </w:p>
    <w:p w14:paraId="7077FE13" w14:textId="77777777" w:rsidR="00DB0302" w:rsidRPr="00B561F1" w:rsidRDefault="00DB0302" w:rsidP="00066FDA">
      <w:pPr>
        <w:rPr>
          <w:rFonts w:asciiTheme="minorHAnsi" w:hAnsiTheme="minorHAnsi" w:cstheme="minorHAnsi"/>
          <w:u w:val="single"/>
        </w:rPr>
      </w:pPr>
      <w:r w:rsidRPr="00B561F1">
        <w:rPr>
          <w:rFonts w:asciiTheme="minorHAnsi" w:hAnsiTheme="minorHAnsi" w:cstheme="minorHAnsi"/>
          <w:u w:val="single"/>
        </w:rPr>
        <w:t>Operating Budget</w:t>
      </w:r>
    </w:p>
    <w:p w14:paraId="6BD38F2C" w14:textId="512D70E0" w:rsidR="00A11259" w:rsidRDefault="00114C41" w:rsidP="00A1125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888B16E" wp14:editId="3030F8BC">
                <wp:simplePos x="0" y="0"/>
                <wp:positionH relativeFrom="column">
                  <wp:posOffset>3435211</wp:posOffset>
                </wp:positionH>
                <wp:positionV relativeFrom="paragraph">
                  <wp:posOffset>255629</wp:posOffset>
                </wp:positionV>
                <wp:extent cx="279400" cy="2241550"/>
                <wp:effectExtent l="38100" t="0" r="25400" b="63500"/>
                <wp:wrapNone/>
                <wp:docPr id="3" name="Connector: Curved 3"/>
                <wp:cNvGraphicFramePr/>
                <a:graphic xmlns:a="http://schemas.openxmlformats.org/drawingml/2006/main">
                  <a:graphicData uri="http://schemas.microsoft.com/office/word/2010/wordprocessingShape">
                    <wps:wsp>
                      <wps:cNvCnPr/>
                      <wps:spPr>
                        <a:xfrm flipH="1">
                          <a:off x="0" y="0"/>
                          <a:ext cx="279400" cy="22415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67179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 o:spid="_x0000_s1026" type="#_x0000_t38" style="position:absolute;margin-left:270.5pt;margin-top:20.15pt;width:22pt;height:17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" adj="10800" strokecolor="#4579b8 [3044]">
                <v:stroke endarrow="block"/>
              </v:shape>
            </w:pict>
          </mc:Fallback>
        </mc:AlternateContent>
      </w:r>
      <w:r w:rsidR="00A11259">
        <w:rPr>
          <w:rFonts w:asciiTheme="minorHAnsi" w:hAnsiTheme="minorHAnsi" w:cstheme="minorHAnsi"/>
        </w:rPr>
        <w:t>A</w:t>
      </w:r>
      <w:r w:rsidR="00A11259" w:rsidRPr="00B561F1">
        <w:rPr>
          <w:rFonts w:asciiTheme="minorHAnsi" w:hAnsiTheme="minorHAnsi" w:cstheme="minorHAnsi"/>
        </w:rPr>
        <w:t xml:space="preserve">s of </w:t>
      </w:r>
      <w:r w:rsidR="000825E8">
        <w:rPr>
          <w:rFonts w:asciiTheme="minorHAnsi" w:hAnsiTheme="minorHAnsi" w:cstheme="minorHAnsi"/>
        </w:rPr>
        <w:t>April</w:t>
      </w:r>
      <w:r w:rsidR="00A11259">
        <w:rPr>
          <w:rFonts w:asciiTheme="minorHAnsi" w:hAnsiTheme="minorHAnsi" w:cstheme="minorHAnsi"/>
        </w:rPr>
        <w:t xml:space="preserve"> 2019</w:t>
      </w:r>
      <w:r w:rsidR="00A11259" w:rsidRPr="00B561F1">
        <w:rPr>
          <w:rFonts w:asciiTheme="minorHAnsi" w:hAnsiTheme="minorHAnsi" w:cstheme="minorHAnsi"/>
        </w:rPr>
        <w:t xml:space="preserve">, PLA </w:t>
      </w:r>
      <w:r w:rsidR="00A11259">
        <w:rPr>
          <w:rFonts w:asciiTheme="minorHAnsi" w:hAnsiTheme="minorHAnsi" w:cstheme="minorHAnsi"/>
        </w:rPr>
        <w:t xml:space="preserve">has an actual </w:t>
      </w:r>
      <w:r w:rsidR="00A11259" w:rsidRPr="00B561F1">
        <w:rPr>
          <w:rFonts w:asciiTheme="minorHAnsi" w:hAnsiTheme="minorHAnsi" w:cstheme="minorHAnsi"/>
        </w:rPr>
        <w:t xml:space="preserve">operating loss of </w:t>
      </w:r>
      <w:r w:rsidR="00A11259" w:rsidRPr="00573F34">
        <w:rPr>
          <w:rFonts w:asciiTheme="minorHAnsi" w:hAnsiTheme="minorHAnsi" w:cstheme="minorHAnsi"/>
          <w:highlight w:val="yellow"/>
        </w:rPr>
        <w:t>$</w:t>
      </w:r>
      <w:r w:rsidRPr="00114C41">
        <w:rPr>
          <w:rFonts w:asciiTheme="minorHAnsi" w:hAnsiTheme="minorHAnsi" w:cstheme="minorHAnsi"/>
          <w:highlight w:val="yellow"/>
        </w:rPr>
        <w:t>237,378</w:t>
      </w:r>
      <w:r w:rsidR="00A11259">
        <w:rPr>
          <w:rFonts w:asciiTheme="minorHAnsi" w:hAnsiTheme="minorHAnsi" w:cstheme="minorHAnsi"/>
        </w:rPr>
        <w:t xml:space="preserve">, compared to a budgeted operating loss of </w:t>
      </w:r>
      <w:r w:rsidR="00A11259" w:rsidRPr="00573F34">
        <w:rPr>
          <w:rFonts w:asciiTheme="minorHAnsi" w:hAnsiTheme="minorHAnsi" w:cstheme="minorHAnsi"/>
          <w:highlight w:val="yellow"/>
        </w:rPr>
        <w:t>$</w:t>
      </w:r>
      <w:r w:rsidRPr="00114C41">
        <w:rPr>
          <w:rFonts w:asciiTheme="minorHAnsi" w:hAnsiTheme="minorHAnsi" w:cstheme="minorHAnsi"/>
          <w:highlight w:val="yellow"/>
        </w:rPr>
        <w:t>513,196</w:t>
      </w:r>
      <w:r w:rsidR="00A11259">
        <w:rPr>
          <w:rFonts w:asciiTheme="minorHAnsi" w:hAnsiTheme="minorHAnsi" w:cstheme="minorHAnsi"/>
        </w:rPr>
        <w:t>. This significant (</w:t>
      </w:r>
      <w:r>
        <w:rPr>
          <w:rFonts w:asciiTheme="minorHAnsi" w:hAnsiTheme="minorHAnsi" w:cstheme="minorHAnsi"/>
        </w:rPr>
        <w:t>47</w:t>
      </w:r>
      <w:r w:rsidR="00A11259">
        <w:rPr>
          <w:rFonts w:asciiTheme="minorHAnsi" w:hAnsiTheme="minorHAnsi" w:cstheme="minorHAnsi"/>
        </w:rPr>
        <w:t xml:space="preserve">%) variance is due to lower expenses and </w:t>
      </w:r>
      <w:r>
        <w:rPr>
          <w:rFonts w:asciiTheme="minorHAnsi" w:hAnsiTheme="minorHAnsi" w:cstheme="minorHAnsi"/>
        </w:rPr>
        <w:t xml:space="preserve">increased </w:t>
      </w:r>
      <w:r w:rsidR="00A11259">
        <w:rPr>
          <w:rFonts w:asciiTheme="minorHAnsi" w:hAnsiTheme="minorHAnsi" w:cstheme="minorHAnsi"/>
        </w:rPr>
        <w:t>sponsorship revenue that was not anticipated during the budgeting process.</w:t>
      </w:r>
    </w:p>
    <w:p w14:paraId="7BBC1B4F" w14:textId="34B21E29" w:rsidR="00FF34A4" w:rsidRDefault="00FF34A4" w:rsidP="00066FDA">
      <w:pPr>
        <w:rPr>
          <w:rFonts w:asciiTheme="minorHAnsi" w:hAnsiTheme="minorHAnsi" w:cstheme="minorHAnsi"/>
        </w:rPr>
      </w:pPr>
    </w:p>
    <w:tbl>
      <w:tblPr>
        <w:tblW w:w="94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409"/>
        <w:gridCol w:w="1451"/>
        <w:gridCol w:w="1341"/>
        <w:gridCol w:w="1317"/>
        <w:gridCol w:w="1341"/>
      </w:tblGrid>
      <w:tr w:rsidR="00A11259" w:rsidRPr="00E07AE6" w14:paraId="6672BB77" w14:textId="77777777" w:rsidTr="0007292D">
        <w:trPr>
          <w:trHeight w:val="255"/>
        </w:trPr>
        <w:tc>
          <w:tcPr>
            <w:tcW w:w="2623" w:type="dxa"/>
            <w:shd w:val="clear" w:color="auto" w:fill="auto"/>
            <w:noWrap/>
            <w:vAlign w:val="bottom"/>
            <w:hideMark/>
          </w:tcPr>
          <w:p w14:paraId="0435F84F" w14:textId="7285C717" w:rsidR="00A11259" w:rsidRPr="00E07AE6" w:rsidRDefault="00573F34" w:rsidP="0007292D">
            <w:pPr>
              <w:jc w:val="right"/>
              <w:rPr>
                <w:rFonts w:ascii="Arial" w:hAnsi="Arial" w:cs="Arial"/>
                <w:b/>
                <w:sz w:val="20"/>
                <w:szCs w:val="20"/>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4DA959F" wp14:editId="7D1B4287">
                      <wp:simplePos x="0" y="0"/>
                      <wp:positionH relativeFrom="column">
                        <wp:posOffset>1083945</wp:posOffset>
                      </wp:positionH>
                      <wp:positionV relativeFrom="paragraph">
                        <wp:posOffset>-351790</wp:posOffset>
                      </wp:positionV>
                      <wp:extent cx="692150" cy="2000250"/>
                      <wp:effectExtent l="0" t="0" r="50800" b="57150"/>
                      <wp:wrapNone/>
                      <wp:docPr id="2" name="Connector: Curved 2"/>
                      <wp:cNvGraphicFramePr/>
                      <a:graphic xmlns:a="http://schemas.openxmlformats.org/drawingml/2006/main">
                        <a:graphicData uri="http://schemas.microsoft.com/office/word/2010/wordprocessingShape">
                          <wps:wsp>
                            <wps:cNvCnPr/>
                            <wps:spPr>
                              <a:xfrm>
                                <a:off x="0" y="0"/>
                                <a:ext cx="692150" cy="20002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C01A3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position:absolute;margin-left:85.35pt;margin-top:-27.7pt;width:5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" adj="10800" strokecolor="#4579b8 [3044]">
                      <v:stroke endarrow="block"/>
                    </v:shape>
                  </w:pict>
                </mc:Fallback>
              </mc:AlternateContent>
            </w:r>
          </w:p>
        </w:tc>
        <w:tc>
          <w:tcPr>
            <w:tcW w:w="1409" w:type="dxa"/>
            <w:shd w:val="clear" w:color="auto" w:fill="auto"/>
            <w:noWrap/>
            <w:vAlign w:val="bottom"/>
            <w:hideMark/>
          </w:tcPr>
          <w:p w14:paraId="6E152B7B" w14:textId="02F45CFB" w:rsidR="00D34667" w:rsidRDefault="000825E8" w:rsidP="0007292D">
            <w:pPr>
              <w:rPr>
                <w:rFonts w:ascii="Arial" w:hAnsi="Arial" w:cs="Arial"/>
                <w:b/>
                <w:sz w:val="20"/>
                <w:szCs w:val="20"/>
              </w:rPr>
            </w:pPr>
            <w:r>
              <w:rPr>
                <w:rFonts w:ascii="Arial" w:hAnsi="Arial" w:cs="Arial"/>
                <w:b/>
                <w:sz w:val="20"/>
                <w:szCs w:val="20"/>
              </w:rPr>
              <w:t>Apr</w:t>
            </w:r>
            <w:r w:rsidR="00D34667">
              <w:rPr>
                <w:rFonts w:ascii="Arial" w:hAnsi="Arial" w:cs="Arial"/>
                <w:b/>
                <w:sz w:val="20"/>
                <w:szCs w:val="20"/>
              </w:rPr>
              <w:t xml:space="preserve"> 2019</w:t>
            </w:r>
          </w:p>
          <w:p w14:paraId="2583ABD8" w14:textId="67D19384" w:rsidR="00A11259" w:rsidRPr="00E07AE6" w:rsidRDefault="00A11259" w:rsidP="0007292D">
            <w:pPr>
              <w:rPr>
                <w:rFonts w:ascii="Arial" w:hAnsi="Arial" w:cs="Arial"/>
                <w:b/>
                <w:sz w:val="20"/>
                <w:szCs w:val="20"/>
              </w:rPr>
            </w:pPr>
            <w:r w:rsidRPr="00E07AE6">
              <w:rPr>
                <w:rFonts w:ascii="Arial" w:hAnsi="Arial" w:cs="Arial"/>
                <w:b/>
                <w:sz w:val="20"/>
                <w:szCs w:val="20"/>
              </w:rPr>
              <w:t>YTD Budget</w:t>
            </w:r>
          </w:p>
        </w:tc>
        <w:tc>
          <w:tcPr>
            <w:tcW w:w="1451" w:type="dxa"/>
            <w:shd w:val="clear" w:color="auto" w:fill="auto"/>
            <w:noWrap/>
            <w:vAlign w:val="bottom"/>
            <w:hideMark/>
          </w:tcPr>
          <w:p w14:paraId="3F5B1810" w14:textId="373F7901" w:rsidR="00D34667" w:rsidRDefault="000825E8" w:rsidP="0007292D">
            <w:pPr>
              <w:rPr>
                <w:rFonts w:ascii="Arial" w:hAnsi="Arial" w:cs="Arial"/>
                <w:b/>
                <w:sz w:val="20"/>
                <w:szCs w:val="20"/>
              </w:rPr>
            </w:pPr>
            <w:r>
              <w:rPr>
                <w:rFonts w:ascii="Arial" w:hAnsi="Arial" w:cs="Arial"/>
                <w:b/>
                <w:sz w:val="20"/>
                <w:szCs w:val="20"/>
              </w:rPr>
              <w:t>Apr</w:t>
            </w:r>
            <w:r w:rsidR="00D34667">
              <w:rPr>
                <w:rFonts w:ascii="Arial" w:hAnsi="Arial" w:cs="Arial"/>
                <w:b/>
                <w:sz w:val="20"/>
                <w:szCs w:val="20"/>
              </w:rPr>
              <w:t xml:space="preserve"> 2019 </w:t>
            </w:r>
          </w:p>
          <w:p w14:paraId="47643956" w14:textId="4E5F76BD" w:rsidR="00A11259" w:rsidRPr="00E07AE6" w:rsidRDefault="00A11259" w:rsidP="0007292D">
            <w:pPr>
              <w:rPr>
                <w:rFonts w:ascii="Arial" w:hAnsi="Arial" w:cs="Arial"/>
                <w:b/>
                <w:sz w:val="20"/>
                <w:szCs w:val="20"/>
              </w:rPr>
            </w:pPr>
            <w:r w:rsidRPr="00E07AE6">
              <w:rPr>
                <w:rFonts w:ascii="Arial" w:hAnsi="Arial" w:cs="Arial"/>
                <w:b/>
                <w:sz w:val="20"/>
                <w:szCs w:val="20"/>
              </w:rPr>
              <w:t>YTD Actual</w:t>
            </w:r>
          </w:p>
        </w:tc>
        <w:tc>
          <w:tcPr>
            <w:tcW w:w="1341" w:type="dxa"/>
            <w:shd w:val="clear" w:color="auto" w:fill="auto"/>
            <w:noWrap/>
            <w:vAlign w:val="bottom"/>
            <w:hideMark/>
          </w:tcPr>
          <w:p w14:paraId="6AF87719" w14:textId="79FDF6A5" w:rsidR="00A11259" w:rsidRPr="00E07AE6" w:rsidRDefault="000825E8" w:rsidP="0007292D">
            <w:pPr>
              <w:rPr>
                <w:rFonts w:ascii="Arial" w:hAnsi="Arial" w:cs="Arial"/>
                <w:b/>
                <w:sz w:val="20"/>
                <w:szCs w:val="20"/>
              </w:rPr>
            </w:pPr>
            <w:r>
              <w:rPr>
                <w:rFonts w:ascii="Arial" w:hAnsi="Arial" w:cs="Arial"/>
                <w:b/>
                <w:sz w:val="20"/>
                <w:szCs w:val="20"/>
              </w:rPr>
              <w:t>Apr</w:t>
            </w:r>
            <w:r w:rsidR="00D34667">
              <w:rPr>
                <w:rFonts w:ascii="Arial" w:hAnsi="Arial" w:cs="Arial"/>
                <w:b/>
                <w:sz w:val="20"/>
                <w:szCs w:val="20"/>
              </w:rPr>
              <w:t xml:space="preserve"> 2019 </w:t>
            </w:r>
            <w:r w:rsidR="00A11259" w:rsidRPr="00E07AE6">
              <w:rPr>
                <w:rFonts w:ascii="Arial" w:hAnsi="Arial" w:cs="Arial"/>
                <w:b/>
                <w:sz w:val="20"/>
                <w:szCs w:val="20"/>
              </w:rPr>
              <w:t>Variance</w:t>
            </w:r>
          </w:p>
        </w:tc>
        <w:tc>
          <w:tcPr>
            <w:tcW w:w="1317" w:type="dxa"/>
            <w:shd w:val="clear" w:color="auto" w:fill="auto"/>
            <w:noWrap/>
            <w:vAlign w:val="bottom"/>
            <w:hideMark/>
          </w:tcPr>
          <w:p w14:paraId="58FDF8A2" w14:textId="707608C3" w:rsidR="00A11259" w:rsidRPr="00E07AE6" w:rsidRDefault="000825E8" w:rsidP="0007292D">
            <w:pPr>
              <w:rPr>
                <w:rFonts w:ascii="Arial" w:hAnsi="Arial" w:cs="Arial"/>
                <w:b/>
                <w:sz w:val="20"/>
                <w:szCs w:val="20"/>
              </w:rPr>
            </w:pPr>
            <w:r>
              <w:rPr>
                <w:rFonts w:ascii="Arial" w:hAnsi="Arial" w:cs="Arial"/>
                <w:b/>
                <w:sz w:val="20"/>
                <w:szCs w:val="20"/>
              </w:rPr>
              <w:t>Apr</w:t>
            </w:r>
            <w:r w:rsidR="00D34667">
              <w:rPr>
                <w:rFonts w:ascii="Arial" w:hAnsi="Arial" w:cs="Arial"/>
                <w:b/>
                <w:sz w:val="20"/>
                <w:szCs w:val="20"/>
              </w:rPr>
              <w:t xml:space="preserve"> 2019 </w:t>
            </w:r>
            <w:r w:rsidR="00A11259" w:rsidRPr="00E07AE6">
              <w:rPr>
                <w:rFonts w:ascii="Arial" w:hAnsi="Arial" w:cs="Arial"/>
                <w:b/>
                <w:sz w:val="20"/>
                <w:szCs w:val="20"/>
              </w:rPr>
              <w:t>Variance %</w:t>
            </w:r>
          </w:p>
        </w:tc>
        <w:tc>
          <w:tcPr>
            <w:tcW w:w="1341" w:type="dxa"/>
            <w:shd w:val="clear" w:color="auto" w:fill="auto"/>
            <w:noWrap/>
            <w:vAlign w:val="bottom"/>
            <w:hideMark/>
          </w:tcPr>
          <w:p w14:paraId="2238571D" w14:textId="77777777" w:rsidR="00A11259" w:rsidRPr="00E07AE6" w:rsidRDefault="00A11259" w:rsidP="0007292D">
            <w:pPr>
              <w:rPr>
                <w:rFonts w:ascii="Arial" w:hAnsi="Arial" w:cs="Arial"/>
                <w:b/>
                <w:sz w:val="20"/>
                <w:szCs w:val="20"/>
              </w:rPr>
            </w:pPr>
            <w:r w:rsidRPr="00E07AE6">
              <w:rPr>
                <w:rFonts w:ascii="Arial" w:hAnsi="Arial" w:cs="Arial"/>
                <w:b/>
                <w:sz w:val="20"/>
                <w:szCs w:val="20"/>
              </w:rPr>
              <w:t>Remaining Current Budget</w:t>
            </w:r>
          </w:p>
        </w:tc>
      </w:tr>
      <w:tr w:rsidR="00A11259" w:rsidRPr="00E07AE6" w14:paraId="2B1935A9" w14:textId="77777777" w:rsidTr="0007292D">
        <w:trPr>
          <w:trHeight w:val="255"/>
        </w:trPr>
        <w:tc>
          <w:tcPr>
            <w:tcW w:w="2623" w:type="dxa"/>
            <w:shd w:val="clear" w:color="auto" w:fill="auto"/>
            <w:noWrap/>
            <w:vAlign w:val="bottom"/>
            <w:hideMark/>
          </w:tcPr>
          <w:p w14:paraId="5A8EAC74" w14:textId="77777777" w:rsidR="00A11259" w:rsidRPr="00E07AE6" w:rsidRDefault="00A11259" w:rsidP="0007292D">
            <w:pPr>
              <w:jc w:val="right"/>
              <w:rPr>
                <w:rFonts w:ascii="Arial" w:hAnsi="Arial" w:cs="Arial"/>
                <w:b/>
                <w:sz w:val="20"/>
                <w:szCs w:val="20"/>
              </w:rPr>
            </w:pPr>
            <w:r w:rsidRPr="00E07AE6">
              <w:rPr>
                <w:rFonts w:ascii="Arial" w:hAnsi="Arial" w:cs="Arial"/>
                <w:b/>
                <w:sz w:val="20"/>
                <w:szCs w:val="20"/>
              </w:rPr>
              <w:t>Total Revenues</w:t>
            </w:r>
          </w:p>
        </w:tc>
        <w:tc>
          <w:tcPr>
            <w:tcW w:w="1409" w:type="dxa"/>
            <w:shd w:val="clear" w:color="auto" w:fill="auto"/>
            <w:noWrap/>
            <w:vAlign w:val="bottom"/>
            <w:hideMark/>
          </w:tcPr>
          <w:p w14:paraId="2E7AD162" w14:textId="6DE20385" w:rsidR="00A11259" w:rsidRPr="00E07AE6" w:rsidRDefault="00A11259" w:rsidP="0007292D">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564,348</w:t>
            </w:r>
            <w:r w:rsidRPr="00E07AE6">
              <w:rPr>
                <w:rFonts w:ascii="Arial" w:hAnsi="Arial" w:cs="Arial"/>
                <w:sz w:val="20"/>
                <w:szCs w:val="20"/>
              </w:rPr>
              <w:t xml:space="preserve"> </w:t>
            </w:r>
          </w:p>
        </w:tc>
        <w:tc>
          <w:tcPr>
            <w:tcW w:w="1451" w:type="dxa"/>
            <w:shd w:val="clear" w:color="auto" w:fill="auto"/>
            <w:noWrap/>
            <w:vAlign w:val="bottom"/>
            <w:hideMark/>
          </w:tcPr>
          <w:p w14:paraId="38BF5E04" w14:textId="65E1DB7A" w:rsidR="00A11259" w:rsidRPr="00E07AE6" w:rsidRDefault="00A11259" w:rsidP="0007292D">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527,483</w:t>
            </w:r>
            <w:r w:rsidRPr="00E07AE6">
              <w:rPr>
                <w:rFonts w:ascii="Arial" w:hAnsi="Arial" w:cs="Arial"/>
                <w:sz w:val="20"/>
                <w:szCs w:val="20"/>
              </w:rPr>
              <w:t xml:space="preserve"> </w:t>
            </w:r>
          </w:p>
        </w:tc>
        <w:tc>
          <w:tcPr>
            <w:tcW w:w="1341" w:type="dxa"/>
            <w:shd w:val="clear" w:color="auto" w:fill="auto"/>
            <w:noWrap/>
            <w:vAlign w:val="bottom"/>
            <w:hideMark/>
          </w:tcPr>
          <w:p w14:paraId="208688E3" w14:textId="667570D7" w:rsidR="00A11259" w:rsidRPr="00E07AE6" w:rsidRDefault="00A11259" w:rsidP="0007292D">
            <w:pPr>
              <w:jc w:val="right"/>
              <w:rPr>
                <w:rFonts w:ascii="Arial" w:hAnsi="Arial" w:cs="Arial"/>
                <w:sz w:val="20"/>
                <w:szCs w:val="20"/>
              </w:rPr>
            </w:pPr>
            <w:r w:rsidRPr="00E07AE6">
              <w:rPr>
                <w:rFonts w:ascii="Arial" w:hAnsi="Arial" w:cs="Arial"/>
                <w:color w:val="FF0000"/>
                <w:sz w:val="20"/>
                <w:szCs w:val="20"/>
              </w:rPr>
              <w:t>($</w:t>
            </w:r>
            <w:r w:rsidR="000825E8">
              <w:rPr>
                <w:rFonts w:ascii="Arial" w:hAnsi="Arial" w:cs="Arial"/>
                <w:color w:val="FF0000"/>
                <w:sz w:val="20"/>
                <w:szCs w:val="20"/>
              </w:rPr>
              <w:t>36,865</w:t>
            </w:r>
            <w:r w:rsidRPr="00E07AE6">
              <w:rPr>
                <w:rFonts w:ascii="Arial" w:hAnsi="Arial" w:cs="Arial"/>
                <w:color w:val="FF0000"/>
                <w:sz w:val="20"/>
                <w:szCs w:val="20"/>
              </w:rPr>
              <w:t>)</w:t>
            </w:r>
          </w:p>
        </w:tc>
        <w:tc>
          <w:tcPr>
            <w:tcW w:w="1317" w:type="dxa"/>
            <w:shd w:val="clear" w:color="auto" w:fill="auto"/>
            <w:noWrap/>
            <w:vAlign w:val="bottom"/>
            <w:hideMark/>
          </w:tcPr>
          <w:p w14:paraId="643E203D" w14:textId="648A6996" w:rsidR="00A11259" w:rsidRPr="00E07AE6" w:rsidRDefault="00A11259" w:rsidP="0007292D">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7</w:t>
            </w:r>
            <w:r w:rsidRPr="00E07AE6">
              <w:rPr>
                <w:rFonts w:ascii="Arial" w:hAnsi="Arial" w:cs="Arial"/>
                <w:sz w:val="20"/>
                <w:szCs w:val="20"/>
              </w:rPr>
              <w:t>%</w:t>
            </w:r>
          </w:p>
        </w:tc>
        <w:tc>
          <w:tcPr>
            <w:tcW w:w="1341" w:type="dxa"/>
            <w:shd w:val="clear" w:color="auto" w:fill="auto"/>
            <w:noWrap/>
            <w:vAlign w:val="bottom"/>
            <w:hideMark/>
          </w:tcPr>
          <w:p w14:paraId="3E67B1B5" w14:textId="3954EA8C" w:rsidR="00A11259" w:rsidRPr="00E07AE6" w:rsidRDefault="00A11259" w:rsidP="0007292D">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324,930</w:t>
            </w:r>
            <w:r w:rsidRPr="00E07AE6">
              <w:rPr>
                <w:rFonts w:ascii="Arial" w:hAnsi="Arial" w:cs="Arial"/>
                <w:sz w:val="20"/>
                <w:szCs w:val="20"/>
              </w:rPr>
              <w:t xml:space="preserve"> </w:t>
            </w:r>
          </w:p>
        </w:tc>
      </w:tr>
      <w:tr w:rsidR="00F00437" w:rsidRPr="00E07AE6" w14:paraId="015A91CA" w14:textId="77777777" w:rsidTr="0007292D">
        <w:trPr>
          <w:trHeight w:val="255"/>
        </w:trPr>
        <w:tc>
          <w:tcPr>
            <w:tcW w:w="2623" w:type="dxa"/>
            <w:shd w:val="clear" w:color="auto" w:fill="auto"/>
            <w:noWrap/>
            <w:vAlign w:val="bottom"/>
            <w:hideMark/>
          </w:tcPr>
          <w:p w14:paraId="012C641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Total Expenses before OH and tax</w:t>
            </w:r>
          </w:p>
        </w:tc>
        <w:tc>
          <w:tcPr>
            <w:tcW w:w="1409" w:type="dxa"/>
            <w:shd w:val="clear" w:color="auto" w:fill="auto"/>
            <w:noWrap/>
            <w:vAlign w:val="bottom"/>
            <w:hideMark/>
          </w:tcPr>
          <w:p w14:paraId="1F09B6EE" w14:textId="4BEDE9DA"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1,041,474</w:t>
            </w:r>
            <w:r w:rsidRPr="00E07AE6">
              <w:rPr>
                <w:rFonts w:ascii="Arial" w:hAnsi="Arial" w:cs="Arial"/>
                <w:sz w:val="20"/>
                <w:szCs w:val="20"/>
              </w:rPr>
              <w:t xml:space="preserve"> </w:t>
            </w:r>
          </w:p>
        </w:tc>
        <w:tc>
          <w:tcPr>
            <w:tcW w:w="1451" w:type="dxa"/>
            <w:shd w:val="clear" w:color="auto" w:fill="auto"/>
            <w:noWrap/>
            <w:vAlign w:val="bottom"/>
            <w:hideMark/>
          </w:tcPr>
          <w:p w14:paraId="52BB8EBE" w14:textId="7BD9EF22" w:rsidR="00F00437" w:rsidRPr="00E07AE6" w:rsidRDefault="000825E8" w:rsidP="00F00437">
            <w:pPr>
              <w:jc w:val="right"/>
              <w:rPr>
                <w:rFonts w:ascii="Arial" w:hAnsi="Arial" w:cs="Arial"/>
                <w:sz w:val="20"/>
                <w:szCs w:val="20"/>
              </w:rPr>
            </w:pPr>
            <w:r>
              <w:rPr>
                <w:rFonts w:ascii="Arial" w:hAnsi="Arial" w:cs="Arial"/>
                <w:sz w:val="20"/>
                <w:szCs w:val="20"/>
              </w:rPr>
              <w:t>$786,855</w:t>
            </w:r>
          </w:p>
        </w:tc>
        <w:tc>
          <w:tcPr>
            <w:tcW w:w="1341" w:type="dxa"/>
            <w:shd w:val="clear" w:color="auto" w:fill="auto"/>
            <w:noWrap/>
            <w:vAlign w:val="bottom"/>
            <w:hideMark/>
          </w:tcPr>
          <w:p w14:paraId="1668134F" w14:textId="77777777" w:rsidR="000825E8" w:rsidRDefault="000825E8" w:rsidP="00F00437">
            <w:pPr>
              <w:jc w:val="right"/>
              <w:rPr>
                <w:rFonts w:ascii="Arial" w:hAnsi="Arial" w:cs="Arial"/>
                <w:sz w:val="20"/>
                <w:szCs w:val="20"/>
              </w:rPr>
            </w:pPr>
          </w:p>
          <w:p w14:paraId="006002E7" w14:textId="7B19987E"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254,618</w:t>
            </w:r>
            <w:r w:rsidRPr="00E07AE6">
              <w:rPr>
                <w:rFonts w:ascii="Arial" w:hAnsi="Arial" w:cs="Arial"/>
                <w:sz w:val="20"/>
                <w:szCs w:val="20"/>
              </w:rPr>
              <w:t xml:space="preserve"> </w:t>
            </w:r>
          </w:p>
        </w:tc>
        <w:tc>
          <w:tcPr>
            <w:tcW w:w="1317" w:type="dxa"/>
            <w:shd w:val="clear" w:color="auto" w:fill="auto"/>
            <w:noWrap/>
            <w:vAlign w:val="bottom"/>
            <w:hideMark/>
          </w:tcPr>
          <w:p w14:paraId="7E5C1B0D" w14:textId="28CF92E8" w:rsidR="00F00437" w:rsidRPr="00E07AE6" w:rsidRDefault="00F00437" w:rsidP="00F00437">
            <w:pPr>
              <w:jc w:val="right"/>
              <w:rPr>
                <w:rFonts w:ascii="Arial" w:hAnsi="Arial" w:cs="Arial"/>
                <w:sz w:val="20"/>
                <w:szCs w:val="20"/>
              </w:rPr>
            </w:pPr>
            <w:r w:rsidRPr="00E07AE6">
              <w:rPr>
                <w:rFonts w:ascii="Arial" w:hAnsi="Arial" w:cs="Arial"/>
                <w:sz w:val="20"/>
                <w:szCs w:val="20"/>
              </w:rPr>
              <w:t>2</w:t>
            </w:r>
            <w:r w:rsidR="000825E8">
              <w:rPr>
                <w:rFonts w:ascii="Arial" w:hAnsi="Arial" w:cs="Arial"/>
                <w:sz w:val="20"/>
                <w:szCs w:val="20"/>
              </w:rPr>
              <w:t>4</w:t>
            </w:r>
            <w:r w:rsidRPr="00E07AE6">
              <w:rPr>
                <w:rFonts w:ascii="Arial" w:hAnsi="Arial" w:cs="Arial"/>
                <w:sz w:val="20"/>
                <w:szCs w:val="20"/>
              </w:rPr>
              <w:t>%</w:t>
            </w:r>
          </w:p>
        </w:tc>
        <w:tc>
          <w:tcPr>
            <w:tcW w:w="1341" w:type="dxa"/>
            <w:shd w:val="clear" w:color="auto" w:fill="auto"/>
            <w:noWrap/>
            <w:vAlign w:val="bottom"/>
            <w:hideMark/>
          </w:tcPr>
          <w:p w14:paraId="2E86B856" w14:textId="4DBF3EBB"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765,466</w:t>
            </w:r>
            <w:r w:rsidRPr="00E07AE6">
              <w:rPr>
                <w:rFonts w:ascii="Arial" w:hAnsi="Arial" w:cs="Arial"/>
                <w:sz w:val="20"/>
                <w:szCs w:val="20"/>
              </w:rPr>
              <w:t xml:space="preserve"> </w:t>
            </w:r>
          </w:p>
        </w:tc>
      </w:tr>
      <w:tr w:rsidR="00F00437" w:rsidRPr="00E07AE6" w14:paraId="148BDFCC" w14:textId="77777777" w:rsidTr="0007292D">
        <w:trPr>
          <w:trHeight w:val="255"/>
        </w:trPr>
        <w:tc>
          <w:tcPr>
            <w:tcW w:w="2623" w:type="dxa"/>
            <w:shd w:val="clear" w:color="auto" w:fill="auto"/>
            <w:noWrap/>
            <w:vAlign w:val="bottom"/>
            <w:hideMark/>
          </w:tcPr>
          <w:p w14:paraId="0A979DF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Contribution Margin</w:t>
            </w:r>
          </w:p>
        </w:tc>
        <w:tc>
          <w:tcPr>
            <w:tcW w:w="1409" w:type="dxa"/>
            <w:shd w:val="clear" w:color="auto" w:fill="auto"/>
            <w:noWrap/>
            <w:vAlign w:val="bottom"/>
            <w:hideMark/>
          </w:tcPr>
          <w:p w14:paraId="7594E82C" w14:textId="7B562415"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w:t>
            </w:r>
            <w:r w:rsidR="000825E8" w:rsidRPr="000825E8">
              <w:rPr>
                <w:rFonts w:ascii="Arial" w:hAnsi="Arial" w:cs="Arial"/>
                <w:color w:val="FF0000"/>
                <w:sz w:val="20"/>
                <w:szCs w:val="20"/>
              </w:rPr>
              <w:t>477</w:t>
            </w:r>
            <w:r w:rsidR="000825E8">
              <w:rPr>
                <w:rFonts w:ascii="Arial" w:hAnsi="Arial" w:cs="Arial"/>
                <w:color w:val="FF0000"/>
                <w:sz w:val="20"/>
                <w:szCs w:val="20"/>
              </w:rPr>
              <w:t>,</w:t>
            </w:r>
            <w:r w:rsidR="000825E8" w:rsidRPr="000825E8">
              <w:rPr>
                <w:rFonts w:ascii="Arial" w:hAnsi="Arial" w:cs="Arial"/>
                <w:color w:val="FF0000"/>
                <w:sz w:val="20"/>
                <w:szCs w:val="20"/>
              </w:rPr>
              <w:t>125</w:t>
            </w:r>
            <w:r w:rsidRPr="00E07AE6">
              <w:rPr>
                <w:rFonts w:ascii="Arial" w:hAnsi="Arial" w:cs="Arial"/>
                <w:color w:val="FF0000"/>
                <w:sz w:val="20"/>
                <w:szCs w:val="20"/>
              </w:rPr>
              <w:t>)</w:t>
            </w:r>
          </w:p>
        </w:tc>
        <w:tc>
          <w:tcPr>
            <w:tcW w:w="1451" w:type="dxa"/>
            <w:shd w:val="clear" w:color="auto" w:fill="auto"/>
            <w:noWrap/>
            <w:vAlign w:val="bottom"/>
            <w:hideMark/>
          </w:tcPr>
          <w:p w14:paraId="6C9BCF96" w14:textId="5C8EFB02"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w:t>
            </w:r>
            <w:r w:rsidR="000825E8" w:rsidRPr="000825E8">
              <w:rPr>
                <w:rFonts w:ascii="Arial" w:hAnsi="Arial" w:cs="Arial"/>
                <w:color w:val="FF0000"/>
                <w:sz w:val="20"/>
                <w:szCs w:val="20"/>
              </w:rPr>
              <w:t>259</w:t>
            </w:r>
            <w:r w:rsidR="000825E8">
              <w:rPr>
                <w:rFonts w:ascii="Arial" w:hAnsi="Arial" w:cs="Arial"/>
                <w:color w:val="FF0000"/>
                <w:sz w:val="20"/>
                <w:szCs w:val="20"/>
              </w:rPr>
              <w:t>,</w:t>
            </w:r>
            <w:r w:rsidR="000825E8" w:rsidRPr="000825E8">
              <w:rPr>
                <w:rFonts w:ascii="Arial" w:hAnsi="Arial" w:cs="Arial"/>
                <w:color w:val="FF0000"/>
                <w:sz w:val="20"/>
                <w:szCs w:val="20"/>
              </w:rPr>
              <w:t>372</w:t>
            </w:r>
            <w:r w:rsidRPr="00E07AE6">
              <w:rPr>
                <w:rFonts w:ascii="Arial" w:hAnsi="Arial" w:cs="Arial"/>
                <w:color w:val="FF0000"/>
                <w:sz w:val="20"/>
                <w:szCs w:val="20"/>
              </w:rPr>
              <w:t>)</w:t>
            </w:r>
          </w:p>
        </w:tc>
        <w:tc>
          <w:tcPr>
            <w:tcW w:w="1341" w:type="dxa"/>
            <w:shd w:val="clear" w:color="auto" w:fill="auto"/>
            <w:noWrap/>
            <w:vAlign w:val="bottom"/>
            <w:hideMark/>
          </w:tcPr>
          <w:p w14:paraId="3077AFCB" w14:textId="198A9EE8"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217,753</w:t>
            </w:r>
          </w:p>
        </w:tc>
        <w:tc>
          <w:tcPr>
            <w:tcW w:w="1317" w:type="dxa"/>
            <w:shd w:val="clear" w:color="auto" w:fill="auto"/>
            <w:noWrap/>
            <w:vAlign w:val="bottom"/>
            <w:hideMark/>
          </w:tcPr>
          <w:p w14:paraId="7A9FD3C9" w14:textId="0AF21DC6" w:rsidR="00F00437" w:rsidRPr="00E07AE6" w:rsidRDefault="000825E8" w:rsidP="00F00437">
            <w:pPr>
              <w:jc w:val="right"/>
              <w:rPr>
                <w:rFonts w:ascii="Arial" w:hAnsi="Arial" w:cs="Arial"/>
                <w:sz w:val="20"/>
                <w:szCs w:val="20"/>
              </w:rPr>
            </w:pPr>
            <w:r>
              <w:rPr>
                <w:rFonts w:ascii="Arial" w:hAnsi="Arial" w:cs="Arial"/>
                <w:sz w:val="20"/>
                <w:szCs w:val="20"/>
              </w:rPr>
              <w:t>46</w:t>
            </w:r>
            <w:r w:rsidR="00F00437" w:rsidRPr="00E07AE6">
              <w:rPr>
                <w:rFonts w:ascii="Arial" w:hAnsi="Arial" w:cs="Arial"/>
                <w:sz w:val="20"/>
                <w:szCs w:val="20"/>
              </w:rPr>
              <w:t>%</w:t>
            </w:r>
          </w:p>
        </w:tc>
        <w:tc>
          <w:tcPr>
            <w:tcW w:w="1341" w:type="dxa"/>
            <w:shd w:val="clear" w:color="auto" w:fill="auto"/>
            <w:noWrap/>
            <w:vAlign w:val="bottom"/>
            <w:hideMark/>
          </w:tcPr>
          <w:p w14:paraId="608CCC70" w14:textId="15A24FCB"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w:t>
            </w:r>
            <w:r w:rsidR="000825E8">
              <w:rPr>
                <w:rFonts w:ascii="Arial" w:hAnsi="Arial" w:cs="Arial"/>
                <w:color w:val="FF0000"/>
                <w:sz w:val="20"/>
                <w:szCs w:val="20"/>
              </w:rPr>
              <w:t>440,536</w:t>
            </w:r>
            <w:r w:rsidRPr="00E07AE6">
              <w:rPr>
                <w:rFonts w:ascii="Arial" w:hAnsi="Arial" w:cs="Arial"/>
                <w:color w:val="FF0000"/>
                <w:sz w:val="20"/>
                <w:szCs w:val="20"/>
              </w:rPr>
              <w:t>)</w:t>
            </w:r>
          </w:p>
        </w:tc>
      </w:tr>
      <w:tr w:rsidR="00F00437" w:rsidRPr="00E07AE6" w14:paraId="2928CB3B" w14:textId="77777777" w:rsidTr="0007292D">
        <w:trPr>
          <w:trHeight w:val="255"/>
        </w:trPr>
        <w:tc>
          <w:tcPr>
            <w:tcW w:w="2623" w:type="dxa"/>
            <w:shd w:val="clear" w:color="auto" w:fill="auto"/>
            <w:noWrap/>
            <w:vAlign w:val="bottom"/>
            <w:hideMark/>
          </w:tcPr>
          <w:p w14:paraId="5515594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Overhead and Tax</w:t>
            </w:r>
          </w:p>
        </w:tc>
        <w:tc>
          <w:tcPr>
            <w:tcW w:w="1409" w:type="dxa"/>
            <w:shd w:val="clear" w:color="auto" w:fill="auto"/>
            <w:noWrap/>
            <w:vAlign w:val="bottom"/>
            <w:hideMark/>
          </w:tcPr>
          <w:p w14:paraId="2F0F7753" w14:textId="7FC54986"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36,070</w:t>
            </w:r>
            <w:r w:rsidRPr="00E07AE6">
              <w:rPr>
                <w:rFonts w:ascii="Arial" w:hAnsi="Arial" w:cs="Arial"/>
                <w:sz w:val="20"/>
                <w:szCs w:val="20"/>
              </w:rPr>
              <w:t xml:space="preserve"> </w:t>
            </w:r>
          </w:p>
        </w:tc>
        <w:tc>
          <w:tcPr>
            <w:tcW w:w="1451" w:type="dxa"/>
            <w:shd w:val="clear" w:color="auto" w:fill="auto"/>
            <w:noWrap/>
            <w:vAlign w:val="bottom"/>
            <w:hideMark/>
          </w:tcPr>
          <w:p w14:paraId="7F618643" w14:textId="67E857FE"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14,005</w:t>
            </w:r>
            <w:r w:rsidRPr="00E07AE6">
              <w:rPr>
                <w:rFonts w:ascii="Arial" w:hAnsi="Arial" w:cs="Arial"/>
                <w:sz w:val="20"/>
                <w:szCs w:val="20"/>
              </w:rPr>
              <w:t xml:space="preserve"> </w:t>
            </w:r>
          </w:p>
        </w:tc>
        <w:tc>
          <w:tcPr>
            <w:tcW w:w="1341" w:type="dxa"/>
            <w:shd w:val="clear" w:color="auto" w:fill="auto"/>
            <w:noWrap/>
            <w:vAlign w:val="bottom"/>
            <w:hideMark/>
          </w:tcPr>
          <w:p w14:paraId="5B68B3BF" w14:textId="00F5255D" w:rsidR="00F00437" w:rsidRPr="00E07AE6" w:rsidRDefault="00F00437" w:rsidP="00F00437">
            <w:pPr>
              <w:jc w:val="right"/>
              <w:rPr>
                <w:rFonts w:ascii="Arial" w:hAnsi="Arial" w:cs="Arial"/>
                <w:sz w:val="20"/>
                <w:szCs w:val="20"/>
              </w:rPr>
            </w:pPr>
            <w:r w:rsidRPr="00E07AE6">
              <w:rPr>
                <w:rFonts w:ascii="Arial" w:hAnsi="Arial" w:cs="Arial"/>
                <w:sz w:val="20"/>
                <w:szCs w:val="20"/>
              </w:rPr>
              <w:t>$2</w:t>
            </w:r>
            <w:r w:rsidR="000825E8">
              <w:rPr>
                <w:rFonts w:ascii="Arial" w:hAnsi="Arial" w:cs="Arial"/>
                <w:sz w:val="20"/>
                <w:szCs w:val="20"/>
              </w:rPr>
              <w:t>2,065</w:t>
            </w:r>
            <w:r w:rsidRPr="00E07AE6">
              <w:rPr>
                <w:rFonts w:ascii="Arial" w:hAnsi="Arial" w:cs="Arial"/>
                <w:sz w:val="20"/>
                <w:szCs w:val="20"/>
              </w:rPr>
              <w:t xml:space="preserve"> </w:t>
            </w:r>
          </w:p>
        </w:tc>
        <w:tc>
          <w:tcPr>
            <w:tcW w:w="1317" w:type="dxa"/>
            <w:shd w:val="clear" w:color="auto" w:fill="auto"/>
            <w:noWrap/>
            <w:vAlign w:val="bottom"/>
            <w:hideMark/>
          </w:tcPr>
          <w:p w14:paraId="5AC48685" w14:textId="7D881D78" w:rsidR="00F00437" w:rsidRPr="00E07AE6" w:rsidRDefault="000825E8" w:rsidP="00F00437">
            <w:pPr>
              <w:jc w:val="right"/>
              <w:rPr>
                <w:rFonts w:ascii="Arial" w:hAnsi="Arial" w:cs="Arial"/>
                <w:sz w:val="20"/>
                <w:szCs w:val="20"/>
              </w:rPr>
            </w:pPr>
            <w:r>
              <w:rPr>
                <w:rFonts w:ascii="Arial" w:hAnsi="Arial" w:cs="Arial"/>
                <w:sz w:val="20"/>
                <w:szCs w:val="20"/>
              </w:rPr>
              <w:t>61</w:t>
            </w:r>
            <w:r w:rsidR="00F00437" w:rsidRPr="00E07AE6">
              <w:rPr>
                <w:rFonts w:ascii="Arial" w:hAnsi="Arial" w:cs="Arial"/>
                <w:sz w:val="20"/>
                <w:szCs w:val="20"/>
              </w:rPr>
              <w:t>%</w:t>
            </w:r>
          </w:p>
        </w:tc>
        <w:tc>
          <w:tcPr>
            <w:tcW w:w="1341" w:type="dxa"/>
            <w:shd w:val="clear" w:color="auto" w:fill="auto"/>
            <w:noWrap/>
            <w:vAlign w:val="bottom"/>
            <w:hideMark/>
          </w:tcPr>
          <w:p w14:paraId="406977E1" w14:textId="1708A13B"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35,627</w:t>
            </w:r>
            <w:r w:rsidRPr="00E07AE6">
              <w:rPr>
                <w:rFonts w:ascii="Arial" w:hAnsi="Arial" w:cs="Arial"/>
                <w:sz w:val="20"/>
                <w:szCs w:val="20"/>
              </w:rPr>
              <w:t xml:space="preserve"> </w:t>
            </w:r>
          </w:p>
        </w:tc>
      </w:tr>
      <w:tr w:rsidR="00F00437" w:rsidRPr="00E07AE6" w14:paraId="08507902" w14:textId="77777777" w:rsidTr="0007292D">
        <w:trPr>
          <w:trHeight w:val="255"/>
        </w:trPr>
        <w:tc>
          <w:tcPr>
            <w:tcW w:w="2623" w:type="dxa"/>
            <w:shd w:val="clear" w:color="auto" w:fill="auto"/>
            <w:noWrap/>
            <w:vAlign w:val="bottom"/>
            <w:hideMark/>
          </w:tcPr>
          <w:p w14:paraId="1D095DC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B5EFF0C" w14:textId="77777777" w:rsidR="00F00437" w:rsidRPr="00E07AE6" w:rsidRDefault="00F00437" w:rsidP="00F00437">
            <w:pPr>
              <w:rPr>
                <w:rFonts w:ascii="Arial" w:hAnsi="Arial" w:cs="Arial"/>
                <w:sz w:val="20"/>
                <w:szCs w:val="20"/>
              </w:rPr>
            </w:pPr>
          </w:p>
        </w:tc>
        <w:tc>
          <w:tcPr>
            <w:tcW w:w="1451" w:type="dxa"/>
            <w:shd w:val="clear" w:color="auto" w:fill="auto"/>
            <w:noWrap/>
            <w:vAlign w:val="bottom"/>
            <w:hideMark/>
          </w:tcPr>
          <w:p w14:paraId="566B36D7" w14:textId="77777777" w:rsidR="00F00437" w:rsidRPr="00E07AE6" w:rsidRDefault="00F00437" w:rsidP="00F00437">
            <w:pPr>
              <w:rPr>
                <w:rFonts w:ascii="Arial" w:hAnsi="Arial" w:cs="Arial"/>
                <w:sz w:val="20"/>
                <w:szCs w:val="20"/>
              </w:rPr>
            </w:pPr>
          </w:p>
        </w:tc>
        <w:tc>
          <w:tcPr>
            <w:tcW w:w="1341" w:type="dxa"/>
            <w:shd w:val="clear" w:color="auto" w:fill="auto"/>
            <w:noWrap/>
            <w:vAlign w:val="bottom"/>
            <w:hideMark/>
          </w:tcPr>
          <w:p w14:paraId="6A23BAE2" w14:textId="77777777" w:rsidR="00F00437" w:rsidRPr="00E07AE6" w:rsidRDefault="00F00437" w:rsidP="00F00437">
            <w:pPr>
              <w:rPr>
                <w:rFonts w:ascii="Arial" w:hAnsi="Arial" w:cs="Arial"/>
                <w:sz w:val="20"/>
                <w:szCs w:val="20"/>
              </w:rPr>
            </w:pPr>
          </w:p>
        </w:tc>
        <w:tc>
          <w:tcPr>
            <w:tcW w:w="1317" w:type="dxa"/>
            <w:shd w:val="clear" w:color="auto" w:fill="auto"/>
            <w:noWrap/>
            <w:vAlign w:val="bottom"/>
            <w:hideMark/>
          </w:tcPr>
          <w:p w14:paraId="77C555B4" w14:textId="77777777" w:rsidR="00F00437" w:rsidRPr="00E07AE6" w:rsidRDefault="00F00437" w:rsidP="00F00437">
            <w:pPr>
              <w:rPr>
                <w:rFonts w:ascii="Arial" w:hAnsi="Arial" w:cs="Arial"/>
                <w:sz w:val="20"/>
                <w:szCs w:val="20"/>
              </w:rPr>
            </w:pPr>
          </w:p>
        </w:tc>
        <w:tc>
          <w:tcPr>
            <w:tcW w:w="1341" w:type="dxa"/>
            <w:shd w:val="clear" w:color="auto" w:fill="auto"/>
            <w:noWrap/>
            <w:vAlign w:val="bottom"/>
            <w:hideMark/>
          </w:tcPr>
          <w:p w14:paraId="6875BFEB" w14:textId="77777777" w:rsidR="00F00437" w:rsidRPr="00E07AE6" w:rsidRDefault="00F00437" w:rsidP="00F00437">
            <w:pPr>
              <w:rPr>
                <w:rFonts w:ascii="Arial" w:hAnsi="Arial" w:cs="Arial"/>
                <w:sz w:val="20"/>
                <w:szCs w:val="20"/>
              </w:rPr>
            </w:pPr>
          </w:p>
        </w:tc>
      </w:tr>
      <w:tr w:rsidR="00F00437" w:rsidRPr="00E07AE6" w14:paraId="6DE71111" w14:textId="77777777" w:rsidTr="0007292D">
        <w:trPr>
          <w:trHeight w:val="255"/>
        </w:trPr>
        <w:tc>
          <w:tcPr>
            <w:tcW w:w="2623" w:type="dxa"/>
            <w:shd w:val="clear" w:color="auto" w:fill="auto"/>
            <w:noWrap/>
            <w:vAlign w:val="bottom"/>
            <w:hideMark/>
          </w:tcPr>
          <w:p w14:paraId="1602ED6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959ECA0" w14:textId="77777777" w:rsidR="00F00437" w:rsidRPr="00E07AE6" w:rsidRDefault="00F00437" w:rsidP="00F00437">
            <w:pPr>
              <w:rPr>
                <w:rFonts w:ascii="Arial" w:hAnsi="Arial" w:cs="Arial"/>
                <w:b/>
                <w:sz w:val="20"/>
                <w:szCs w:val="20"/>
              </w:rPr>
            </w:pPr>
            <w:r w:rsidRPr="00E07AE6">
              <w:rPr>
                <w:rFonts w:ascii="Arial" w:hAnsi="Arial" w:cs="Arial"/>
                <w:b/>
                <w:sz w:val="20"/>
                <w:szCs w:val="20"/>
              </w:rPr>
              <w:t>YTD Budget</w:t>
            </w:r>
          </w:p>
        </w:tc>
        <w:tc>
          <w:tcPr>
            <w:tcW w:w="1451" w:type="dxa"/>
            <w:shd w:val="clear" w:color="auto" w:fill="auto"/>
            <w:noWrap/>
            <w:vAlign w:val="bottom"/>
            <w:hideMark/>
          </w:tcPr>
          <w:p w14:paraId="59D75AB0" w14:textId="77777777" w:rsidR="00F00437" w:rsidRPr="00E07AE6" w:rsidRDefault="00F00437" w:rsidP="00F00437">
            <w:pPr>
              <w:rPr>
                <w:rFonts w:ascii="Arial" w:hAnsi="Arial" w:cs="Arial"/>
                <w:b/>
                <w:sz w:val="20"/>
                <w:szCs w:val="20"/>
              </w:rPr>
            </w:pPr>
            <w:r w:rsidRPr="00E07AE6">
              <w:rPr>
                <w:rFonts w:ascii="Arial" w:hAnsi="Arial" w:cs="Arial"/>
                <w:b/>
                <w:sz w:val="20"/>
                <w:szCs w:val="20"/>
              </w:rPr>
              <w:t>YTD Actual</w:t>
            </w:r>
          </w:p>
        </w:tc>
        <w:tc>
          <w:tcPr>
            <w:tcW w:w="1341" w:type="dxa"/>
            <w:shd w:val="clear" w:color="auto" w:fill="auto"/>
            <w:noWrap/>
            <w:vAlign w:val="bottom"/>
            <w:hideMark/>
          </w:tcPr>
          <w:p w14:paraId="35BF045B" w14:textId="77777777" w:rsidR="00F00437" w:rsidRPr="00E07AE6" w:rsidRDefault="00F00437" w:rsidP="00F00437">
            <w:pPr>
              <w:rPr>
                <w:rFonts w:ascii="Arial" w:hAnsi="Arial" w:cs="Arial"/>
                <w:b/>
                <w:sz w:val="20"/>
                <w:szCs w:val="20"/>
              </w:rPr>
            </w:pPr>
            <w:r w:rsidRPr="00E07AE6">
              <w:rPr>
                <w:rFonts w:ascii="Arial" w:hAnsi="Arial" w:cs="Arial"/>
                <w:b/>
                <w:sz w:val="20"/>
                <w:szCs w:val="20"/>
              </w:rPr>
              <w:t>Variance</w:t>
            </w:r>
          </w:p>
        </w:tc>
        <w:tc>
          <w:tcPr>
            <w:tcW w:w="1317" w:type="dxa"/>
            <w:tcBorders>
              <w:bottom w:val="single" w:sz="4" w:space="0" w:color="auto"/>
            </w:tcBorders>
            <w:shd w:val="clear" w:color="auto" w:fill="auto"/>
            <w:noWrap/>
            <w:vAlign w:val="bottom"/>
            <w:hideMark/>
          </w:tcPr>
          <w:p w14:paraId="7C16D88B" w14:textId="77777777" w:rsidR="00F00437" w:rsidRPr="00E07AE6" w:rsidRDefault="00F00437" w:rsidP="00F00437">
            <w:pPr>
              <w:rPr>
                <w:rFonts w:ascii="Arial" w:hAnsi="Arial" w:cs="Arial"/>
                <w:b/>
                <w:sz w:val="20"/>
                <w:szCs w:val="20"/>
              </w:rPr>
            </w:pPr>
            <w:r w:rsidRPr="00E07AE6">
              <w:rPr>
                <w:rFonts w:ascii="Arial" w:hAnsi="Arial" w:cs="Arial"/>
                <w:b/>
                <w:sz w:val="20"/>
                <w:szCs w:val="20"/>
              </w:rPr>
              <w:t>Variance %</w:t>
            </w:r>
          </w:p>
        </w:tc>
        <w:tc>
          <w:tcPr>
            <w:tcW w:w="1341" w:type="dxa"/>
            <w:tcBorders>
              <w:bottom w:val="single" w:sz="4" w:space="0" w:color="auto"/>
            </w:tcBorders>
            <w:shd w:val="clear" w:color="auto" w:fill="auto"/>
            <w:noWrap/>
            <w:vAlign w:val="bottom"/>
            <w:hideMark/>
          </w:tcPr>
          <w:p w14:paraId="137E4343" w14:textId="77777777" w:rsidR="00F00437" w:rsidRPr="00E07AE6" w:rsidRDefault="00F00437" w:rsidP="00F00437">
            <w:pPr>
              <w:rPr>
                <w:rFonts w:ascii="Arial" w:hAnsi="Arial" w:cs="Arial"/>
                <w:sz w:val="20"/>
                <w:szCs w:val="20"/>
              </w:rPr>
            </w:pPr>
          </w:p>
        </w:tc>
      </w:tr>
      <w:tr w:rsidR="00F00437" w:rsidRPr="00E07AE6" w14:paraId="65C19B65" w14:textId="77777777" w:rsidTr="0007292D">
        <w:trPr>
          <w:trHeight w:val="255"/>
        </w:trPr>
        <w:tc>
          <w:tcPr>
            <w:tcW w:w="2623" w:type="dxa"/>
            <w:shd w:val="clear" w:color="auto" w:fill="auto"/>
            <w:noWrap/>
            <w:vAlign w:val="bottom"/>
            <w:hideMark/>
          </w:tcPr>
          <w:p w14:paraId="5486AE10"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Net Revenue (Expense)</w:t>
            </w:r>
          </w:p>
        </w:tc>
        <w:tc>
          <w:tcPr>
            <w:tcW w:w="1409" w:type="dxa"/>
            <w:shd w:val="clear" w:color="auto" w:fill="auto"/>
            <w:noWrap/>
            <w:vAlign w:val="bottom"/>
            <w:hideMark/>
          </w:tcPr>
          <w:p w14:paraId="4DD08370" w14:textId="6C528949"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w:t>
            </w:r>
            <w:r w:rsidR="000825E8">
              <w:rPr>
                <w:rFonts w:ascii="Arial" w:hAnsi="Arial" w:cs="Arial"/>
                <w:color w:val="FF0000"/>
                <w:sz w:val="20"/>
                <w:szCs w:val="20"/>
              </w:rPr>
              <w:t>513,196</w:t>
            </w:r>
            <w:r w:rsidRPr="00E07AE6">
              <w:rPr>
                <w:rFonts w:ascii="Arial" w:hAnsi="Arial" w:cs="Arial"/>
                <w:color w:val="FF0000"/>
                <w:sz w:val="20"/>
                <w:szCs w:val="20"/>
              </w:rPr>
              <w:t>)</w:t>
            </w:r>
          </w:p>
        </w:tc>
        <w:tc>
          <w:tcPr>
            <w:tcW w:w="1451" w:type="dxa"/>
            <w:shd w:val="clear" w:color="auto" w:fill="auto"/>
            <w:noWrap/>
            <w:vAlign w:val="bottom"/>
            <w:hideMark/>
          </w:tcPr>
          <w:p w14:paraId="534F418B" w14:textId="395024E3"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w:t>
            </w:r>
            <w:r w:rsidR="000825E8">
              <w:rPr>
                <w:rFonts w:ascii="Arial" w:hAnsi="Arial" w:cs="Arial"/>
                <w:color w:val="FF0000"/>
                <w:sz w:val="20"/>
                <w:szCs w:val="20"/>
              </w:rPr>
              <w:t>273,378</w:t>
            </w:r>
            <w:r w:rsidRPr="00E07AE6">
              <w:rPr>
                <w:rFonts w:ascii="Arial" w:hAnsi="Arial" w:cs="Arial"/>
                <w:color w:val="FF0000"/>
                <w:sz w:val="20"/>
                <w:szCs w:val="20"/>
              </w:rPr>
              <w:t>)</w:t>
            </w:r>
          </w:p>
        </w:tc>
        <w:tc>
          <w:tcPr>
            <w:tcW w:w="1341" w:type="dxa"/>
            <w:tcBorders>
              <w:bottom w:val="single" w:sz="4" w:space="0" w:color="auto"/>
            </w:tcBorders>
            <w:shd w:val="clear" w:color="auto" w:fill="auto"/>
            <w:noWrap/>
            <w:vAlign w:val="bottom"/>
            <w:hideMark/>
          </w:tcPr>
          <w:p w14:paraId="229253E1" w14:textId="64FCFD42"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0825E8">
              <w:rPr>
                <w:rFonts w:ascii="Arial" w:hAnsi="Arial" w:cs="Arial"/>
                <w:sz w:val="20"/>
                <w:szCs w:val="20"/>
              </w:rPr>
              <w:t>239,818</w:t>
            </w:r>
            <w:r w:rsidRPr="00E07AE6">
              <w:rPr>
                <w:rFonts w:ascii="Arial" w:hAnsi="Arial" w:cs="Arial"/>
                <w:sz w:val="20"/>
                <w:szCs w:val="20"/>
              </w:rPr>
              <w:t xml:space="preserve"> </w:t>
            </w:r>
          </w:p>
        </w:tc>
        <w:tc>
          <w:tcPr>
            <w:tcW w:w="1317" w:type="dxa"/>
            <w:tcBorders>
              <w:bottom w:val="single" w:sz="4" w:space="0" w:color="auto"/>
            </w:tcBorders>
            <w:shd w:val="clear" w:color="auto" w:fill="auto"/>
            <w:noWrap/>
            <w:vAlign w:val="bottom"/>
            <w:hideMark/>
          </w:tcPr>
          <w:p w14:paraId="62A8A52B" w14:textId="1C313255" w:rsidR="00F00437" w:rsidRPr="00E07AE6" w:rsidRDefault="000825E8" w:rsidP="00F00437">
            <w:pPr>
              <w:jc w:val="right"/>
              <w:rPr>
                <w:rFonts w:ascii="Arial" w:hAnsi="Arial" w:cs="Arial"/>
                <w:sz w:val="20"/>
                <w:szCs w:val="20"/>
              </w:rPr>
            </w:pPr>
            <w:r>
              <w:rPr>
                <w:rFonts w:ascii="Arial" w:hAnsi="Arial" w:cs="Arial"/>
                <w:sz w:val="20"/>
                <w:szCs w:val="20"/>
              </w:rPr>
              <w:t>47%</w:t>
            </w:r>
          </w:p>
        </w:tc>
        <w:tc>
          <w:tcPr>
            <w:tcW w:w="1341" w:type="dxa"/>
            <w:tcBorders>
              <w:bottom w:val="single" w:sz="4" w:space="0" w:color="auto"/>
            </w:tcBorders>
            <w:shd w:val="clear" w:color="auto" w:fill="auto"/>
            <w:noWrap/>
            <w:vAlign w:val="bottom"/>
            <w:hideMark/>
          </w:tcPr>
          <w:p w14:paraId="7AD558EE" w14:textId="77777777" w:rsidR="00F00437" w:rsidRPr="00E07AE6" w:rsidRDefault="00F00437" w:rsidP="00F00437">
            <w:pPr>
              <w:rPr>
                <w:rFonts w:ascii="Arial" w:hAnsi="Arial" w:cs="Arial"/>
                <w:sz w:val="20"/>
                <w:szCs w:val="20"/>
              </w:rPr>
            </w:pPr>
          </w:p>
        </w:tc>
      </w:tr>
      <w:tr w:rsidR="00F00437" w:rsidRPr="00E07AE6" w14:paraId="083DF61F" w14:textId="77777777" w:rsidTr="0007292D">
        <w:trPr>
          <w:trHeight w:val="323"/>
        </w:trPr>
        <w:tc>
          <w:tcPr>
            <w:tcW w:w="2623" w:type="dxa"/>
            <w:shd w:val="clear" w:color="auto" w:fill="auto"/>
            <w:noWrap/>
            <w:vAlign w:val="bottom"/>
            <w:hideMark/>
          </w:tcPr>
          <w:p w14:paraId="4F735220"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162266B3" w14:textId="77777777" w:rsidR="00F00437" w:rsidRPr="00E07AE6" w:rsidRDefault="00F00437" w:rsidP="00F00437">
            <w:pPr>
              <w:rPr>
                <w:rFonts w:ascii="Arial" w:hAnsi="Arial" w:cs="Arial"/>
                <w:sz w:val="20"/>
                <w:szCs w:val="20"/>
              </w:rPr>
            </w:pPr>
          </w:p>
        </w:tc>
        <w:tc>
          <w:tcPr>
            <w:tcW w:w="1451" w:type="dxa"/>
            <w:shd w:val="clear" w:color="auto" w:fill="auto"/>
            <w:noWrap/>
            <w:vAlign w:val="bottom"/>
            <w:hideMark/>
          </w:tcPr>
          <w:p w14:paraId="40CAA909" w14:textId="71CC1C9B" w:rsidR="00F00437" w:rsidRPr="00E07AE6" w:rsidRDefault="00F00437" w:rsidP="00F00437">
            <w:pPr>
              <w:rPr>
                <w:rFonts w:ascii="Arial" w:hAnsi="Arial" w:cs="Arial"/>
                <w:sz w:val="20"/>
                <w:szCs w:val="20"/>
              </w:rPr>
            </w:pPr>
          </w:p>
        </w:tc>
        <w:tc>
          <w:tcPr>
            <w:tcW w:w="1341" w:type="dxa"/>
            <w:tcBorders>
              <w:right w:val="single" w:sz="4" w:space="0" w:color="auto"/>
            </w:tcBorders>
            <w:shd w:val="clear" w:color="auto" w:fill="auto"/>
            <w:noWrap/>
            <w:vAlign w:val="bottom"/>
            <w:hideMark/>
          </w:tcPr>
          <w:p w14:paraId="39C3871A" w14:textId="77777777" w:rsidR="00F00437" w:rsidRPr="00E07AE6" w:rsidRDefault="00F00437" w:rsidP="00F00437">
            <w:pPr>
              <w:rPr>
                <w:rFonts w:ascii="Arial" w:hAnsi="Arial" w:cs="Arial"/>
                <w:sz w:val="20"/>
                <w:szCs w:val="20"/>
              </w:rPr>
            </w:pPr>
          </w:p>
        </w:tc>
        <w:tc>
          <w:tcPr>
            <w:tcW w:w="1317" w:type="dxa"/>
            <w:tcBorders>
              <w:top w:val="single" w:sz="4" w:space="0" w:color="auto"/>
              <w:left w:val="single" w:sz="4" w:space="0" w:color="auto"/>
              <w:bottom w:val="nil"/>
              <w:right w:val="nil"/>
            </w:tcBorders>
            <w:shd w:val="clear" w:color="auto" w:fill="auto"/>
            <w:noWrap/>
            <w:vAlign w:val="bottom"/>
            <w:hideMark/>
          </w:tcPr>
          <w:p w14:paraId="1D22B934" w14:textId="77777777" w:rsidR="00F00437" w:rsidRPr="00E07AE6" w:rsidRDefault="00F00437" w:rsidP="00F00437">
            <w:pPr>
              <w:rPr>
                <w:rFonts w:ascii="Arial" w:hAnsi="Arial" w:cs="Arial"/>
                <w:sz w:val="20"/>
                <w:szCs w:val="20"/>
              </w:rPr>
            </w:pPr>
          </w:p>
        </w:tc>
        <w:tc>
          <w:tcPr>
            <w:tcW w:w="1341" w:type="dxa"/>
            <w:tcBorders>
              <w:top w:val="single" w:sz="4" w:space="0" w:color="auto"/>
              <w:left w:val="nil"/>
              <w:bottom w:val="nil"/>
              <w:right w:val="nil"/>
            </w:tcBorders>
            <w:shd w:val="clear" w:color="auto" w:fill="auto"/>
            <w:noWrap/>
            <w:vAlign w:val="bottom"/>
            <w:hideMark/>
          </w:tcPr>
          <w:p w14:paraId="5827C1AD" w14:textId="77777777" w:rsidR="00F00437" w:rsidRPr="00E07AE6" w:rsidRDefault="00F00437" w:rsidP="00F00437">
            <w:pPr>
              <w:rPr>
                <w:rFonts w:ascii="Arial" w:hAnsi="Arial" w:cs="Arial"/>
                <w:sz w:val="20"/>
                <w:szCs w:val="20"/>
              </w:rPr>
            </w:pPr>
          </w:p>
        </w:tc>
      </w:tr>
      <w:tr w:rsidR="00F00437" w:rsidRPr="00E07AE6" w14:paraId="37A09FC4" w14:textId="77777777" w:rsidTr="0007292D">
        <w:trPr>
          <w:trHeight w:val="323"/>
        </w:trPr>
        <w:tc>
          <w:tcPr>
            <w:tcW w:w="2623" w:type="dxa"/>
            <w:shd w:val="clear" w:color="auto" w:fill="auto"/>
            <w:noWrap/>
            <w:vAlign w:val="bottom"/>
            <w:hideMark/>
          </w:tcPr>
          <w:p w14:paraId="4C17C8C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Beginning NAB</w:t>
            </w:r>
          </w:p>
        </w:tc>
        <w:tc>
          <w:tcPr>
            <w:tcW w:w="1409" w:type="dxa"/>
            <w:shd w:val="clear" w:color="auto" w:fill="auto"/>
            <w:noWrap/>
            <w:vAlign w:val="bottom"/>
            <w:hideMark/>
          </w:tcPr>
          <w:p w14:paraId="477F032A" w14:textId="77777777" w:rsidR="00F00437" w:rsidRPr="00E07AE6" w:rsidRDefault="00F00437" w:rsidP="00F00437">
            <w:pPr>
              <w:rPr>
                <w:rFonts w:ascii="Arial" w:hAnsi="Arial" w:cs="Arial"/>
                <w:b/>
                <w:sz w:val="20"/>
                <w:szCs w:val="20"/>
              </w:rPr>
            </w:pPr>
            <w:r w:rsidRPr="00E07AE6">
              <w:rPr>
                <w:rFonts w:ascii="Arial" w:hAnsi="Arial" w:cs="Arial"/>
                <w:b/>
                <w:sz w:val="20"/>
                <w:szCs w:val="20"/>
              </w:rPr>
              <w:t>Ending NAB</w:t>
            </w:r>
          </w:p>
        </w:tc>
        <w:tc>
          <w:tcPr>
            <w:tcW w:w="1451" w:type="dxa"/>
            <w:shd w:val="clear" w:color="auto" w:fill="auto"/>
            <w:noWrap/>
            <w:vAlign w:val="bottom"/>
            <w:hideMark/>
          </w:tcPr>
          <w:p w14:paraId="6EA93FEA" w14:textId="77777777" w:rsidR="00F00437" w:rsidRPr="00E07AE6" w:rsidRDefault="00F00437" w:rsidP="00F00437">
            <w:pPr>
              <w:rPr>
                <w:rFonts w:ascii="Arial" w:hAnsi="Arial" w:cs="Arial"/>
                <w:b/>
                <w:sz w:val="20"/>
                <w:szCs w:val="20"/>
              </w:rPr>
            </w:pPr>
            <w:r w:rsidRPr="00E07AE6">
              <w:rPr>
                <w:rFonts w:ascii="Arial" w:hAnsi="Arial" w:cs="Arial"/>
                <w:b/>
                <w:sz w:val="20"/>
                <w:szCs w:val="20"/>
              </w:rPr>
              <w:t>Net Revenue</w:t>
            </w:r>
          </w:p>
        </w:tc>
        <w:tc>
          <w:tcPr>
            <w:tcW w:w="1341" w:type="dxa"/>
            <w:tcBorders>
              <w:right w:val="single" w:sz="4" w:space="0" w:color="auto"/>
            </w:tcBorders>
            <w:shd w:val="clear" w:color="auto" w:fill="auto"/>
            <w:noWrap/>
            <w:vAlign w:val="bottom"/>
            <w:hideMark/>
          </w:tcPr>
          <w:p w14:paraId="6E05F628" w14:textId="77777777" w:rsidR="00F00437" w:rsidRPr="00E07AE6" w:rsidRDefault="00F00437" w:rsidP="00F00437">
            <w:pPr>
              <w:rPr>
                <w:rFonts w:ascii="Arial" w:hAnsi="Arial" w:cs="Arial"/>
                <w:b/>
                <w:sz w:val="20"/>
                <w:szCs w:val="20"/>
              </w:rPr>
            </w:pPr>
            <w:r w:rsidRPr="00E07AE6">
              <w:rPr>
                <w:rFonts w:ascii="Arial" w:hAnsi="Arial" w:cs="Arial"/>
                <w:b/>
                <w:sz w:val="20"/>
                <w:szCs w:val="20"/>
              </w:rPr>
              <w:t>Increase in NAB</w:t>
            </w:r>
          </w:p>
        </w:tc>
        <w:tc>
          <w:tcPr>
            <w:tcW w:w="1317" w:type="dxa"/>
            <w:tcBorders>
              <w:top w:val="nil"/>
              <w:left w:val="single" w:sz="4" w:space="0" w:color="auto"/>
              <w:bottom w:val="nil"/>
              <w:right w:val="nil"/>
            </w:tcBorders>
            <w:shd w:val="clear" w:color="auto" w:fill="auto"/>
            <w:noWrap/>
            <w:vAlign w:val="bottom"/>
            <w:hideMark/>
          </w:tcPr>
          <w:p w14:paraId="75C14A00" w14:textId="77777777" w:rsidR="00F00437" w:rsidRPr="00E07AE6" w:rsidRDefault="00F00437"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F00437" w:rsidRPr="00E07AE6" w:rsidRDefault="00F00437" w:rsidP="00F00437">
            <w:pPr>
              <w:rPr>
                <w:rFonts w:ascii="Arial" w:hAnsi="Arial" w:cs="Arial"/>
                <w:sz w:val="20"/>
                <w:szCs w:val="20"/>
              </w:rPr>
            </w:pPr>
          </w:p>
        </w:tc>
      </w:tr>
      <w:tr w:rsidR="00F00437" w:rsidRPr="00E07AE6" w14:paraId="2EB98A3C" w14:textId="77777777" w:rsidTr="0007292D">
        <w:trPr>
          <w:trHeight w:val="255"/>
        </w:trPr>
        <w:tc>
          <w:tcPr>
            <w:tcW w:w="2623" w:type="dxa"/>
            <w:shd w:val="clear" w:color="auto" w:fill="auto"/>
            <w:noWrap/>
            <w:vAlign w:val="bottom"/>
            <w:hideMark/>
          </w:tcPr>
          <w:p w14:paraId="281DE258"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$3,866,402 </w:t>
            </w:r>
          </w:p>
        </w:tc>
        <w:tc>
          <w:tcPr>
            <w:tcW w:w="1409" w:type="dxa"/>
            <w:shd w:val="clear" w:color="auto" w:fill="auto"/>
            <w:noWrap/>
            <w:vAlign w:val="bottom"/>
            <w:hideMark/>
          </w:tcPr>
          <w:p w14:paraId="1D811007" w14:textId="30618614" w:rsidR="00F00437" w:rsidRPr="00E07AE6" w:rsidRDefault="00F00437" w:rsidP="00F00437">
            <w:pPr>
              <w:jc w:val="right"/>
              <w:rPr>
                <w:rFonts w:ascii="Arial" w:hAnsi="Arial" w:cs="Arial"/>
                <w:sz w:val="20"/>
                <w:szCs w:val="20"/>
              </w:rPr>
            </w:pPr>
            <w:r w:rsidRPr="00E07AE6">
              <w:rPr>
                <w:rFonts w:ascii="Arial" w:hAnsi="Arial" w:cs="Arial"/>
                <w:sz w:val="20"/>
                <w:szCs w:val="20"/>
              </w:rPr>
              <w:t>$3,</w:t>
            </w:r>
            <w:r w:rsidR="000825E8">
              <w:rPr>
                <w:rFonts w:ascii="Arial" w:hAnsi="Arial" w:cs="Arial"/>
                <w:sz w:val="20"/>
                <w:szCs w:val="20"/>
              </w:rPr>
              <w:t>595,024</w:t>
            </w:r>
            <w:r w:rsidRPr="00E07AE6">
              <w:rPr>
                <w:rFonts w:ascii="Arial" w:hAnsi="Arial" w:cs="Arial"/>
                <w:sz w:val="20"/>
                <w:szCs w:val="20"/>
              </w:rPr>
              <w:t xml:space="preserve"> </w:t>
            </w:r>
          </w:p>
        </w:tc>
        <w:tc>
          <w:tcPr>
            <w:tcW w:w="1451" w:type="dxa"/>
            <w:shd w:val="clear" w:color="auto" w:fill="auto"/>
            <w:noWrap/>
            <w:vAlign w:val="bottom"/>
            <w:hideMark/>
          </w:tcPr>
          <w:p w14:paraId="7B50B003" w14:textId="6D8BC4A5"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w:t>
            </w:r>
            <w:r w:rsidR="000825E8">
              <w:rPr>
                <w:rFonts w:ascii="Arial" w:hAnsi="Arial" w:cs="Arial"/>
                <w:color w:val="FF0000"/>
                <w:sz w:val="20"/>
                <w:szCs w:val="20"/>
              </w:rPr>
              <w:t>271,3</w:t>
            </w:r>
            <w:r w:rsidR="00C44958">
              <w:rPr>
                <w:rFonts w:ascii="Arial" w:hAnsi="Arial" w:cs="Arial"/>
                <w:color w:val="FF0000"/>
                <w:sz w:val="20"/>
                <w:szCs w:val="20"/>
              </w:rPr>
              <w:t>7</w:t>
            </w:r>
            <w:r w:rsidR="000825E8">
              <w:rPr>
                <w:rFonts w:ascii="Arial" w:hAnsi="Arial" w:cs="Arial"/>
                <w:color w:val="FF0000"/>
                <w:sz w:val="20"/>
                <w:szCs w:val="20"/>
              </w:rPr>
              <w:t>8</w:t>
            </w:r>
            <w:r w:rsidRPr="00E07AE6">
              <w:rPr>
                <w:rFonts w:ascii="Arial" w:hAnsi="Arial" w:cs="Arial"/>
                <w:color w:val="FF0000"/>
                <w:sz w:val="20"/>
                <w:szCs w:val="20"/>
              </w:rPr>
              <w:t>)</w:t>
            </w:r>
          </w:p>
        </w:tc>
        <w:tc>
          <w:tcPr>
            <w:tcW w:w="1341" w:type="dxa"/>
            <w:tcBorders>
              <w:right w:val="single" w:sz="4" w:space="0" w:color="auto"/>
            </w:tcBorders>
            <w:shd w:val="clear" w:color="auto" w:fill="auto"/>
            <w:noWrap/>
            <w:vAlign w:val="bottom"/>
            <w:hideMark/>
          </w:tcPr>
          <w:p w14:paraId="617D4A44" w14:textId="4BF7A558" w:rsidR="00F00437" w:rsidRPr="00E07AE6" w:rsidRDefault="00F00437" w:rsidP="00F00437">
            <w:pPr>
              <w:jc w:val="right"/>
              <w:rPr>
                <w:rFonts w:ascii="Arial" w:hAnsi="Arial" w:cs="Arial"/>
                <w:sz w:val="20"/>
                <w:szCs w:val="20"/>
              </w:rPr>
            </w:pPr>
            <w:r w:rsidRPr="00E07AE6">
              <w:rPr>
                <w:rFonts w:ascii="Arial" w:hAnsi="Arial" w:cs="Arial"/>
                <w:sz w:val="20"/>
                <w:szCs w:val="20"/>
              </w:rPr>
              <w:t>-</w:t>
            </w:r>
            <w:r w:rsidR="00C44958">
              <w:rPr>
                <w:rFonts w:ascii="Arial" w:hAnsi="Arial" w:cs="Arial"/>
                <w:sz w:val="20"/>
                <w:szCs w:val="20"/>
              </w:rPr>
              <w:t>7</w:t>
            </w:r>
            <w:r w:rsidRPr="00E07AE6">
              <w:rPr>
                <w:rFonts w:ascii="Arial" w:hAnsi="Arial" w:cs="Arial"/>
                <w:sz w:val="20"/>
                <w:szCs w:val="20"/>
              </w:rPr>
              <w:t>%</w:t>
            </w:r>
          </w:p>
        </w:tc>
        <w:tc>
          <w:tcPr>
            <w:tcW w:w="1317" w:type="dxa"/>
            <w:tcBorders>
              <w:top w:val="nil"/>
              <w:left w:val="single" w:sz="4" w:space="0" w:color="auto"/>
              <w:bottom w:val="nil"/>
              <w:right w:val="nil"/>
            </w:tcBorders>
            <w:shd w:val="clear" w:color="auto" w:fill="auto"/>
            <w:noWrap/>
            <w:vAlign w:val="bottom"/>
            <w:hideMark/>
          </w:tcPr>
          <w:p w14:paraId="1E96F131" w14:textId="77777777" w:rsidR="00F00437" w:rsidRPr="00E07AE6" w:rsidRDefault="00F00437"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F00437" w:rsidRPr="00E07AE6" w:rsidRDefault="00F00437" w:rsidP="00F00437">
            <w:pPr>
              <w:rPr>
                <w:rFonts w:ascii="Arial" w:hAnsi="Arial" w:cs="Arial"/>
                <w:sz w:val="20"/>
                <w:szCs w:val="20"/>
              </w:rPr>
            </w:pPr>
          </w:p>
        </w:tc>
      </w:tr>
    </w:tbl>
    <w:p w14:paraId="303BE110" w14:textId="77777777" w:rsidR="00A11259" w:rsidRDefault="00A11259" w:rsidP="00066FDA">
      <w:pPr>
        <w:rPr>
          <w:rFonts w:asciiTheme="minorHAnsi" w:hAnsiTheme="minorHAnsi" w:cstheme="minorHAnsi"/>
        </w:rPr>
      </w:pPr>
    </w:p>
    <w:p w14:paraId="4E5183F9" w14:textId="77777777" w:rsidR="00FF34A4" w:rsidRDefault="00FF34A4" w:rsidP="00066FDA">
      <w:pPr>
        <w:rPr>
          <w:rFonts w:asciiTheme="minorHAnsi" w:hAnsiTheme="minorHAnsi" w:cstheme="minorHAnsi"/>
        </w:rPr>
      </w:pPr>
    </w:p>
    <w:p w14:paraId="7A5A59DB" w14:textId="41168029" w:rsidR="00C31BAC" w:rsidRPr="00B1101F" w:rsidRDefault="00E30603" w:rsidP="00384F2D">
      <w:pPr>
        <w:pStyle w:val="ListParagraph"/>
        <w:numPr>
          <w:ilvl w:val="0"/>
          <w:numId w:val="9"/>
        </w:numPr>
        <w:rPr>
          <w:rFonts w:asciiTheme="minorHAnsi" w:hAnsiTheme="minorHAnsi" w:cstheme="minorHAnsi"/>
        </w:rPr>
      </w:pPr>
      <w:r w:rsidRPr="00B1101F">
        <w:rPr>
          <w:rFonts w:asciiTheme="minorHAnsi" w:hAnsiTheme="minorHAnsi" w:cstheme="minorHAnsi"/>
        </w:rPr>
        <w:t xml:space="preserve">Operating Revenue: </w:t>
      </w:r>
      <w:r w:rsidR="008374E4" w:rsidRPr="00B1101F">
        <w:rPr>
          <w:rFonts w:asciiTheme="minorHAnsi" w:hAnsiTheme="minorHAnsi" w:cstheme="minorHAnsi"/>
        </w:rPr>
        <w:t xml:space="preserve">At the close of </w:t>
      </w:r>
      <w:r w:rsidR="00F209CE" w:rsidRPr="00B1101F">
        <w:rPr>
          <w:rFonts w:asciiTheme="minorHAnsi" w:hAnsiTheme="minorHAnsi" w:cstheme="minorHAnsi"/>
        </w:rPr>
        <w:t>April</w:t>
      </w:r>
      <w:r w:rsidR="00FF34A4" w:rsidRPr="00B1101F">
        <w:rPr>
          <w:rFonts w:asciiTheme="minorHAnsi" w:hAnsiTheme="minorHAnsi" w:cstheme="minorHAnsi"/>
        </w:rPr>
        <w:t xml:space="preserve"> 2019</w:t>
      </w:r>
      <w:r w:rsidR="008374E4" w:rsidRPr="00B1101F">
        <w:rPr>
          <w:rFonts w:asciiTheme="minorHAnsi" w:hAnsiTheme="minorHAnsi" w:cstheme="minorHAnsi"/>
        </w:rPr>
        <w:t xml:space="preserve">, </w:t>
      </w:r>
      <w:r w:rsidRPr="00B1101F">
        <w:rPr>
          <w:rFonts w:asciiTheme="minorHAnsi" w:hAnsiTheme="minorHAnsi" w:cstheme="minorHAnsi"/>
        </w:rPr>
        <w:t>PLA had budgeted for $</w:t>
      </w:r>
      <w:r w:rsidR="00F209CE" w:rsidRPr="00B1101F">
        <w:rPr>
          <w:rFonts w:asciiTheme="minorHAnsi" w:hAnsiTheme="minorHAnsi" w:cstheme="minorHAnsi"/>
        </w:rPr>
        <w:t>564,348</w:t>
      </w:r>
      <w:r w:rsidRPr="00B1101F">
        <w:rPr>
          <w:rFonts w:asciiTheme="minorHAnsi" w:hAnsiTheme="minorHAnsi" w:cstheme="minorHAnsi"/>
        </w:rPr>
        <w:t xml:space="preserve"> in revenue </w:t>
      </w:r>
      <w:r w:rsidR="00FF34A4" w:rsidRPr="00B1101F">
        <w:rPr>
          <w:rFonts w:asciiTheme="minorHAnsi" w:hAnsiTheme="minorHAnsi" w:cstheme="minorHAnsi"/>
        </w:rPr>
        <w:t xml:space="preserve">and </w:t>
      </w:r>
      <w:r w:rsidR="00DE6F47" w:rsidRPr="00B1101F">
        <w:rPr>
          <w:rFonts w:asciiTheme="minorHAnsi" w:hAnsiTheme="minorHAnsi" w:cstheme="minorHAnsi"/>
        </w:rPr>
        <w:t xml:space="preserve">has an </w:t>
      </w:r>
      <w:r w:rsidR="00F209CE" w:rsidRPr="00B1101F">
        <w:rPr>
          <w:rFonts w:asciiTheme="minorHAnsi" w:hAnsiTheme="minorHAnsi" w:cstheme="minorHAnsi"/>
        </w:rPr>
        <w:t>7</w:t>
      </w:r>
      <w:r w:rsidR="00D34667" w:rsidRPr="00B1101F">
        <w:rPr>
          <w:rFonts w:asciiTheme="minorHAnsi" w:hAnsiTheme="minorHAnsi" w:cstheme="minorHAnsi"/>
        </w:rPr>
        <w:t>% negative</w:t>
      </w:r>
      <w:r w:rsidR="00DE6F47" w:rsidRPr="00B1101F">
        <w:rPr>
          <w:rFonts w:asciiTheme="minorHAnsi" w:hAnsiTheme="minorHAnsi" w:cstheme="minorHAnsi"/>
        </w:rPr>
        <w:t xml:space="preserve"> variance</w:t>
      </w:r>
      <w:r w:rsidR="00FF34A4" w:rsidRPr="00B1101F">
        <w:rPr>
          <w:rFonts w:asciiTheme="minorHAnsi" w:hAnsiTheme="minorHAnsi" w:cstheme="minorHAnsi"/>
        </w:rPr>
        <w:t>, with actual revenue of $</w:t>
      </w:r>
      <w:r w:rsidR="00F209CE" w:rsidRPr="00B1101F">
        <w:rPr>
          <w:rFonts w:asciiTheme="minorHAnsi" w:hAnsiTheme="minorHAnsi" w:cstheme="minorHAnsi"/>
        </w:rPr>
        <w:t>527,483</w:t>
      </w:r>
      <w:r w:rsidR="00FF34A4" w:rsidRPr="00B1101F">
        <w:rPr>
          <w:rFonts w:asciiTheme="minorHAnsi" w:hAnsiTheme="minorHAnsi" w:cstheme="minorHAnsi"/>
        </w:rPr>
        <w:t xml:space="preserve">. </w:t>
      </w:r>
      <w:r w:rsidR="00F209CE" w:rsidRPr="00B1101F">
        <w:rPr>
          <w:rFonts w:asciiTheme="minorHAnsi" w:hAnsiTheme="minorHAnsi" w:cstheme="minorHAnsi"/>
        </w:rPr>
        <w:t xml:space="preserve">This is in line with the last report (January 2019) when revenue was 6% under budget. </w:t>
      </w:r>
      <w:r w:rsidR="00B1101F" w:rsidRPr="00B1101F">
        <w:rPr>
          <w:rFonts w:asciiTheme="minorHAnsi" w:hAnsiTheme="minorHAnsi" w:cstheme="minorHAnsi"/>
        </w:rPr>
        <w:t>However, since the last report, revenue in many areas has adjusted to be at or over budget, and nearly all of the shortfall is concentrated in four areas. Dues are about $7,000 under budget. R</w:t>
      </w:r>
      <w:r w:rsidR="00C31BAC" w:rsidRPr="00B1101F">
        <w:rPr>
          <w:rFonts w:asciiTheme="minorHAnsi" w:hAnsiTheme="minorHAnsi" w:cstheme="minorHAnsi"/>
        </w:rPr>
        <w:t xml:space="preserve">evenue from </w:t>
      </w:r>
      <w:r w:rsidR="00F209CE" w:rsidRPr="00B1101F">
        <w:rPr>
          <w:rFonts w:asciiTheme="minorHAnsi" w:hAnsiTheme="minorHAnsi" w:cstheme="minorHAnsi"/>
        </w:rPr>
        <w:t xml:space="preserve">Every Child Ready to Read </w:t>
      </w:r>
      <w:r w:rsidR="00B1101F">
        <w:rPr>
          <w:rFonts w:asciiTheme="minorHAnsi" w:hAnsiTheme="minorHAnsi" w:cstheme="minorHAnsi"/>
        </w:rPr>
        <w:t xml:space="preserve">product sales </w:t>
      </w:r>
      <w:r w:rsidR="00F209CE" w:rsidRPr="00B1101F">
        <w:rPr>
          <w:rFonts w:asciiTheme="minorHAnsi" w:hAnsiTheme="minorHAnsi" w:cstheme="minorHAnsi"/>
        </w:rPr>
        <w:t>is approximately $4,000 under budget and revenue from Project Outcome regional trainings are $44,000 below budget.</w:t>
      </w:r>
      <w:r w:rsidR="00B1101F" w:rsidRPr="00B1101F">
        <w:rPr>
          <w:rFonts w:asciiTheme="minorHAnsi" w:hAnsiTheme="minorHAnsi" w:cstheme="minorHAnsi"/>
        </w:rPr>
        <w:t xml:space="preserve"> In addition, $40,000 was budgeted for regional education events which are not being held in FY19. On the positive side, revenue for other publications including PLDS, webinar sales, and Public Libraries ad sales are all over budget. In addition</w:t>
      </w:r>
      <w:r w:rsidR="00425AF1">
        <w:rPr>
          <w:rFonts w:asciiTheme="minorHAnsi" w:hAnsiTheme="minorHAnsi" w:cstheme="minorHAnsi"/>
        </w:rPr>
        <w:t>,</w:t>
      </w:r>
      <w:r w:rsidR="00B1101F">
        <w:rPr>
          <w:rFonts w:asciiTheme="minorHAnsi" w:hAnsiTheme="minorHAnsi" w:cstheme="minorHAnsi"/>
        </w:rPr>
        <w:t xml:space="preserve"> </w:t>
      </w:r>
      <w:r w:rsidR="00C31BAC" w:rsidRPr="00B1101F">
        <w:rPr>
          <w:rFonts w:asciiTheme="minorHAnsi" w:hAnsiTheme="minorHAnsi" w:cstheme="minorHAnsi"/>
        </w:rPr>
        <w:t>PLA benefited from registration</w:t>
      </w:r>
      <w:r w:rsidR="00B1101F">
        <w:rPr>
          <w:rFonts w:asciiTheme="minorHAnsi" w:hAnsiTheme="minorHAnsi" w:cstheme="minorHAnsi"/>
        </w:rPr>
        <w:t xml:space="preserve"> fees for unbudgeted events ($9,550 for a</w:t>
      </w:r>
      <w:r w:rsidR="00C31BAC" w:rsidRPr="00B1101F">
        <w:rPr>
          <w:rFonts w:asciiTheme="minorHAnsi" w:hAnsiTheme="minorHAnsi" w:cstheme="minorHAnsi"/>
        </w:rPr>
        <w:t xml:space="preserve"> 2019 Midwinter Meeting Institute</w:t>
      </w:r>
      <w:r w:rsidR="00B1101F">
        <w:rPr>
          <w:rFonts w:asciiTheme="minorHAnsi" w:hAnsiTheme="minorHAnsi" w:cstheme="minorHAnsi"/>
        </w:rPr>
        <w:t xml:space="preserve">, and $18,525 for the first regional Equity Starts with Us training) and also secured </w:t>
      </w:r>
      <w:r w:rsidR="00D34667" w:rsidRPr="00B1101F">
        <w:rPr>
          <w:rFonts w:asciiTheme="minorHAnsi" w:hAnsiTheme="minorHAnsi" w:cstheme="minorHAnsi"/>
        </w:rPr>
        <w:t xml:space="preserve">two </w:t>
      </w:r>
      <w:r w:rsidR="00B1101F">
        <w:rPr>
          <w:rFonts w:asciiTheme="minorHAnsi" w:hAnsiTheme="minorHAnsi" w:cstheme="minorHAnsi"/>
        </w:rPr>
        <w:t>unanticipated</w:t>
      </w:r>
      <w:r w:rsidR="00D34667" w:rsidRPr="00B1101F">
        <w:rPr>
          <w:rFonts w:asciiTheme="minorHAnsi" w:hAnsiTheme="minorHAnsi" w:cstheme="minorHAnsi"/>
        </w:rPr>
        <w:t xml:space="preserve"> </w:t>
      </w:r>
      <w:r w:rsidR="00C31BAC" w:rsidRPr="00B1101F">
        <w:rPr>
          <w:rFonts w:asciiTheme="minorHAnsi" w:hAnsiTheme="minorHAnsi" w:cstheme="minorHAnsi"/>
        </w:rPr>
        <w:t>sponsorship</w:t>
      </w:r>
      <w:r w:rsidR="00D34667" w:rsidRPr="00B1101F">
        <w:rPr>
          <w:rFonts w:asciiTheme="minorHAnsi" w:hAnsiTheme="minorHAnsi" w:cstheme="minorHAnsi"/>
        </w:rPr>
        <w:t>s ($43,000 from</w:t>
      </w:r>
      <w:r w:rsidR="00C31BAC" w:rsidRPr="00B1101F">
        <w:rPr>
          <w:rFonts w:asciiTheme="minorHAnsi" w:hAnsiTheme="minorHAnsi" w:cstheme="minorHAnsi"/>
        </w:rPr>
        <w:t xml:space="preserve"> Capital One</w:t>
      </w:r>
      <w:r w:rsidR="00D34667" w:rsidRPr="00B1101F">
        <w:rPr>
          <w:rFonts w:asciiTheme="minorHAnsi" w:hAnsiTheme="minorHAnsi" w:cstheme="minorHAnsi"/>
        </w:rPr>
        <w:t>, and $61,000 from Google</w:t>
      </w:r>
      <w:r w:rsidR="00B1101F">
        <w:rPr>
          <w:rFonts w:asciiTheme="minorHAnsi" w:hAnsiTheme="minorHAnsi" w:cstheme="minorHAnsi"/>
        </w:rPr>
        <w:t>)</w:t>
      </w:r>
      <w:r w:rsidR="00C31BAC" w:rsidRPr="00B1101F">
        <w:rPr>
          <w:rFonts w:asciiTheme="minorHAnsi" w:hAnsiTheme="minorHAnsi" w:cstheme="minorHAnsi"/>
        </w:rPr>
        <w:t xml:space="preserve">. </w:t>
      </w:r>
      <w:r w:rsidR="00437426">
        <w:rPr>
          <w:rFonts w:asciiTheme="minorHAnsi" w:hAnsiTheme="minorHAnsi" w:cstheme="minorHAnsi"/>
        </w:rPr>
        <w:t>Dues, which are relatively on target</w:t>
      </w:r>
      <w:r w:rsidR="00B53E86">
        <w:rPr>
          <w:rFonts w:asciiTheme="minorHAnsi" w:hAnsiTheme="minorHAnsi" w:cstheme="minorHAnsi"/>
        </w:rPr>
        <w:t xml:space="preserve"> and</w:t>
      </w:r>
      <w:r w:rsidR="00437426">
        <w:rPr>
          <w:rFonts w:asciiTheme="minorHAnsi" w:hAnsiTheme="minorHAnsi" w:cstheme="minorHAnsi"/>
        </w:rPr>
        <w:t xml:space="preserve"> a primary source of revenue </w:t>
      </w:r>
      <w:r w:rsidR="00B53E86">
        <w:rPr>
          <w:rFonts w:asciiTheme="minorHAnsi" w:hAnsiTheme="minorHAnsi" w:cstheme="minorHAnsi"/>
        </w:rPr>
        <w:t>in a non-PLA conference year</w:t>
      </w:r>
      <w:r w:rsidR="00437426">
        <w:rPr>
          <w:rFonts w:asciiTheme="minorHAnsi" w:hAnsiTheme="minorHAnsi" w:cstheme="minorHAnsi"/>
        </w:rPr>
        <w:t xml:space="preserve">, will help PLA maintain the present course, however we expect to end FY19 with a 8-10% negative variance in revenue ($68-85,000 under budget) due to lack of regional and Project Outcome training events. </w:t>
      </w:r>
    </w:p>
    <w:p w14:paraId="7736275B" w14:textId="77777777" w:rsidR="00C31BAC" w:rsidRDefault="00C31BAC" w:rsidP="00C31BAC">
      <w:pPr>
        <w:rPr>
          <w:rFonts w:asciiTheme="minorHAnsi" w:hAnsiTheme="minorHAnsi" w:cstheme="minorHAnsi"/>
        </w:rPr>
      </w:pPr>
    </w:p>
    <w:p w14:paraId="65FD31C9" w14:textId="6EEC2C63" w:rsidR="008374E4" w:rsidRPr="00437426" w:rsidRDefault="00C31BAC" w:rsidP="00437426">
      <w:pPr>
        <w:pStyle w:val="ListParagraph"/>
        <w:numPr>
          <w:ilvl w:val="0"/>
          <w:numId w:val="5"/>
        </w:numPr>
        <w:rPr>
          <w:rFonts w:asciiTheme="minorHAnsi" w:hAnsiTheme="minorHAnsi" w:cstheme="minorHAnsi"/>
        </w:rPr>
      </w:pPr>
      <w:r w:rsidRPr="00C31BAC">
        <w:rPr>
          <w:rFonts w:asciiTheme="minorHAnsi" w:hAnsiTheme="minorHAnsi" w:cstheme="minorHAnsi"/>
        </w:rPr>
        <w:t xml:space="preserve">On the expense side, at the close of </w:t>
      </w:r>
      <w:r w:rsidR="00B1101F">
        <w:rPr>
          <w:rFonts w:asciiTheme="minorHAnsi" w:hAnsiTheme="minorHAnsi" w:cstheme="minorHAnsi"/>
        </w:rPr>
        <w:t>April</w:t>
      </w:r>
      <w:r w:rsidRPr="00C31BAC">
        <w:rPr>
          <w:rFonts w:asciiTheme="minorHAnsi" w:hAnsiTheme="minorHAnsi" w:cstheme="minorHAnsi"/>
        </w:rPr>
        <w:t xml:space="preserve"> 2019 PLA had budgeted to spend $</w:t>
      </w:r>
      <w:r w:rsidR="00B1101F" w:rsidRPr="00B1101F">
        <w:rPr>
          <w:rFonts w:asciiTheme="minorHAnsi" w:hAnsiTheme="minorHAnsi" w:cstheme="minorHAnsi"/>
        </w:rPr>
        <w:t xml:space="preserve">1,041,474 </w:t>
      </w:r>
      <w:r w:rsidRPr="00C31BAC">
        <w:rPr>
          <w:rFonts w:asciiTheme="minorHAnsi" w:hAnsiTheme="minorHAnsi" w:cstheme="minorHAnsi"/>
        </w:rPr>
        <w:t>and has spent $</w:t>
      </w:r>
      <w:r w:rsidR="00B1101F" w:rsidRPr="00B1101F">
        <w:rPr>
          <w:rFonts w:asciiTheme="minorHAnsi" w:hAnsiTheme="minorHAnsi" w:cstheme="minorHAnsi"/>
        </w:rPr>
        <w:t>786,855</w:t>
      </w:r>
      <w:r w:rsidRPr="00C31BAC">
        <w:rPr>
          <w:rFonts w:asciiTheme="minorHAnsi" w:hAnsiTheme="minorHAnsi" w:cstheme="minorHAnsi"/>
        </w:rPr>
        <w:t xml:space="preserve">, for a favorable variance of </w:t>
      </w:r>
      <w:r w:rsidR="00B1101F">
        <w:rPr>
          <w:rFonts w:asciiTheme="minorHAnsi" w:hAnsiTheme="minorHAnsi" w:cstheme="minorHAnsi"/>
        </w:rPr>
        <w:t>24</w:t>
      </w:r>
      <w:r w:rsidRPr="00C31BAC">
        <w:rPr>
          <w:rFonts w:asciiTheme="minorHAnsi" w:hAnsiTheme="minorHAnsi" w:cstheme="minorHAnsi"/>
        </w:rPr>
        <w:t xml:space="preserve">%. </w:t>
      </w:r>
      <w:r w:rsidR="00425AF1">
        <w:rPr>
          <w:rFonts w:asciiTheme="minorHAnsi" w:hAnsiTheme="minorHAnsi" w:cstheme="minorHAnsi"/>
        </w:rPr>
        <w:t xml:space="preserve">Some variances logically follow the reduced income: regional education events and Project Outcome trainings are under budget by a combined $72,000 because they </w:t>
      </w:r>
      <w:r w:rsidR="00346867">
        <w:rPr>
          <w:rFonts w:asciiTheme="minorHAnsi" w:hAnsiTheme="minorHAnsi" w:cstheme="minorHAnsi"/>
        </w:rPr>
        <w:t>are not occu</w:t>
      </w:r>
      <w:r w:rsidR="00B53E86">
        <w:rPr>
          <w:rFonts w:asciiTheme="minorHAnsi" w:hAnsiTheme="minorHAnsi" w:cstheme="minorHAnsi"/>
        </w:rPr>
        <w:t>r</w:t>
      </w:r>
      <w:r w:rsidR="00346867">
        <w:rPr>
          <w:rFonts w:asciiTheme="minorHAnsi" w:hAnsiTheme="minorHAnsi" w:cstheme="minorHAnsi"/>
        </w:rPr>
        <w:t>ring</w:t>
      </w:r>
      <w:r w:rsidR="00425AF1">
        <w:rPr>
          <w:rFonts w:asciiTheme="minorHAnsi" w:hAnsiTheme="minorHAnsi" w:cstheme="minorHAnsi"/>
        </w:rPr>
        <w:t xml:space="preserve">. Planning and promotion of the PLA 2020 Conference is also under budget by over $68,000, in part due to timing but also due to reduced reliance on print materials and </w:t>
      </w:r>
      <w:r w:rsidR="00B53E86">
        <w:rPr>
          <w:rFonts w:asciiTheme="minorHAnsi" w:hAnsiTheme="minorHAnsi" w:cstheme="minorHAnsi"/>
        </w:rPr>
        <w:t>giveaways</w:t>
      </w:r>
      <w:r w:rsidR="00425AF1">
        <w:rPr>
          <w:rFonts w:asciiTheme="minorHAnsi" w:hAnsiTheme="minorHAnsi" w:cstheme="minorHAnsi"/>
        </w:rPr>
        <w:t>. Other major variances in expenses are primarily due to timing</w:t>
      </w:r>
      <w:r w:rsidR="00B53E86">
        <w:rPr>
          <w:rFonts w:asciiTheme="minorHAnsi" w:hAnsiTheme="minorHAnsi" w:cstheme="minorHAnsi"/>
        </w:rPr>
        <w:t>:</w:t>
      </w:r>
      <w:r w:rsidR="00425AF1">
        <w:rPr>
          <w:rFonts w:asciiTheme="minorHAnsi" w:hAnsiTheme="minorHAnsi" w:cstheme="minorHAnsi"/>
        </w:rPr>
        <w:t xml:space="preserve"> Inclusive Internship Initiative Cost Share ($45,871)</w:t>
      </w:r>
      <w:r w:rsidR="00B53E86">
        <w:rPr>
          <w:rFonts w:asciiTheme="minorHAnsi" w:hAnsiTheme="minorHAnsi" w:cstheme="minorHAnsi"/>
        </w:rPr>
        <w:t>;</w:t>
      </w:r>
      <w:r w:rsidR="00425AF1">
        <w:rPr>
          <w:rFonts w:asciiTheme="minorHAnsi" w:hAnsiTheme="minorHAnsi" w:cstheme="minorHAnsi"/>
        </w:rPr>
        <w:t xml:space="preserve"> general member services ($23,395)</w:t>
      </w:r>
      <w:r w:rsidR="00B53E86">
        <w:rPr>
          <w:rFonts w:asciiTheme="minorHAnsi" w:hAnsiTheme="minorHAnsi" w:cstheme="minorHAnsi"/>
        </w:rPr>
        <w:t>;</w:t>
      </w:r>
      <w:r w:rsidR="00425AF1">
        <w:rPr>
          <w:rFonts w:asciiTheme="minorHAnsi" w:hAnsiTheme="minorHAnsi" w:cstheme="minorHAnsi"/>
        </w:rPr>
        <w:t xml:space="preserve"> and administrative costs ($20,323). Given the status of activity </w:t>
      </w:r>
      <w:r w:rsidR="00437426">
        <w:rPr>
          <w:rFonts w:asciiTheme="minorHAnsi" w:hAnsiTheme="minorHAnsi" w:cstheme="minorHAnsi"/>
        </w:rPr>
        <w:t xml:space="preserve">at </w:t>
      </w:r>
      <w:r w:rsidR="00346867">
        <w:rPr>
          <w:rFonts w:asciiTheme="minorHAnsi" w:hAnsiTheme="minorHAnsi" w:cstheme="minorHAnsi"/>
        </w:rPr>
        <w:t>the</w:t>
      </w:r>
      <w:r w:rsidR="00437426">
        <w:rPr>
          <w:rFonts w:asciiTheme="minorHAnsi" w:hAnsiTheme="minorHAnsi" w:cstheme="minorHAnsi"/>
        </w:rPr>
        <w:t xml:space="preserve"> three-quarters point in the fiscal year, PLA predicts we may stay around 20% under budget, with expenses closer to $1.28 million rather than $1.6 million as budgeted.</w:t>
      </w:r>
    </w:p>
    <w:p w14:paraId="3D6BD837" w14:textId="77777777" w:rsidR="00761259" w:rsidRPr="00B561F1" w:rsidRDefault="00761259" w:rsidP="00761259">
      <w:pPr>
        <w:rPr>
          <w:rFonts w:asciiTheme="minorHAnsi" w:hAnsiTheme="minorHAnsi" w:cstheme="minorHAnsi"/>
          <w:u w:val="single"/>
        </w:rPr>
      </w:pPr>
    </w:p>
    <w:p w14:paraId="6D529AE8" w14:textId="77777777" w:rsidR="00761259" w:rsidRPr="00B561F1" w:rsidRDefault="00761259" w:rsidP="00761259">
      <w:pPr>
        <w:rPr>
          <w:rFonts w:asciiTheme="minorHAnsi" w:hAnsiTheme="minorHAnsi" w:cstheme="minorHAnsi"/>
          <w:u w:val="single"/>
        </w:rPr>
      </w:pPr>
      <w:r w:rsidRPr="00B561F1">
        <w:rPr>
          <w:rFonts w:asciiTheme="minorHAnsi" w:hAnsiTheme="minorHAnsi" w:cstheme="minorHAnsi"/>
          <w:u w:val="single"/>
        </w:rPr>
        <w:t>Grant Budgets</w:t>
      </w:r>
    </w:p>
    <w:p w14:paraId="4CF44610" w14:textId="6CA67EA5" w:rsidR="00CA080C" w:rsidRDefault="00761259" w:rsidP="00F2597D">
      <w:pPr>
        <w:rPr>
          <w:rFonts w:asciiTheme="minorHAnsi" w:hAnsiTheme="minorHAnsi" w:cstheme="minorHAnsi"/>
        </w:rPr>
      </w:pPr>
      <w:r w:rsidRPr="00B561F1">
        <w:rPr>
          <w:rFonts w:asciiTheme="minorHAnsi" w:hAnsiTheme="minorHAnsi" w:cstheme="minorHAnsi"/>
        </w:rPr>
        <w:t>By</w:t>
      </w:r>
      <w:r w:rsidR="00DB0302" w:rsidRPr="00B561F1">
        <w:rPr>
          <w:rFonts w:asciiTheme="minorHAnsi" w:hAnsiTheme="minorHAnsi" w:cstheme="minorHAnsi"/>
        </w:rPr>
        <w:t xml:space="preserve"> the close of </w:t>
      </w:r>
      <w:r w:rsidR="00437426">
        <w:rPr>
          <w:rFonts w:asciiTheme="minorHAnsi" w:hAnsiTheme="minorHAnsi" w:cstheme="minorHAnsi"/>
        </w:rPr>
        <w:t>April</w:t>
      </w:r>
      <w:r w:rsidR="00DE6F47">
        <w:rPr>
          <w:rFonts w:asciiTheme="minorHAnsi" w:hAnsiTheme="minorHAnsi" w:cstheme="minorHAnsi"/>
        </w:rPr>
        <w:t xml:space="preserve"> 2019</w:t>
      </w:r>
      <w:r w:rsidR="00346867">
        <w:rPr>
          <w:rFonts w:asciiTheme="minorHAnsi" w:hAnsiTheme="minorHAnsi" w:cstheme="minorHAnsi"/>
        </w:rPr>
        <w:t>,</w:t>
      </w:r>
      <w:r w:rsidR="00CA080C" w:rsidRPr="00B561F1">
        <w:rPr>
          <w:rFonts w:asciiTheme="minorHAnsi" w:hAnsiTheme="minorHAnsi" w:cstheme="minorHAnsi"/>
        </w:rPr>
        <w:t xml:space="preserve"> PLA h</w:t>
      </w:r>
      <w:r w:rsidR="00DB0302" w:rsidRPr="00B561F1">
        <w:rPr>
          <w:rFonts w:asciiTheme="minorHAnsi" w:hAnsiTheme="minorHAnsi" w:cstheme="minorHAnsi"/>
        </w:rPr>
        <w:t xml:space="preserve">ad </w:t>
      </w:r>
      <w:r w:rsidR="00CA080C" w:rsidRPr="00B561F1">
        <w:rPr>
          <w:rFonts w:asciiTheme="minorHAnsi" w:hAnsiTheme="minorHAnsi" w:cstheme="minorHAnsi"/>
        </w:rPr>
        <w:t>spent $</w:t>
      </w:r>
      <w:r w:rsidR="00437426">
        <w:rPr>
          <w:rFonts w:asciiTheme="minorHAnsi" w:hAnsiTheme="minorHAnsi" w:cstheme="minorHAnsi"/>
        </w:rPr>
        <w:t>1,851,558</w:t>
      </w:r>
      <w:r w:rsidR="00DE6F47">
        <w:rPr>
          <w:rFonts w:asciiTheme="minorHAnsi" w:hAnsiTheme="minorHAnsi" w:cstheme="minorHAnsi"/>
        </w:rPr>
        <w:t xml:space="preserve"> </w:t>
      </w:r>
      <w:r w:rsidR="00CA080C" w:rsidRPr="00B561F1">
        <w:rPr>
          <w:rFonts w:asciiTheme="minorHAnsi" w:hAnsiTheme="minorHAnsi" w:cstheme="minorHAnsi"/>
        </w:rPr>
        <w:t>in grant funds compared to a budgeted amount of $</w:t>
      </w:r>
      <w:r w:rsidR="00437426">
        <w:rPr>
          <w:rFonts w:asciiTheme="minorHAnsi" w:hAnsiTheme="minorHAnsi" w:cstheme="minorHAnsi"/>
        </w:rPr>
        <w:t>1,554,287</w:t>
      </w:r>
      <w:r w:rsidR="00F2597D">
        <w:rPr>
          <w:rFonts w:asciiTheme="minorHAnsi" w:hAnsiTheme="minorHAnsi" w:cstheme="minorHAnsi"/>
        </w:rPr>
        <w:t xml:space="preserve">. </w:t>
      </w:r>
      <w:r w:rsidR="00437426">
        <w:rPr>
          <w:rFonts w:asciiTheme="minorHAnsi" w:hAnsiTheme="minorHAnsi" w:cstheme="minorHAnsi"/>
        </w:rPr>
        <w:t>This large variance ($297,271) is primarily due to two factors, as</w:t>
      </w:r>
      <w:r w:rsidR="00F2597D">
        <w:rPr>
          <w:rFonts w:asciiTheme="minorHAnsi" w:hAnsiTheme="minorHAnsi" w:cstheme="minorHAnsi"/>
        </w:rPr>
        <w:t xml:space="preserve"> reported </w:t>
      </w:r>
      <w:r w:rsidR="00437426">
        <w:rPr>
          <w:rFonts w:asciiTheme="minorHAnsi" w:hAnsiTheme="minorHAnsi" w:cstheme="minorHAnsi"/>
        </w:rPr>
        <w:t>since</w:t>
      </w:r>
      <w:r w:rsidR="00F2597D">
        <w:rPr>
          <w:rFonts w:asciiTheme="minorHAnsi" w:hAnsiTheme="minorHAnsi" w:cstheme="minorHAnsi"/>
        </w:rPr>
        <w:t xml:space="preserve"> the Midwinter Meeting board report</w:t>
      </w:r>
      <w:r w:rsidR="00437426">
        <w:rPr>
          <w:rFonts w:asciiTheme="minorHAnsi" w:hAnsiTheme="minorHAnsi" w:cstheme="minorHAnsi"/>
        </w:rPr>
        <w:t xml:space="preserve">. First, </w:t>
      </w:r>
      <w:r w:rsidR="00F2597D">
        <w:rPr>
          <w:rFonts w:asciiTheme="minorHAnsi" w:hAnsiTheme="minorHAnsi" w:cstheme="minorHAnsi"/>
        </w:rPr>
        <w:t>a</w:t>
      </w:r>
      <w:r w:rsidR="00DB0302" w:rsidRPr="0008346F">
        <w:rPr>
          <w:rFonts w:asciiTheme="minorHAnsi" w:hAnsiTheme="minorHAnsi" w:cstheme="minorHAnsi"/>
        </w:rPr>
        <w:t xml:space="preserve"> large payment for the African Library and Information Associations and Institutions project (3176) was budgeted in FY18 but </w:t>
      </w:r>
      <w:r w:rsidR="00D11622" w:rsidRPr="0008346F">
        <w:rPr>
          <w:rFonts w:asciiTheme="minorHAnsi" w:hAnsiTheme="minorHAnsi" w:cstheme="minorHAnsi"/>
        </w:rPr>
        <w:t xml:space="preserve">delayed and </w:t>
      </w:r>
      <w:r w:rsidR="00DB0302" w:rsidRPr="0008346F">
        <w:rPr>
          <w:rFonts w:asciiTheme="minorHAnsi" w:hAnsiTheme="minorHAnsi" w:cstheme="minorHAnsi"/>
        </w:rPr>
        <w:t>issued in early FY19</w:t>
      </w:r>
      <w:r w:rsidR="00437426">
        <w:rPr>
          <w:rFonts w:asciiTheme="minorHAnsi" w:hAnsiTheme="minorHAnsi" w:cstheme="minorHAnsi"/>
        </w:rPr>
        <w:t xml:space="preserve">. Second, </w:t>
      </w:r>
      <w:r w:rsidR="00F2597D">
        <w:rPr>
          <w:rFonts w:asciiTheme="minorHAnsi" w:hAnsiTheme="minorHAnsi" w:cstheme="minorHAnsi"/>
        </w:rPr>
        <w:t xml:space="preserve">renewal </w:t>
      </w:r>
      <w:r w:rsidR="00DB0302" w:rsidRPr="0008346F">
        <w:rPr>
          <w:rFonts w:asciiTheme="minorHAnsi" w:hAnsiTheme="minorHAnsi" w:cstheme="minorHAnsi"/>
        </w:rPr>
        <w:t xml:space="preserve">of the </w:t>
      </w:r>
      <w:r w:rsidR="00EB2CF8" w:rsidRPr="0008346F">
        <w:rPr>
          <w:rFonts w:asciiTheme="minorHAnsi" w:hAnsiTheme="minorHAnsi" w:cstheme="minorHAnsi"/>
        </w:rPr>
        <w:t xml:space="preserve">IMLS-funded </w:t>
      </w:r>
      <w:r w:rsidR="00DB0302" w:rsidRPr="0008346F">
        <w:rPr>
          <w:rFonts w:asciiTheme="minorHAnsi" w:hAnsiTheme="minorHAnsi" w:cstheme="minorHAnsi"/>
        </w:rPr>
        <w:t xml:space="preserve">Inclusive Internship Initiative (3184) did not occur until after the FY19 budget process was completed. </w:t>
      </w:r>
    </w:p>
    <w:p w14:paraId="4A557BDF" w14:textId="4C7E04A2" w:rsidR="00001D56" w:rsidRDefault="00001D56" w:rsidP="00F2597D">
      <w:pPr>
        <w:rPr>
          <w:rFonts w:asciiTheme="minorHAnsi" w:hAnsiTheme="minorHAnsi" w:cstheme="minorHAnsi"/>
        </w:rPr>
      </w:pPr>
    </w:p>
    <w:p w14:paraId="1984A6E7" w14:textId="77F42B08" w:rsidR="00001D56" w:rsidRDefault="00001D56" w:rsidP="00F2597D">
      <w:pPr>
        <w:rPr>
          <w:rFonts w:asciiTheme="minorHAnsi" w:hAnsiTheme="minorHAnsi" w:cstheme="minorHAnsi"/>
          <w:u w:val="single"/>
        </w:rPr>
      </w:pPr>
      <w:r w:rsidRPr="00001D56">
        <w:rPr>
          <w:rFonts w:asciiTheme="minorHAnsi" w:hAnsiTheme="minorHAnsi" w:cstheme="minorHAnsi"/>
          <w:u w:val="single"/>
        </w:rPr>
        <w:t>PLA Long Term Investment</w:t>
      </w:r>
    </w:p>
    <w:p w14:paraId="6D23C6B8" w14:textId="02A3FC55" w:rsidR="00001D56" w:rsidRPr="00001D56" w:rsidRDefault="00001D56" w:rsidP="00F2597D">
      <w:pPr>
        <w:rPr>
          <w:rFonts w:asciiTheme="minorHAnsi" w:hAnsiTheme="minorHAnsi" w:cstheme="minorHAnsi"/>
        </w:rPr>
      </w:pPr>
      <w:r>
        <w:rPr>
          <w:rFonts w:asciiTheme="minorHAnsi" w:hAnsiTheme="minorHAnsi" w:cstheme="minorHAnsi"/>
        </w:rPr>
        <w:t>As of April, PLA’s long-term investment stood at $1,455,604 compared to</w:t>
      </w:r>
      <w:r w:rsidRPr="004B18B2">
        <w:rPr>
          <w:rFonts w:asciiTheme="minorHAnsi" w:hAnsiTheme="minorHAnsi"/>
          <w:sz w:val="22"/>
          <w:szCs w:val="22"/>
        </w:rPr>
        <w:t xml:space="preserve"> $1,362,579 </w:t>
      </w:r>
      <w:r>
        <w:rPr>
          <w:rFonts w:asciiTheme="minorHAnsi" w:hAnsiTheme="minorHAnsi"/>
          <w:sz w:val="22"/>
          <w:szCs w:val="22"/>
        </w:rPr>
        <w:t xml:space="preserve">same time last year.  We estimate interest of approximately $55,000. The PLA Budget &amp; Finance Committee will recommend how that interest be used in FY20. </w:t>
      </w:r>
    </w:p>
    <w:p w14:paraId="5230C1E2" w14:textId="77777777" w:rsidR="00EB2CF8" w:rsidRPr="00B561F1" w:rsidRDefault="00EB2CF8" w:rsidP="00EB2CF8">
      <w:pPr>
        <w:pStyle w:val="ListParagraph"/>
        <w:rPr>
          <w:rFonts w:asciiTheme="minorHAnsi" w:hAnsiTheme="minorHAnsi" w:cstheme="minorHAnsi"/>
        </w:rPr>
      </w:pPr>
    </w:p>
    <w:p w14:paraId="338ACE6C" w14:textId="77777777" w:rsidR="00EB2CF8" w:rsidRPr="00B561F1" w:rsidRDefault="00EB2CF8" w:rsidP="00EB2CF8">
      <w:pPr>
        <w:rPr>
          <w:rFonts w:asciiTheme="minorHAnsi" w:hAnsiTheme="minorHAnsi" w:cstheme="minorHAnsi"/>
          <w:u w:val="single"/>
        </w:rPr>
      </w:pPr>
      <w:r w:rsidRPr="00B561F1">
        <w:rPr>
          <w:rFonts w:asciiTheme="minorHAnsi" w:hAnsiTheme="minorHAnsi" w:cstheme="minorHAnsi"/>
          <w:u w:val="single"/>
        </w:rPr>
        <w:t>Overhead</w:t>
      </w:r>
    </w:p>
    <w:p w14:paraId="7D785B10" w14:textId="0D4A6030" w:rsidR="00EB31FE" w:rsidRPr="00B561F1" w:rsidRDefault="00D162C9" w:rsidP="00066FDA">
      <w:pPr>
        <w:pStyle w:val="CommentText"/>
        <w:rPr>
          <w:rFonts w:asciiTheme="minorHAnsi" w:hAnsiTheme="minorHAnsi" w:cstheme="minorHAnsi"/>
          <w:sz w:val="24"/>
          <w:szCs w:val="24"/>
        </w:rPr>
      </w:pPr>
      <w:r w:rsidRPr="00B561F1">
        <w:rPr>
          <w:rFonts w:asciiTheme="minorHAnsi" w:hAnsiTheme="minorHAnsi" w:cstheme="minorHAnsi"/>
          <w:sz w:val="24"/>
          <w:szCs w:val="24"/>
        </w:rPr>
        <w:t>Total o</w:t>
      </w:r>
      <w:r w:rsidR="00ED693C" w:rsidRPr="00B561F1">
        <w:rPr>
          <w:rFonts w:asciiTheme="minorHAnsi" w:hAnsiTheme="minorHAnsi" w:cstheme="minorHAnsi"/>
          <w:sz w:val="24"/>
          <w:szCs w:val="24"/>
        </w:rPr>
        <w:t xml:space="preserve">verhead to ALA </w:t>
      </w:r>
      <w:r w:rsidR="00EB2CF8" w:rsidRPr="00B561F1">
        <w:rPr>
          <w:rFonts w:asciiTheme="minorHAnsi" w:hAnsiTheme="minorHAnsi" w:cstheme="minorHAnsi"/>
          <w:sz w:val="24"/>
          <w:szCs w:val="24"/>
        </w:rPr>
        <w:t>for FY19</w:t>
      </w:r>
      <w:r w:rsidR="00ED693C" w:rsidRPr="00B561F1">
        <w:rPr>
          <w:rFonts w:asciiTheme="minorHAnsi" w:hAnsiTheme="minorHAnsi" w:cstheme="minorHAnsi"/>
          <w:sz w:val="24"/>
          <w:szCs w:val="24"/>
        </w:rPr>
        <w:t xml:space="preserve"> </w:t>
      </w:r>
      <w:r w:rsidR="00277F2D" w:rsidRPr="00B561F1">
        <w:rPr>
          <w:rFonts w:asciiTheme="minorHAnsi" w:hAnsiTheme="minorHAnsi" w:cstheme="minorHAnsi"/>
          <w:sz w:val="24"/>
          <w:szCs w:val="24"/>
        </w:rPr>
        <w:t>was budgeted at</w:t>
      </w:r>
      <w:r w:rsidR="00ED693C" w:rsidRPr="00B561F1">
        <w:rPr>
          <w:rFonts w:asciiTheme="minorHAnsi" w:hAnsiTheme="minorHAnsi" w:cstheme="minorHAnsi"/>
          <w:sz w:val="24"/>
          <w:szCs w:val="24"/>
        </w:rPr>
        <w:t xml:space="preserve"> $</w:t>
      </w:r>
      <w:r w:rsidR="00EB2CF8" w:rsidRPr="00B561F1">
        <w:rPr>
          <w:rFonts w:asciiTheme="minorHAnsi" w:hAnsiTheme="minorHAnsi" w:cstheme="minorHAnsi"/>
          <w:sz w:val="24"/>
          <w:szCs w:val="24"/>
        </w:rPr>
        <w:t>366,</w:t>
      </w:r>
      <w:r w:rsidR="00F2597D">
        <w:rPr>
          <w:rFonts w:asciiTheme="minorHAnsi" w:hAnsiTheme="minorHAnsi" w:cstheme="minorHAnsi"/>
          <w:sz w:val="24"/>
          <w:szCs w:val="24"/>
        </w:rPr>
        <w:t>635</w:t>
      </w:r>
      <w:r w:rsidR="00ED693C" w:rsidRPr="00B561F1">
        <w:rPr>
          <w:rFonts w:asciiTheme="minorHAnsi" w:hAnsiTheme="minorHAnsi" w:cstheme="minorHAnsi"/>
          <w:sz w:val="24"/>
          <w:szCs w:val="24"/>
        </w:rPr>
        <w:t>.</w:t>
      </w:r>
      <w:r w:rsidR="00277F2D" w:rsidRPr="00B561F1">
        <w:rPr>
          <w:rFonts w:asciiTheme="minorHAnsi" w:hAnsiTheme="minorHAnsi" w:cstheme="minorHAnsi"/>
          <w:sz w:val="24"/>
          <w:szCs w:val="24"/>
        </w:rPr>
        <w:t xml:space="preserve"> As of </w:t>
      </w:r>
      <w:r w:rsidR="00EB31FE">
        <w:rPr>
          <w:rFonts w:asciiTheme="minorHAnsi" w:hAnsiTheme="minorHAnsi" w:cstheme="minorHAnsi"/>
          <w:sz w:val="24"/>
          <w:szCs w:val="24"/>
        </w:rPr>
        <w:t>April</w:t>
      </w:r>
      <w:r w:rsidR="00F2597D">
        <w:rPr>
          <w:rFonts w:asciiTheme="minorHAnsi" w:hAnsiTheme="minorHAnsi" w:cstheme="minorHAnsi"/>
          <w:sz w:val="24"/>
          <w:szCs w:val="24"/>
        </w:rPr>
        <w:t xml:space="preserve"> 2019</w:t>
      </w:r>
      <w:r w:rsidR="00277F2D" w:rsidRPr="00B561F1">
        <w:rPr>
          <w:rFonts w:asciiTheme="minorHAnsi" w:hAnsiTheme="minorHAnsi" w:cstheme="minorHAnsi"/>
          <w:sz w:val="24"/>
          <w:szCs w:val="24"/>
        </w:rPr>
        <w:t>, PLA had paid ALA $</w:t>
      </w:r>
      <w:r w:rsidR="00EB31FE">
        <w:rPr>
          <w:rFonts w:asciiTheme="minorHAnsi" w:hAnsiTheme="minorHAnsi" w:cstheme="minorHAnsi"/>
          <w:sz w:val="24"/>
          <w:szCs w:val="24"/>
        </w:rPr>
        <w:t>192,823</w:t>
      </w:r>
      <w:r w:rsidR="00EB2CF8" w:rsidRPr="00B561F1">
        <w:rPr>
          <w:rFonts w:asciiTheme="minorHAnsi" w:hAnsiTheme="minorHAnsi" w:cstheme="minorHAnsi"/>
          <w:sz w:val="24"/>
          <w:szCs w:val="24"/>
        </w:rPr>
        <w:t xml:space="preserve"> versus the bu</w:t>
      </w:r>
      <w:r w:rsidRPr="00B561F1">
        <w:rPr>
          <w:rFonts w:asciiTheme="minorHAnsi" w:hAnsiTheme="minorHAnsi" w:cstheme="minorHAnsi"/>
          <w:sz w:val="24"/>
          <w:szCs w:val="24"/>
        </w:rPr>
        <w:t>dgeted amount of $</w:t>
      </w:r>
      <w:r w:rsidR="00EB31FE">
        <w:rPr>
          <w:rFonts w:asciiTheme="minorHAnsi" w:hAnsiTheme="minorHAnsi" w:cstheme="minorHAnsi"/>
          <w:sz w:val="24"/>
          <w:szCs w:val="24"/>
        </w:rPr>
        <w:t>245,167</w:t>
      </w:r>
      <w:r w:rsidR="00277F2D" w:rsidRPr="00B561F1">
        <w:rPr>
          <w:rFonts w:asciiTheme="minorHAnsi" w:hAnsiTheme="minorHAnsi" w:cstheme="minorHAnsi"/>
          <w:sz w:val="24"/>
          <w:szCs w:val="24"/>
        </w:rPr>
        <w:t>.</w:t>
      </w:r>
      <w:r w:rsidRPr="00B561F1">
        <w:rPr>
          <w:rFonts w:asciiTheme="minorHAnsi" w:hAnsiTheme="minorHAnsi" w:cstheme="minorHAnsi"/>
          <w:sz w:val="24"/>
          <w:szCs w:val="24"/>
        </w:rPr>
        <w:t xml:space="preserve"> </w:t>
      </w:r>
    </w:p>
    <w:sectPr w:rsidR="00EB31FE" w:rsidRPr="00B561F1" w:rsidSect="008B0E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D9A7" w14:textId="77777777" w:rsidR="0028379B" w:rsidRDefault="0028379B" w:rsidP="00D77AFC">
      <w:r>
        <w:separator/>
      </w:r>
    </w:p>
  </w:endnote>
  <w:endnote w:type="continuationSeparator" w:id="0">
    <w:p w14:paraId="6A0CC225" w14:textId="77777777" w:rsidR="0028379B" w:rsidRDefault="0028379B"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3844" w14:textId="68E8FFC5" w:rsidR="00573F34" w:rsidRPr="00573F34" w:rsidRDefault="00573F34" w:rsidP="00573F34">
    <w:pPr>
      <w:rPr>
        <w:rFonts w:asciiTheme="minorHAnsi" w:hAnsiTheme="minorHAnsi" w:cstheme="minorHAnsi"/>
        <w:i/>
        <w:sz w:val="20"/>
        <w:szCs w:val="20"/>
      </w:rPr>
    </w:pPr>
    <w:r w:rsidRPr="00573F34">
      <w:rPr>
        <w:sz w:val="20"/>
        <w:szCs w:val="20"/>
      </w:rPr>
      <w:t xml:space="preserve">* </w:t>
    </w:r>
    <w:r w:rsidRPr="00573F34">
      <w:rPr>
        <w:rFonts w:asciiTheme="minorHAnsi" w:hAnsiTheme="minorHAnsi" w:cstheme="minorHAnsi"/>
        <w:i/>
        <w:sz w:val="20"/>
        <w:szCs w:val="20"/>
      </w:rPr>
      <w:t xml:space="preserve">Data pulled from accounting system </w:t>
    </w:r>
    <w:r w:rsidR="00C44958">
      <w:rPr>
        <w:rFonts w:asciiTheme="minorHAnsi" w:hAnsiTheme="minorHAnsi" w:cstheme="minorHAnsi"/>
        <w:i/>
        <w:sz w:val="20"/>
        <w:szCs w:val="20"/>
      </w:rPr>
      <w:t>May 22</w:t>
    </w:r>
    <w:r w:rsidRPr="00573F34">
      <w:rPr>
        <w:rFonts w:asciiTheme="minorHAnsi" w:hAnsiTheme="minorHAnsi" w:cstheme="minorHAnsi"/>
        <w:i/>
        <w:sz w:val="20"/>
        <w:szCs w:val="20"/>
      </w:rPr>
      <w:t>, 2019</w:t>
    </w:r>
  </w:p>
  <w:p w14:paraId="76F03BC0" w14:textId="7188228C" w:rsidR="00573F34" w:rsidRDefault="0057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AF3A" w14:textId="77777777" w:rsidR="0028379B" w:rsidRDefault="0028379B" w:rsidP="00D77AFC">
      <w:r>
        <w:separator/>
      </w:r>
    </w:p>
  </w:footnote>
  <w:footnote w:type="continuationSeparator" w:id="0">
    <w:p w14:paraId="196D260F" w14:textId="77777777" w:rsidR="0028379B" w:rsidRDefault="0028379B"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59E" w14:textId="77777777" w:rsidR="00066FDA" w:rsidRPr="00B65449" w:rsidRDefault="00066FDA" w:rsidP="00066FDA">
    <w:pPr>
      <w:pStyle w:val="Header"/>
      <w:jc w:val="right"/>
      <w:rPr>
        <w:rFonts w:asciiTheme="minorHAnsi" w:hAnsiTheme="minorHAnsi"/>
        <w:sz w:val="22"/>
        <w:szCs w:val="22"/>
      </w:rPr>
    </w:pPr>
    <w:r w:rsidRPr="00B65449">
      <w:rPr>
        <w:rFonts w:asciiTheme="minorHAnsi" w:hAnsiTheme="minorHAnsi"/>
        <w:sz w:val="22"/>
        <w:szCs w:val="22"/>
      </w:rPr>
      <w:t>PLA Board of Directors</w:t>
    </w:r>
  </w:p>
  <w:p w14:paraId="495EF9EC" w14:textId="7AD8E29F" w:rsidR="00066FDA" w:rsidRPr="00B65449" w:rsidRDefault="000825E8" w:rsidP="00066FDA">
    <w:pPr>
      <w:pStyle w:val="Header"/>
      <w:tabs>
        <w:tab w:val="left" w:pos="5280"/>
      </w:tabs>
      <w:jc w:val="right"/>
      <w:rPr>
        <w:rFonts w:asciiTheme="minorHAnsi" w:hAnsiTheme="minorHAnsi" w:cs="Arial"/>
        <w:sz w:val="22"/>
        <w:szCs w:val="22"/>
      </w:rPr>
    </w:pPr>
    <w:r>
      <w:rPr>
        <w:rFonts w:asciiTheme="minorHAnsi" w:hAnsiTheme="minorHAnsi" w:cs="Arial"/>
        <w:sz w:val="22"/>
        <w:szCs w:val="22"/>
      </w:rPr>
      <w:t>Annual Conference</w:t>
    </w:r>
    <w:r w:rsidR="00066FDA" w:rsidRPr="00B65449">
      <w:rPr>
        <w:rFonts w:asciiTheme="minorHAnsi" w:hAnsiTheme="minorHAnsi" w:cs="Arial"/>
        <w:sz w:val="22"/>
        <w:szCs w:val="22"/>
      </w:rPr>
      <w:t xml:space="preserve"> </w:t>
    </w:r>
    <w:r w:rsidR="00B65449" w:rsidRPr="00B65449">
      <w:rPr>
        <w:rFonts w:asciiTheme="minorHAnsi" w:hAnsiTheme="minorHAnsi" w:cs="Arial"/>
        <w:sz w:val="22"/>
        <w:szCs w:val="22"/>
      </w:rPr>
      <w:t>2019</w:t>
    </w:r>
  </w:p>
  <w:p w14:paraId="5BA69F4F" w14:textId="00475FB1" w:rsidR="00066FDA" w:rsidRPr="00B65449" w:rsidRDefault="00B65449" w:rsidP="00066FDA">
    <w:pPr>
      <w:pStyle w:val="Header"/>
      <w:tabs>
        <w:tab w:val="left" w:pos="5280"/>
      </w:tabs>
      <w:jc w:val="right"/>
      <w:rPr>
        <w:rFonts w:asciiTheme="minorHAnsi" w:hAnsiTheme="minorHAnsi" w:cs="Arial"/>
        <w:sz w:val="22"/>
        <w:szCs w:val="22"/>
      </w:rPr>
    </w:pPr>
    <w:r w:rsidRPr="00B65449">
      <w:rPr>
        <w:rFonts w:asciiTheme="minorHAnsi" w:hAnsiTheme="minorHAnsi" w:cs="Arial"/>
        <w:sz w:val="22"/>
        <w:szCs w:val="22"/>
      </w:rPr>
      <w:t xml:space="preserve">Document no.: </w:t>
    </w:r>
    <w:r w:rsidR="00066FDA" w:rsidRPr="00B65449">
      <w:rPr>
        <w:rFonts w:asciiTheme="minorHAnsi" w:hAnsiTheme="minorHAnsi" w:cs="Arial"/>
        <w:sz w:val="22"/>
        <w:szCs w:val="22"/>
      </w:rPr>
      <w:t>2019.</w:t>
    </w:r>
    <w:r w:rsidR="00F53D26">
      <w:rPr>
        <w:rFonts w:asciiTheme="minorHAnsi" w:hAnsiTheme="minorHAnsi" w:cs="Arial"/>
        <w:sz w:val="22"/>
        <w:szCs w:val="22"/>
      </w:rPr>
      <w:t>9</w:t>
    </w:r>
    <w:r w:rsidR="00927FF6">
      <w:rPr>
        <w:rFonts w:asciiTheme="minorHAnsi" w:hAnsiTheme="minorHAnsi" w:cs="Arial"/>
        <w:sz w:val="22"/>
        <w:szCs w:val="22"/>
      </w:rPr>
      <w:t>1</w:t>
    </w:r>
    <w:r w:rsidR="00AD7BB8">
      <w:rPr>
        <w:rFonts w:asciiTheme="minorHAnsi" w:hAnsiTheme="minorHAnsi" w:cs="Arial"/>
        <w:sz w:val="22"/>
        <w:szCs w:val="22"/>
      </w:rPr>
      <w:t>a</w:t>
    </w:r>
  </w:p>
  <w:p w14:paraId="223A8BF8" w14:textId="77777777" w:rsidR="002E6F20" w:rsidRPr="00066FDA" w:rsidRDefault="002E6F20" w:rsidP="0006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3768C"/>
    <w:rsid w:val="000448C0"/>
    <w:rsid w:val="00052BFE"/>
    <w:rsid w:val="00066FDA"/>
    <w:rsid w:val="000825E8"/>
    <w:rsid w:val="0008346F"/>
    <w:rsid w:val="0009650A"/>
    <w:rsid w:val="000C6E64"/>
    <w:rsid w:val="000D543F"/>
    <w:rsid w:val="00114C41"/>
    <w:rsid w:val="00120674"/>
    <w:rsid w:val="00156E6E"/>
    <w:rsid w:val="0016145B"/>
    <w:rsid w:val="00182C7D"/>
    <w:rsid w:val="00216518"/>
    <w:rsid w:val="002474F3"/>
    <w:rsid w:val="002553AC"/>
    <w:rsid w:val="00256C4C"/>
    <w:rsid w:val="00265906"/>
    <w:rsid w:val="00277F2D"/>
    <w:rsid w:val="0028379B"/>
    <w:rsid w:val="002A46AE"/>
    <w:rsid w:val="002B1B2B"/>
    <w:rsid w:val="002D28C0"/>
    <w:rsid w:val="002D6B21"/>
    <w:rsid w:val="002E6F20"/>
    <w:rsid w:val="00302609"/>
    <w:rsid w:val="003053B6"/>
    <w:rsid w:val="00316C04"/>
    <w:rsid w:val="00346867"/>
    <w:rsid w:val="00356EBF"/>
    <w:rsid w:val="003C3A1D"/>
    <w:rsid w:val="003E5C6C"/>
    <w:rsid w:val="00402835"/>
    <w:rsid w:val="00411519"/>
    <w:rsid w:val="00424D56"/>
    <w:rsid w:val="00425AF1"/>
    <w:rsid w:val="00433AD9"/>
    <w:rsid w:val="00437426"/>
    <w:rsid w:val="00442B24"/>
    <w:rsid w:val="0047062B"/>
    <w:rsid w:val="004B18B2"/>
    <w:rsid w:val="004C3FBF"/>
    <w:rsid w:val="005224FA"/>
    <w:rsid w:val="00534DAE"/>
    <w:rsid w:val="00537A47"/>
    <w:rsid w:val="00546CF8"/>
    <w:rsid w:val="0055215A"/>
    <w:rsid w:val="00573F34"/>
    <w:rsid w:val="00592D90"/>
    <w:rsid w:val="005B6EDE"/>
    <w:rsid w:val="005B7149"/>
    <w:rsid w:val="005E03CE"/>
    <w:rsid w:val="005F5657"/>
    <w:rsid w:val="00626D85"/>
    <w:rsid w:val="00645C46"/>
    <w:rsid w:val="006466F6"/>
    <w:rsid w:val="006A40F8"/>
    <w:rsid w:val="006F67A0"/>
    <w:rsid w:val="0073345D"/>
    <w:rsid w:val="00761259"/>
    <w:rsid w:val="007912E3"/>
    <w:rsid w:val="007D1269"/>
    <w:rsid w:val="007F5DA8"/>
    <w:rsid w:val="008130BC"/>
    <w:rsid w:val="00834DB1"/>
    <w:rsid w:val="008374E4"/>
    <w:rsid w:val="00854B66"/>
    <w:rsid w:val="00867426"/>
    <w:rsid w:val="008B0E11"/>
    <w:rsid w:val="008F3B3E"/>
    <w:rsid w:val="00927FF6"/>
    <w:rsid w:val="009453E5"/>
    <w:rsid w:val="00974C47"/>
    <w:rsid w:val="009846CC"/>
    <w:rsid w:val="009C60E0"/>
    <w:rsid w:val="009E67A2"/>
    <w:rsid w:val="009F1B79"/>
    <w:rsid w:val="009F6322"/>
    <w:rsid w:val="00A11259"/>
    <w:rsid w:val="00A16D21"/>
    <w:rsid w:val="00A35B5A"/>
    <w:rsid w:val="00A67305"/>
    <w:rsid w:val="00A85A67"/>
    <w:rsid w:val="00AA02AB"/>
    <w:rsid w:val="00AD7BB8"/>
    <w:rsid w:val="00AD7E18"/>
    <w:rsid w:val="00AE544A"/>
    <w:rsid w:val="00B1101F"/>
    <w:rsid w:val="00B23696"/>
    <w:rsid w:val="00B33D93"/>
    <w:rsid w:val="00B53E86"/>
    <w:rsid w:val="00B561F1"/>
    <w:rsid w:val="00B65449"/>
    <w:rsid w:val="00B84F45"/>
    <w:rsid w:val="00BA041A"/>
    <w:rsid w:val="00BE0549"/>
    <w:rsid w:val="00C255A8"/>
    <w:rsid w:val="00C27CE6"/>
    <w:rsid w:val="00C31BAC"/>
    <w:rsid w:val="00C34F2C"/>
    <w:rsid w:val="00C3733B"/>
    <w:rsid w:val="00C44958"/>
    <w:rsid w:val="00C5176C"/>
    <w:rsid w:val="00C6486A"/>
    <w:rsid w:val="00C716D7"/>
    <w:rsid w:val="00C74202"/>
    <w:rsid w:val="00C77E2D"/>
    <w:rsid w:val="00C87549"/>
    <w:rsid w:val="00CA080C"/>
    <w:rsid w:val="00CB7EA8"/>
    <w:rsid w:val="00CE1AA7"/>
    <w:rsid w:val="00D0217D"/>
    <w:rsid w:val="00D11622"/>
    <w:rsid w:val="00D1600D"/>
    <w:rsid w:val="00D162C9"/>
    <w:rsid w:val="00D34667"/>
    <w:rsid w:val="00D77AFC"/>
    <w:rsid w:val="00D87AAC"/>
    <w:rsid w:val="00D93C96"/>
    <w:rsid w:val="00DB0302"/>
    <w:rsid w:val="00DD76DD"/>
    <w:rsid w:val="00DE04F6"/>
    <w:rsid w:val="00DE6F47"/>
    <w:rsid w:val="00E11993"/>
    <w:rsid w:val="00E30603"/>
    <w:rsid w:val="00E32773"/>
    <w:rsid w:val="00E40392"/>
    <w:rsid w:val="00E572AC"/>
    <w:rsid w:val="00E71946"/>
    <w:rsid w:val="00E769C9"/>
    <w:rsid w:val="00E805CC"/>
    <w:rsid w:val="00E83C72"/>
    <w:rsid w:val="00E95FF8"/>
    <w:rsid w:val="00EB2CF8"/>
    <w:rsid w:val="00EB31FE"/>
    <w:rsid w:val="00ED693C"/>
    <w:rsid w:val="00EF7E31"/>
    <w:rsid w:val="00F00437"/>
    <w:rsid w:val="00F12736"/>
    <w:rsid w:val="00F209CE"/>
    <w:rsid w:val="00F20B36"/>
    <w:rsid w:val="00F2597D"/>
    <w:rsid w:val="00F42F14"/>
    <w:rsid w:val="00F53D26"/>
    <w:rsid w:val="00F832E5"/>
    <w:rsid w:val="00FA13C8"/>
    <w:rsid w:val="00FB7024"/>
    <w:rsid w:val="00FB7476"/>
    <w:rsid w:val="00FD1E5C"/>
    <w:rsid w:val="00FE3E89"/>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nhideWhenUsed/>
    <w:rsid w:val="00D77AFC"/>
    <w:pPr>
      <w:tabs>
        <w:tab w:val="center" w:pos="4680"/>
        <w:tab w:val="right" w:pos="9360"/>
      </w:tabs>
    </w:pPr>
  </w:style>
  <w:style w:type="character" w:customStyle="1" w:styleId="HeaderChar">
    <w:name w:val="Header Char"/>
    <w:basedOn w:val="DefaultParagraphFont"/>
    <w:link w:val="Header"/>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14</cp:revision>
  <cp:lastPrinted>2018-04-25T19:03:00Z</cp:lastPrinted>
  <dcterms:created xsi:type="dcterms:W3CDTF">2019-03-26T17:46:00Z</dcterms:created>
  <dcterms:modified xsi:type="dcterms:W3CDTF">2019-06-13T17:23:00Z</dcterms:modified>
</cp:coreProperties>
</file>