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F267" w14:textId="77777777" w:rsidR="0064655A" w:rsidRPr="0064655A" w:rsidRDefault="0064655A" w:rsidP="0064655A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14:paraId="5DC235BA" w14:textId="77777777" w:rsidR="0064655A" w:rsidRPr="0064655A" w:rsidRDefault="0064655A" w:rsidP="0064655A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64655A">
        <w:rPr>
          <w:rFonts w:eastAsia="Times New Roman" w:cs="Calibri"/>
          <w:b/>
          <w:bCs/>
          <w:sz w:val="24"/>
          <w:szCs w:val="24"/>
        </w:rPr>
        <w:t>Public Library Association</w:t>
      </w:r>
    </w:p>
    <w:p w14:paraId="7E941861" w14:textId="77777777" w:rsidR="0064655A" w:rsidRPr="0064655A" w:rsidRDefault="0064655A" w:rsidP="0064655A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64655A">
        <w:rPr>
          <w:rFonts w:eastAsia="Times New Roman" w:cs="Calibri"/>
          <w:b/>
          <w:bCs/>
          <w:sz w:val="24"/>
          <w:szCs w:val="24"/>
        </w:rPr>
        <w:t>FY24 Q1 November 2023 Budget Narrative</w:t>
      </w:r>
    </w:p>
    <w:p w14:paraId="16CEF375" w14:textId="77777777" w:rsidR="0064655A" w:rsidRPr="0064655A" w:rsidRDefault="0064655A" w:rsidP="002D3ED8">
      <w:pPr>
        <w:spacing w:after="0" w:line="240" w:lineRule="auto"/>
        <w:rPr>
          <w:rFonts w:eastAsia="Times New Roman" w:cs="Calibri"/>
          <w:bCs/>
          <w:sz w:val="24"/>
          <w:szCs w:val="24"/>
        </w:rPr>
      </w:pPr>
    </w:p>
    <w:p w14:paraId="72F0108A" w14:textId="77777777" w:rsidR="0064655A" w:rsidRDefault="0064655A" w:rsidP="002D3ED8">
      <w:pPr>
        <w:spacing w:after="0" w:line="240" w:lineRule="auto"/>
        <w:rPr>
          <w:rFonts w:eastAsia="Times New Roman" w:cs="Calibri"/>
          <w:bCs/>
          <w:sz w:val="24"/>
          <w:szCs w:val="24"/>
          <w:u w:val="single"/>
        </w:rPr>
      </w:pPr>
    </w:p>
    <w:p w14:paraId="47390D3C" w14:textId="1C5E9112" w:rsidR="002D3ED8" w:rsidRPr="002D3ED8" w:rsidRDefault="002D3ED8" w:rsidP="002D3ED8">
      <w:pPr>
        <w:spacing w:after="0" w:line="240" w:lineRule="auto"/>
        <w:rPr>
          <w:rFonts w:eastAsia="Times New Roman" w:cs="Calibri"/>
          <w:bCs/>
          <w:sz w:val="24"/>
          <w:szCs w:val="24"/>
          <w:u w:val="single"/>
        </w:rPr>
      </w:pPr>
      <w:r w:rsidRPr="002D3ED8">
        <w:rPr>
          <w:rFonts w:eastAsia="Times New Roman" w:cs="Calibri"/>
          <w:bCs/>
          <w:sz w:val="24"/>
          <w:szCs w:val="24"/>
          <w:u w:val="single"/>
        </w:rPr>
        <w:t>FY2</w:t>
      </w:r>
      <w:r w:rsidR="004E0767">
        <w:rPr>
          <w:rFonts w:eastAsia="Times New Roman" w:cs="Calibri"/>
          <w:bCs/>
          <w:sz w:val="24"/>
          <w:szCs w:val="24"/>
          <w:u w:val="single"/>
        </w:rPr>
        <w:t>4</w:t>
      </w:r>
      <w:r w:rsidRPr="002D3ED8">
        <w:rPr>
          <w:rFonts w:eastAsia="Times New Roman" w:cs="Calibri"/>
          <w:bCs/>
          <w:sz w:val="24"/>
          <w:szCs w:val="24"/>
          <w:u w:val="single"/>
        </w:rPr>
        <w:t xml:space="preserve"> Operating Budget as of November 202</w:t>
      </w:r>
      <w:r w:rsidR="004E0767">
        <w:rPr>
          <w:rFonts w:eastAsia="Times New Roman" w:cs="Calibri"/>
          <w:bCs/>
          <w:sz w:val="24"/>
          <w:szCs w:val="24"/>
          <w:u w:val="single"/>
        </w:rPr>
        <w:t>3</w:t>
      </w:r>
    </w:p>
    <w:p w14:paraId="72BD8F33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tbl>
      <w:tblPr>
        <w:tblW w:w="91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796"/>
        <w:gridCol w:w="1922"/>
        <w:gridCol w:w="1710"/>
      </w:tblGrid>
      <w:tr w:rsidR="002D3ED8" w:rsidRPr="002D3ED8" w14:paraId="745BBA44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D2B9554" w14:textId="0786D3BE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</w:t>
            </w:r>
            <w:r w:rsidR="004E0767">
              <w:rPr>
                <w:rFonts w:eastAsia="Times New Roman" w:cs="Calibri"/>
                <w:b/>
                <w:sz w:val="24"/>
                <w:szCs w:val="24"/>
              </w:rPr>
              <w:t>4</w:t>
            </w: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 Operating Budget as of November 202</w:t>
            </w:r>
            <w:r w:rsidR="004E0767">
              <w:rPr>
                <w:rFonts w:eastAsia="Times New Roman" w:cs="Calibri"/>
                <w:b/>
                <w:sz w:val="24"/>
                <w:szCs w:val="24"/>
              </w:rPr>
              <w:t>3</w:t>
            </w:r>
          </w:p>
          <w:p w14:paraId="3C0CB6D2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  <w:p w14:paraId="4ECE6124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96" w:type="dxa"/>
            <w:noWrap/>
            <w:hideMark/>
          </w:tcPr>
          <w:p w14:paraId="5E718D86" w14:textId="495A6640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November 202</w:t>
            </w:r>
            <w:r w:rsidR="004E0767">
              <w:rPr>
                <w:rFonts w:eastAsia="Times New Roman" w:cs="Calibri"/>
                <w:b/>
                <w:sz w:val="24"/>
                <w:szCs w:val="24"/>
              </w:rPr>
              <w:t>3</w:t>
            </w:r>
          </w:p>
          <w:p w14:paraId="454F39A7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Budget</w:t>
            </w:r>
          </w:p>
        </w:tc>
        <w:tc>
          <w:tcPr>
            <w:tcW w:w="1922" w:type="dxa"/>
            <w:noWrap/>
            <w:hideMark/>
          </w:tcPr>
          <w:p w14:paraId="0B638BB2" w14:textId="78420482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November </w:t>
            </w:r>
            <w:r w:rsidR="004E0767">
              <w:rPr>
                <w:rFonts w:eastAsia="Times New Roman" w:cs="Calibri"/>
                <w:b/>
                <w:sz w:val="24"/>
                <w:szCs w:val="24"/>
              </w:rPr>
              <w:t>2023</w:t>
            </w: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 YTD Actual</w:t>
            </w:r>
          </w:p>
        </w:tc>
        <w:tc>
          <w:tcPr>
            <w:tcW w:w="1710" w:type="dxa"/>
            <w:noWrap/>
            <w:hideMark/>
          </w:tcPr>
          <w:p w14:paraId="04F2DED8" w14:textId="6E1A5384" w:rsidR="002D3ED8" w:rsidRPr="002D3ED8" w:rsidRDefault="002D3ED8" w:rsidP="002D3ED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November </w:t>
            </w:r>
            <w:r w:rsidR="004E0767">
              <w:rPr>
                <w:rFonts w:eastAsia="Times New Roman" w:cs="Calibri"/>
                <w:b/>
                <w:sz w:val="24"/>
                <w:szCs w:val="24"/>
              </w:rPr>
              <w:t>2023</w:t>
            </w: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 Variance</w:t>
            </w:r>
          </w:p>
        </w:tc>
      </w:tr>
      <w:tr w:rsidR="002D3ED8" w:rsidRPr="002D3ED8" w14:paraId="1FCBCC3D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E05AC93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Total Revenues</w:t>
            </w:r>
          </w:p>
        </w:tc>
        <w:tc>
          <w:tcPr>
            <w:tcW w:w="1796" w:type="dxa"/>
            <w:noWrap/>
            <w:vAlign w:val="bottom"/>
            <w:hideMark/>
          </w:tcPr>
          <w:p w14:paraId="3ABA7691" w14:textId="5982960F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292,759</w:t>
            </w:r>
          </w:p>
        </w:tc>
        <w:tc>
          <w:tcPr>
            <w:tcW w:w="1922" w:type="dxa"/>
            <w:noWrap/>
            <w:vAlign w:val="bottom"/>
            <w:hideMark/>
          </w:tcPr>
          <w:p w14:paraId="1E63798F" w14:textId="49DF97A6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208,978</w:t>
            </w:r>
          </w:p>
        </w:tc>
        <w:tc>
          <w:tcPr>
            <w:tcW w:w="1710" w:type="dxa"/>
            <w:noWrap/>
            <w:vAlign w:val="bottom"/>
            <w:hideMark/>
          </w:tcPr>
          <w:p w14:paraId="693B3777" w14:textId="02D4F6CB" w:rsidR="002D3ED8" w:rsidRPr="002D3ED8" w:rsidRDefault="00A95DB2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(83,781)</w:t>
            </w:r>
            <w:r w:rsidR="002D3ED8" w:rsidRPr="002D3E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D3ED8" w:rsidRPr="002D3ED8" w14:paraId="7E30CD14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8670B3C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Total Expenses before OH and tax</w:t>
            </w:r>
          </w:p>
        </w:tc>
        <w:tc>
          <w:tcPr>
            <w:tcW w:w="1796" w:type="dxa"/>
            <w:noWrap/>
            <w:vAlign w:val="bottom"/>
            <w:hideMark/>
          </w:tcPr>
          <w:p w14:paraId="5426FD26" w14:textId="4BFB4AF3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372,038</w:t>
            </w: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2" w:type="dxa"/>
            <w:noWrap/>
            <w:vAlign w:val="bottom"/>
            <w:hideMark/>
          </w:tcPr>
          <w:p w14:paraId="76CA7A69" w14:textId="2AAADBB6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386,387</w:t>
            </w: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noWrap/>
            <w:vAlign w:val="bottom"/>
            <w:hideMark/>
          </w:tcPr>
          <w:p w14:paraId="50C705A8" w14:textId="0533DAE8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14,349)</w:t>
            </w:r>
          </w:p>
        </w:tc>
      </w:tr>
      <w:tr w:rsidR="002D3ED8" w:rsidRPr="002D3ED8" w14:paraId="34C09068" w14:textId="77777777" w:rsidTr="00047567">
        <w:trPr>
          <w:trHeight w:val="287"/>
        </w:trPr>
        <w:tc>
          <w:tcPr>
            <w:tcW w:w="3684" w:type="dxa"/>
            <w:noWrap/>
            <w:vAlign w:val="bottom"/>
            <w:hideMark/>
          </w:tcPr>
          <w:p w14:paraId="31386A4F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Overhead and Tax</w:t>
            </w:r>
          </w:p>
        </w:tc>
        <w:tc>
          <w:tcPr>
            <w:tcW w:w="1796" w:type="dxa"/>
            <w:noWrap/>
            <w:vAlign w:val="bottom"/>
            <w:hideMark/>
          </w:tcPr>
          <w:p w14:paraId="5C531DDB" w14:textId="0CA35C00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15,279</w:t>
            </w: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2" w:type="dxa"/>
            <w:noWrap/>
            <w:vAlign w:val="bottom"/>
            <w:hideMark/>
          </w:tcPr>
          <w:p w14:paraId="7BAD4D7F" w14:textId="5E986142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4,381</w:t>
            </w: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noWrap/>
            <w:vAlign w:val="bottom"/>
            <w:hideMark/>
          </w:tcPr>
          <w:p w14:paraId="4282F367" w14:textId="5DDF79CF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10,898</w:t>
            </w:r>
          </w:p>
        </w:tc>
      </w:tr>
      <w:tr w:rsidR="002D3ED8" w:rsidRPr="002D3ED8" w14:paraId="7D3A7FEA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5A70C563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14:paraId="33515E7A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53A23D4B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12165152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3ED8" w:rsidRPr="002D3ED8" w14:paraId="6F701E1F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484A3F00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14:paraId="635FBABD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Budget</w:t>
            </w:r>
          </w:p>
        </w:tc>
        <w:tc>
          <w:tcPr>
            <w:tcW w:w="1922" w:type="dxa"/>
            <w:noWrap/>
            <w:vAlign w:val="bottom"/>
            <w:hideMark/>
          </w:tcPr>
          <w:p w14:paraId="6A8BD965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Actual</w:t>
            </w:r>
          </w:p>
        </w:tc>
        <w:tc>
          <w:tcPr>
            <w:tcW w:w="1710" w:type="dxa"/>
            <w:noWrap/>
            <w:vAlign w:val="bottom"/>
            <w:hideMark/>
          </w:tcPr>
          <w:p w14:paraId="121FF7BF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Variance</w:t>
            </w:r>
          </w:p>
        </w:tc>
      </w:tr>
      <w:tr w:rsidR="002D3ED8" w:rsidRPr="002D3ED8" w14:paraId="3D781D81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3B406CE5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Net Revenue (Expense)</w:t>
            </w:r>
          </w:p>
        </w:tc>
        <w:tc>
          <w:tcPr>
            <w:tcW w:w="1796" w:type="dxa"/>
            <w:noWrap/>
            <w:vAlign w:val="bottom"/>
            <w:hideMark/>
          </w:tcPr>
          <w:p w14:paraId="319E5ABE" w14:textId="4C294134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94,558</w:t>
            </w: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22" w:type="dxa"/>
            <w:noWrap/>
            <w:vAlign w:val="bottom"/>
            <w:hideMark/>
          </w:tcPr>
          <w:p w14:paraId="230C04CA" w14:textId="29CE4D5F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</w:t>
            </w:r>
            <w:r w:rsidR="00A95DB2">
              <w:rPr>
                <w:rFonts w:ascii="Arial" w:eastAsia="Times New Roman" w:hAnsi="Arial" w:cs="Arial"/>
                <w:sz w:val="20"/>
                <w:szCs w:val="20"/>
              </w:rPr>
              <w:t>181,790</w:t>
            </w:r>
            <w:r w:rsidRPr="002D3ED8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710" w:type="dxa"/>
            <w:noWrap/>
            <w:vAlign w:val="bottom"/>
            <w:hideMark/>
          </w:tcPr>
          <w:p w14:paraId="1F208417" w14:textId="0D6C11E1" w:rsidR="002D3ED8" w:rsidRPr="002D3ED8" w:rsidRDefault="00A95DB2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(87,232)</w:t>
            </w:r>
          </w:p>
        </w:tc>
      </w:tr>
      <w:tr w:rsidR="002D3ED8" w:rsidRPr="002D3ED8" w14:paraId="77DD199C" w14:textId="77777777" w:rsidTr="00047567">
        <w:trPr>
          <w:trHeight w:val="458"/>
        </w:trPr>
        <w:tc>
          <w:tcPr>
            <w:tcW w:w="3684" w:type="dxa"/>
            <w:noWrap/>
            <w:vAlign w:val="bottom"/>
            <w:hideMark/>
          </w:tcPr>
          <w:p w14:paraId="4410ABB7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FY23 Beginning Net Asset Balance</w:t>
            </w:r>
          </w:p>
        </w:tc>
        <w:tc>
          <w:tcPr>
            <w:tcW w:w="1796" w:type="dxa"/>
          </w:tcPr>
          <w:p w14:paraId="4E985AC1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45DE7EB2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03AF51AD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2D3ED8" w:rsidRPr="002D3ED8" w14:paraId="229625CD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82C659D" w14:textId="5A21889F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</w:t>
            </w:r>
            <w:r w:rsidR="00A95DB2">
              <w:rPr>
                <w:rFonts w:eastAsia="Times New Roman" w:cs="Calibri"/>
                <w:sz w:val="24"/>
                <w:szCs w:val="24"/>
              </w:rPr>
              <w:t>4,242,909</w:t>
            </w:r>
          </w:p>
        </w:tc>
        <w:tc>
          <w:tcPr>
            <w:tcW w:w="1796" w:type="dxa"/>
          </w:tcPr>
          <w:p w14:paraId="5A432042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5C39774A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23A240A1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</w:tc>
      </w:tr>
    </w:tbl>
    <w:p w14:paraId="7534DD9F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082706CA" w14:textId="50440401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D3ED8">
        <w:rPr>
          <w:rFonts w:eastAsia="Times New Roman" w:cs="Calibri"/>
          <w:sz w:val="24"/>
          <w:szCs w:val="24"/>
        </w:rPr>
        <w:t>In PLA’s two-year budgeting cycle, FY2</w:t>
      </w:r>
      <w:r w:rsidR="00A95DB2">
        <w:rPr>
          <w:rFonts w:eastAsia="Times New Roman" w:cs="Calibri"/>
          <w:sz w:val="24"/>
          <w:szCs w:val="24"/>
        </w:rPr>
        <w:t>4</w:t>
      </w:r>
      <w:r w:rsidRPr="002D3ED8">
        <w:rPr>
          <w:rFonts w:eastAsia="Times New Roman" w:cs="Calibri"/>
          <w:sz w:val="24"/>
          <w:szCs w:val="24"/>
        </w:rPr>
        <w:t xml:space="preserve"> is </w:t>
      </w:r>
      <w:r w:rsidR="00A95DB2">
        <w:rPr>
          <w:rFonts w:eastAsia="Times New Roman" w:cs="Calibri"/>
          <w:sz w:val="24"/>
          <w:szCs w:val="24"/>
        </w:rPr>
        <w:t>year one</w:t>
      </w:r>
      <w:r w:rsidR="00E23709">
        <w:rPr>
          <w:rFonts w:eastAsia="Times New Roman" w:cs="Calibri"/>
          <w:sz w:val="24"/>
          <w:szCs w:val="24"/>
        </w:rPr>
        <w:t xml:space="preserve">, </w:t>
      </w:r>
      <w:r w:rsidRPr="002D3ED8">
        <w:rPr>
          <w:rFonts w:eastAsia="Times New Roman" w:cs="Calibri"/>
          <w:sz w:val="24"/>
          <w:szCs w:val="24"/>
        </w:rPr>
        <w:t>a conference year</w:t>
      </w:r>
      <w:r w:rsidR="00E23709">
        <w:rPr>
          <w:rFonts w:eastAsia="Times New Roman" w:cs="Calibri"/>
          <w:sz w:val="24"/>
          <w:szCs w:val="24"/>
        </w:rPr>
        <w:t>,</w:t>
      </w:r>
      <w:r w:rsidRPr="002D3ED8">
        <w:rPr>
          <w:rFonts w:eastAsia="Times New Roman" w:cs="Calibri"/>
          <w:sz w:val="24"/>
          <w:szCs w:val="24"/>
        </w:rPr>
        <w:t xml:space="preserve"> budgeted </w:t>
      </w:r>
      <w:r w:rsidR="00A95DB2">
        <w:rPr>
          <w:rFonts w:eastAsia="Times New Roman" w:cs="Calibri"/>
          <w:sz w:val="24"/>
          <w:szCs w:val="24"/>
        </w:rPr>
        <w:t>conservatively to net $612,420. Net revenues from year one will cover year two in the cycle</w:t>
      </w:r>
      <w:r w:rsidR="00E23709">
        <w:rPr>
          <w:rFonts w:eastAsia="Times New Roman" w:cs="Calibri"/>
          <w:sz w:val="24"/>
          <w:szCs w:val="24"/>
        </w:rPr>
        <w:t xml:space="preserve"> (</w:t>
      </w:r>
      <w:r w:rsidR="00A95DB2">
        <w:rPr>
          <w:rFonts w:eastAsia="Times New Roman" w:cs="Calibri"/>
          <w:sz w:val="24"/>
          <w:szCs w:val="24"/>
        </w:rPr>
        <w:t>the non-conference year</w:t>
      </w:r>
      <w:r w:rsidR="00E23709">
        <w:rPr>
          <w:rFonts w:eastAsia="Times New Roman" w:cs="Calibri"/>
          <w:sz w:val="24"/>
          <w:szCs w:val="24"/>
        </w:rPr>
        <w:t>)</w:t>
      </w:r>
      <w:r w:rsidR="00A95DB2">
        <w:rPr>
          <w:rFonts w:eastAsia="Times New Roman" w:cs="Calibri"/>
          <w:sz w:val="24"/>
          <w:szCs w:val="24"/>
        </w:rPr>
        <w:t xml:space="preserve">. </w:t>
      </w:r>
      <w:r w:rsidR="00CD3E4A">
        <w:rPr>
          <w:rFonts w:eastAsia="Times New Roman" w:cs="Calibri"/>
          <w:sz w:val="24"/>
          <w:szCs w:val="24"/>
        </w:rPr>
        <w:t>Beginning</w:t>
      </w:r>
      <w:r w:rsidR="00A95DB2">
        <w:rPr>
          <w:rFonts w:eastAsia="Times New Roman" w:cs="Calibri"/>
          <w:sz w:val="24"/>
          <w:szCs w:val="24"/>
        </w:rPr>
        <w:t xml:space="preserve"> FY24</w:t>
      </w:r>
      <w:r w:rsidR="00CD3E4A">
        <w:rPr>
          <w:rFonts w:eastAsia="Times New Roman" w:cs="Calibri"/>
          <w:sz w:val="24"/>
          <w:szCs w:val="24"/>
        </w:rPr>
        <w:t>,</w:t>
      </w:r>
      <w:r w:rsidR="00A95DB2">
        <w:rPr>
          <w:rFonts w:eastAsia="Times New Roman" w:cs="Calibri"/>
          <w:sz w:val="24"/>
          <w:szCs w:val="24"/>
        </w:rPr>
        <w:t xml:space="preserve"> ALA’s new practice of accruing all conference related revenues and expenses to the event month has been implemented.</w:t>
      </w:r>
      <w:r w:rsidR="00CD3E4A">
        <w:rPr>
          <w:rFonts w:eastAsia="Times New Roman" w:cs="Calibri"/>
          <w:sz w:val="24"/>
          <w:szCs w:val="24"/>
        </w:rPr>
        <w:t xml:space="preserve"> Therefore, conference revenues and prepaid expenses will not be reported until FY24Q3.</w:t>
      </w:r>
      <w:r w:rsidR="00A95DB2">
        <w:rPr>
          <w:rFonts w:eastAsia="Times New Roman" w:cs="Calibri"/>
          <w:sz w:val="24"/>
          <w:szCs w:val="24"/>
        </w:rPr>
        <w:t xml:space="preserve"> </w:t>
      </w:r>
    </w:p>
    <w:p w14:paraId="5C3C27C2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1F30724C" w14:textId="7EFE1710" w:rsidR="002D3ED8" w:rsidRPr="000F3929" w:rsidRDefault="002D3ED8" w:rsidP="00C4655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D3ED8">
        <w:rPr>
          <w:rFonts w:eastAsia="Times New Roman" w:cs="Calibri"/>
          <w:sz w:val="24"/>
          <w:szCs w:val="24"/>
          <w:u w:val="single"/>
        </w:rPr>
        <w:t>Operating Budget:</w:t>
      </w:r>
      <w:r w:rsidRPr="002D3ED8">
        <w:rPr>
          <w:rFonts w:eastAsia="Times New Roman" w:cs="Calibri"/>
          <w:sz w:val="24"/>
          <w:szCs w:val="24"/>
        </w:rPr>
        <w:t xml:space="preserve">  As of November </w:t>
      </w:r>
      <w:r w:rsidR="004E0767">
        <w:rPr>
          <w:rFonts w:eastAsia="Times New Roman" w:cs="Calibri"/>
          <w:sz w:val="24"/>
          <w:szCs w:val="24"/>
        </w:rPr>
        <w:t>2023</w:t>
      </w:r>
      <w:r w:rsidRPr="002D3ED8">
        <w:rPr>
          <w:rFonts w:eastAsia="Times New Roman" w:cs="Calibri"/>
          <w:sz w:val="24"/>
          <w:szCs w:val="24"/>
        </w:rPr>
        <w:t>, PLA has actual expenses of $2</w:t>
      </w:r>
      <w:r w:rsidR="00C46554">
        <w:rPr>
          <w:rFonts w:eastAsia="Times New Roman" w:cs="Calibri"/>
          <w:sz w:val="24"/>
          <w:szCs w:val="24"/>
        </w:rPr>
        <w:t>08,978</w:t>
      </w:r>
      <w:r w:rsidRPr="002D3ED8">
        <w:rPr>
          <w:rFonts w:eastAsia="Times New Roman" w:cs="Calibri"/>
          <w:sz w:val="24"/>
          <w:szCs w:val="24"/>
        </w:rPr>
        <w:t xml:space="preserve"> compared to budgeted expenses of $</w:t>
      </w:r>
      <w:r w:rsidR="00C46554">
        <w:rPr>
          <w:rFonts w:eastAsia="Times New Roman" w:cs="Calibri"/>
          <w:sz w:val="24"/>
          <w:szCs w:val="24"/>
        </w:rPr>
        <w:t>292,759</w:t>
      </w:r>
      <w:r w:rsidRPr="002D3ED8">
        <w:rPr>
          <w:rFonts w:eastAsia="Times New Roman" w:cs="Calibri"/>
          <w:sz w:val="24"/>
          <w:szCs w:val="24"/>
        </w:rPr>
        <w:t xml:space="preserve">. This </w:t>
      </w:r>
      <w:r w:rsidR="00C46554">
        <w:rPr>
          <w:rFonts w:eastAsia="Times New Roman" w:cs="Calibri"/>
          <w:sz w:val="24"/>
          <w:szCs w:val="24"/>
        </w:rPr>
        <w:t xml:space="preserve">lag in revenues is largely due to membership revenue, which has not yet experienced the level of upswing consistent with a conference year. During the first quarter of the fiscal year both ad sales and Web CE revenue </w:t>
      </w:r>
      <w:r w:rsidR="00CD3E4A">
        <w:rPr>
          <w:rFonts w:eastAsia="Times New Roman" w:cs="Calibri"/>
          <w:sz w:val="24"/>
          <w:szCs w:val="24"/>
        </w:rPr>
        <w:t>began</w:t>
      </w:r>
      <w:r w:rsidR="00C46554">
        <w:rPr>
          <w:rFonts w:eastAsia="Times New Roman" w:cs="Calibri"/>
          <w:sz w:val="24"/>
          <w:szCs w:val="24"/>
        </w:rPr>
        <w:t xml:space="preserve"> the year with strong </w:t>
      </w:r>
      <w:r w:rsidR="00C46554" w:rsidRPr="000F3929">
        <w:rPr>
          <w:rFonts w:ascii="Calibri" w:eastAsia="Times New Roman" w:hAnsi="Calibri" w:cs="Calibri"/>
          <w:sz w:val="24"/>
          <w:szCs w:val="24"/>
        </w:rPr>
        <w:t xml:space="preserve">performance. </w:t>
      </w:r>
    </w:p>
    <w:p w14:paraId="209DA055" w14:textId="56A4B46C" w:rsidR="002D3ED8" w:rsidRPr="000F3929" w:rsidRDefault="002D3ED8" w:rsidP="00C46554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0F3929">
        <w:rPr>
          <w:rFonts w:ascii="Calibri" w:hAnsi="Calibri" w:cs="Calibri"/>
        </w:rPr>
        <w:t xml:space="preserve">Spending on administrative costs (staff, board management) is slightly </w:t>
      </w:r>
      <w:r w:rsidR="00431605" w:rsidRPr="000F3929">
        <w:rPr>
          <w:rFonts w:ascii="Calibri" w:hAnsi="Calibri" w:cs="Calibri"/>
        </w:rPr>
        <w:t xml:space="preserve">ahead of budget </w:t>
      </w:r>
      <w:r w:rsidRPr="000F3929">
        <w:rPr>
          <w:rFonts w:ascii="Calibri" w:hAnsi="Calibri" w:cs="Calibri"/>
        </w:rPr>
        <w:t xml:space="preserve"> (</w:t>
      </w:r>
      <w:r w:rsidR="00431605" w:rsidRPr="000F3929">
        <w:rPr>
          <w:rFonts w:ascii="Calibri" w:hAnsi="Calibri" w:cs="Calibri"/>
        </w:rPr>
        <w:t>11</w:t>
      </w:r>
      <w:r w:rsidRPr="000F3929">
        <w:rPr>
          <w:rFonts w:ascii="Calibri" w:hAnsi="Calibri" w:cs="Calibri"/>
        </w:rPr>
        <w:t>% variance), due to</w:t>
      </w:r>
      <w:r w:rsidR="00431605" w:rsidRPr="000F3929">
        <w:rPr>
          <w:rFonts w:ascii="Calibri" w:hAnsi="Calibri" w:cs="Calibri"/>
        </w:rPr>
        <w:t xml:space="preserve"> timing for travel expenses</w:t>
      </w:r>
      <w:r w:rsidRPr="000F3929">
        <w:rPr>
          <w:rFonts w:ascii="Calibri" w:hAnsi="Calibri" w:cs="Calibri"/>
        </w:rPr>
        <w:t>.</w:t>
      </w:r>
    </w:p>
    <w:p w14:paraId="5DC5C7F7" w14:textId="1535C0E3" w:rsidR="00CD3E4A" w:rsidRPr="000F3929" w:rsidRDefault="00D101A0" w:rsidP="00C46554">
      <w:pPr>
        <w:pStyle w:val="ListParagraph"/>
        <w:numPr>
          <w:ilvl w:val="0"/>
          <w:numId w:val="5"/>
        </w:numPr>
        <w:rPr>
          <w:rFonts w:ascii="Calibri" w:hAnsi="Calibri" w:cs="Calibri"/>
          <w:u w:val="single"/>
        </w:rPr>
      </w:pPr>
      <w:r w:rsidRPr="000F3929">
        <w:rPr>
          <w:rFonts w:ascii="Calibri" w:hAnsi="Calibri" w:cs="Calibri"/>
        </w:rPr>
        <w:t xml:space="preserve">Membership dues are </w:t>
      </w:r>
      <w:r w:rsidR="00CD3E4A" w:rsidRPr="000F3929">
        <w:rPr>
          <w:rFonts w:ascii="Calibri" w:hAnsi="Calibri" w:cs="Calibri"/>
        </w:rPr>
        <w:t xml:space="preserve">underbudget by 18%, with </w:t>
      </w:r>
      <w:r w:rsidRPr="000F3929">
        <w:rPr>
          <w:rFonts w:ascii="Calibri" w:hAnsi="Calibri" w:cs="Calibri"/>
        </w:rPr>
        <w:t>$130,487 in revenue against a budgeted $155,270 in Q1. This is due to renewals timing. As conference registration opens, revenues are expected to catch up to budget. Expenses are overbudget by $3,724 due to unanticipated staff travel in Q1</w:t>
      </w:r>
      <w:r w:rsidR="009B5D9C" w:rsidRPr="000F3929">
        <w:rPr>
          <w:rFonts w:ascii="Calibri" w:hAnsi="Calibri" w:cs="Calibri"/>
        </w:rPr>
        <w:t xml:space="preserve">. </w:t>
      </w:r>
    </w:p>
    <w:p w14:paraId="528A9595" w14:textId="265439A4" w:rsidR="002D3ED8" w:rsidRPr="000F3929" w:rsidRDefault="002D3ED8" w:rsidP="00927CAC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  <w:u w:val="single"/>
        </w:rPr>
      </w:pPr>
      <w:r w:rsidRPr="000F3929">
        <w:rPr>
          <w:rFonts w:ascii="Calibri" w:eastAsia="Times New Roman" w:hAnsi="Calibri" w:cs="Calibri"/>
          <w:sz w:val="24"/>
          <w:szCs w:val="24"/>
        </w:rPr>
        <w:t>PLA Web CE continues to perform well, bringing in $</w:t>
      </w:r>
      <w:r w:rsidR="00D101A0" w:rsidRPr="000F3929">
        <w:rPr>
          <w:rFonts w:ascii="Calibri" w:eastAsia="Times New Roman" w:hAnsi="Calibri" w:cs="Calibri"/>
          <w:sz w:val="24"/>
          <w:szCs w:val="24"/>
        </w:rPr>
        <w:t>19K and exceeding the budgeted $14K by 40%</w:t>
      </w:r>
      <w:bookmarkStart w:id="0" w:name="_Hlk100524613"/>
      <w:r w:rsidR="00D101A0" w:rsidRPr="000F3929">
        <w:rPr>
          <w:rFonts w:ascii="Calibri" w:eastAsia="Times New Roman" w:hAnsi="Calibri" w:cs="Calibri"/>
          <w:sz w:val="24"/>
          <w:szCs w:val="24"/>
        </w:rPr>
        <w:t>.</w:t>
      </w:r>
      <w:r w:rsidRPr="000F392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9995C88" w14:textId="03E4C095" w:rsidR="002D3ED8" w:rsidRPr="002D3ED8" w:rsidRDefault="00D101A0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u w:val="single"/>
        </w:rPr>
      </w:pPr>
      <w:r w:rsidRPr="000F3929">
        <w:rPr>
          <w:rFonts w:ascii="Calibri" w:eastAsia="Times New Roman" w:hAnsi="Calibri" w:cs="Calibri"/>
          <w:sz w:val="24"/>
          <w:szCs w:val="24"/>
        </w:rPr>
        <w:t xml:space="preserve">Ad sales for </w:t>
      </w:r>
      <w:r w:rsidR="002D3ED8" w:rsidRPr="000F3929">
        <w:rPr>
          <w:rFonts w:ascii="Calibri" w:eastAsia="Times New Roman" w:hAnsi="Calibri" w:cs="Calibri"/>
          <w:i/>
          <w:iCs/>
          <w:sz w:val="24"/>
          <w:szCs w:val="24"/>
        </w:rPr>
        <w:t xml:space="preserve">Public Libraries </w:t>
      </w:r>
      <w:r w:rsidR="002D3ED8" w:rsidRPr="000F3929">
        <w:rPr>
          <w:rFonts w:ascii="Calibri" w:eastAsia="Times New Roman" w:hAnsi="Calibri" w:cs="Calibri"/>
          <w:sz w:val="24"/>
          <w:szCs w:val="24"/>
        </w:rPr>
        <w:t>magazine</w:t>
      </w:r>
      <w:r>
        <w:rPr>
          <w:rFonts w:eastAsia="Times New Roman" w:cs="Calibri"/>
          <w:sz w:val="24"/>
          <w:szCs w:val="24"/>
        </w:rPr>
        <w:t xml:space="preserve"> and related communications assets </w:t>
      </w:r>
      <w:r w:rsidR="00BD5379">
        <w:rPr>
          <w:rFonts w:eastAsia="Times New Roman" w:cs="Calibri"/>
          <w:sz w:val="24"/>
          <w:szCs w:val="24"/>
        </w:rPr>
        <w:t>performed 80% ahead of budget and subscriptions experienced a 16% rise in Q1 – bringing in $40K in revenue against a Q1 budgeted $21,775. Due to publication expense timing, expenses are significantly lower than budgeted (52</w:t>
      </w:r>
      <w:r w:rsidR="00390825">
        <w:rPr>
          <w:rFonts w:eastAsia="Times New Roman" w:cs="Calibri"/>
          <w:sz w:val="24"/>
          <w:szCs w:val="24"/>
        </w:rPr>
        <w:t>%</w:t>
      </w:r>
      <w:r w:rsidR="009B5D9C">
        <w:rPr>
          <w:rFonts w:eastAsia="Times New Roman" w:cs="Calibri"/>
          <w:sz w:val="24"/>
          <w:szCs w:val="24"/>
        </w:rPr>
        <w:t>) but</w:t>
      </w:r>
      <w:r w:rsidR="00BD5379">
        <w:rPr>
          <w:rFonts w:eastAsia="Times New Roman" w:cs="Calibri"/>
          <w:sz w:val="24"/>
          <w:szCs w:val="24"/>
        </w:rPr>
        <w:t xml:space="preserve"> expected to catch up later in the year. </w:t>
      </w:r>
    </w:p>
    <w:bookmarkEnd w:id="0"/>
    <w:p w14:paraId="33AE08BB" w14:textId="77777777" w:rsidR="00BD5379" w:rsidRPr="00BD5379" w:rsidRDefault="00BD5379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u w:val="single"/>
        </w:rPr>
      </w:pPr>
      <w:r>
        <w:rPr>
          <w:rFonts w:eastAsia="Times New Roman" w:cs="Calibri"/>
          <w:sz w:val="24"/>
          <w:szCs w:val="24"/>
        </w:rPr>
        <w:lastRenderedPageBreak/>
        <w:t xml:space="preserve">Subscriptions to PLA’s Benchmark data platform are lagging significantly behind budget with only $4,348 in revenue against a budgeted $21,485. Some of this can be attributed to subscription renewal timing. Expenses for the Benchmark data platform appear in the Gates Legacy Budget. </w:t>
      </w:r>
    </w:p>
    <w:p w14:paraId="1222832C" w14:textId="067E983A" w:rsidR="00BD5379" w:rsidRPr="00BD5379" w:rsidRDefault="00BD5379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u w:val="single"/>
        </w:rPr>
      </w:pPr>
      <w:r>
        <w:rPr>
          <w:rFonts w:eastAsia="Times New Roman" w:cs="Calibri"/>
          <w:sz w:val="24"/>
          <w:szCs w:val="24"/>
        </w:rPr>
        <w:t xml:space="preserve">Conference revenue will be recognized in Q3, while </w:t>
      </w:r>
      <w:r w:rsidR="00AB4EA8">
        <w:rPr>
          <w:rFonts w:eastAsia="Times New Roman" w:cs="Calibri"/>
          <w:sz w:val="24"/>
          <w:szCs w:val="24"/>
        </w:rPr>
        <w:t xml:space="preserve">the $122,772 in Conference </w:t>
      </w:r>
      <w:r>
        <w:rPr>
          <w:rFonts w:eastAsia="Times New Roman" w:cs="Calibri"/>
          <w:sz w:val="24"/>
          <w:szCs w:val="24"/>
        </w:rPr>
        <w:t xml:space="preserve">expenses appearing in </w:t>
      </w:r>
      <w:r w:rsidR="00AB4EA8">
        <w:rPr>
          <w:rFonts w:eastAsia="Times New Roman" w:cs="Calibri"/>
          <w:sz w:val="24"/>
          <w:szCs w:val="24"/>
        </w:rPr>
        <w:t xml:space="preserve">Q1 reflect bank fees and personnel costs. Other prepaid expenses are deferred to April 2024, the month of the conference. </w:t>
      </w:r>
    </w:p>
    <w:p w14:paraId="695183CD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p w14:paraId="773A3B4B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2D3ED8">
        <w:rPr>
          <w:rFonts w:eastAsia="Times New Roman" w:cs="Calibri"/>
          <w:sz w:val="24"/>
          <w:szCs w:val="24"/>
          <w:u w:val="single"/>
        </w:rPr>
        <w:t>Long Term Investments</w:t>
      </w:r>
    </w:p>
    <w:p w14:paraId="100194B3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171"/>
        <w:gridCol w:w="4919"/>
      </w:tblGrid>
      <w:tr w:rsidR="002D3ED8" w:rsidRPr="002D3ED8" w14:paraId="42C5F55A" w14:textId="77777777" w:rsidTr="00047567">
        <w:trPr>
          <w:trHeight w:val="440"/>
        </w:trPr>
        <w:tc>
          <w:tcPr>
            <w:tcW w:w="4171" w:type="dxa"/>
            <w:vAlign w:val="bottom"/>
          </w:tcPr>
          <w:p w14:paraId="27B25299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 xml:space="preserve">LONG TERM INVESTMENT </w:t>
            </w:r>
          </w:p>
        </w:tc>
        <w:tc>
          <w:tcPr>
            <w:tcW w:w="4919" w:type="dxa"/>
            <w:vAlign w:val="bottom"/>
          </w:tcPr>
          <w:p w14:paraId="7F177A90" w14:textId="17C9881C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FY2</w:t>
            </w:r>
            <w:r w:rsidR="00AB4EA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2D3ED8">
              <w:rPr>
                <w:rFonts w:cs="Calibri"/>
                <w:b/>
                <w:bCs/>
                <w:sz w:val="24"/>
                <w:szCs w:val="24"/>
              </w:rPr>
              <w:t xml:space="preserve"> Q1 Actual (November </w:t>
            </w:r>
            <w:r w:rsidR="004E0767">
              <w:rPr>
                <w:rFonts w:cs="Calibri"/>
                <w:b/>
                <w:bCs/>
                <w:sz w:val="24"/>
                <w:szCs w:val="24"/>
              </w:rPr>
              <w:t>2023</w:t>
            </w:r>
            <w:r w:rsidRPr="002D3ED8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D3ED8" w:rsidRPr="002D3ED8" w14:paraId="6A3A4E37" w14:textId="77777777" w:rsidTr="00047567">
        <w:trPr>
          <w:trHeight w:val="413"/>
        </w:trPr>
        <w:tc>
          <w:tcPr>
            <w:tcW w:w="4171" w:type="dxa"/>
            <w:vAlign w:val="bottom"/>
          </w:tcPr>
          <w:p w14:paraId="3F624E18" w14:textId="2DFD9EF3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 xml:space="preserve">Beginning Balance </w:t>
            </w:r>
            <w:r w:rsidR="00AB4EA8" w:rsidRPr="002D3ED8">
              <w:rPr>
                <w:rFonts w:cs="Calibri"/>
                <w:b/>
                <w:bCs/>
                <w:sz w:val="24"/>
                <w:szCs w:val="24"/>
              </w:rPr>
              <w:t>FY2</w:t>
            </w:r>
            <w:r w:rsidR="00AB4EA8">
              <w:rPr>
                <w:rFonts w:cs="Calibri"/>
                <w:b/>
                <w:bCs/>
                <w:sz w:val="24"/>
                <w:szCs w:val="24"/>
              </w:rPr>
              <w:t>4Q1</w:t>
            </w:r>
          </w:p>
        </w:tc>
        <w:tc>
          <w:tcPr>
            <w:tcW w:w="4919" w:type="dxa"/>
            <w:vAlign w:val="bottom"/>
          </w:tcPr>
          <w:p w14:paraId="395AC4BD" w14:textId="12F028DA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$1,</w:t>
            </w:r>
            <w:r w:rsidR="00AB4EA8">
              <w:rPr>
                <w:rFonts w:cs="Calibri"/>
                <w:sz w:val="24"/>
                <w:szCs w:val="24"/>
              </w:rPr>
              <w:t>925,282</w:t>
            </w:r>
          </w:p>
        </w:tc>
      </w:tr>
      <w:tr w:rsidR="002D3ED8" w:rsidRPr="002D3ED8" w14:paraId="6978AC9F" w14:textId="77777777" w:rsidTr="00047567">
        <w:trPr>
          <w:trHeight w:val="431"/>
        </w:trPr>
        <w:tc>
          <w:tcPr>
            <w:tcW w:w="4171" w:type="dxa"/>
            <w:vAlign w:val="bottom"/>
          </w:tcPr>
          <w:p w14:paraId="59D77FBA" w14:textId="45D70AD5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Interest/Dividends</w:t>
            </w:r>
            <w:r w:rsidR="00AB4EA8" w:rsidRPr="002D3ED8">
              <w:rPr>
                <w:rFonts w:cs="Calibri"/>
                <w:b/>
                <w:bCs/>
                <w:sz w:val="24"/>
                <w:szCs w:val="24"/>
              </w:rPr>
              <w:t xml:space="preserve"> FY2</w:t>
            </w:r>
            <w:r w:rsidR="00AB4EA8">
              <w:rPr>
                <w:rFonts w:cs="Calibri"/>
                <w:b/>
                <w:bCs/>
                <w:sz w:val="24"/>
                <w:szCs w:val="24"/>
              </w:rPr>
              <w:t>4Q1</w:t>
            </w:r>
          </w:p>
        </w:tc>
        <w:tc>
          <w:tcPr>
            <w:tcW w:w="4919" w:type="dxa"/>
            <w:vAlign w:val="bottom"/>
          </w:tcPr>
          <w:p w14:paraId="3B4BE40D" w14:textId="4D2AAF38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</w:t>
            </w:r>
            <w:r w:rsidR="00AB4EA8">
              <w:rPr>
                <w:rFonts w:cs="Calibri"/>
                <w:sz w:val="24"/>
                <w:szCs w:val="24"/>
              </w:rPr>
              <w:t>28,350</w:t>
            </w:r>
          </w:p>
        </w:tc>
      </w:tr>
      <w:tr w:rsidR="002D3ED8" w:rsidRPr="002D3ED8" w14:paraId="4CA74F0F" w14:textId="77777777" w:rsidTr="00047567">
        <w:trPr>
          <w:trHeight w:val="440"/>
        </w:trPr>
        <w:tc>
          <w:tcPr>
            <w:tcW w:w="4171" w:type="dxa"/>
            <w:vAlign w:val="bottom"/>
          </w:tcPr>
          <w:p w14:paraId="55835129" w14:textId="1B7331C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 xml:space="preserve">Direct Expenses </w:t>
            </w:r>
            <w:r w:rsidR="00AB4EA8" w:rsidRPr="002D3ED8">
              <w:rPr>
                <w:rFonts w:cs="Calibri"/>
                <w:b/>
                <w:bCs/>
                <w:sz w:val="24"/>
                <w:szCs w:val="24"/>
              </w:rPr>
              <w:t>FY2</w:t>
            </w:r>
            <w:r w:rsidR="00AB4EA8">
              <w:rPr>
                <w:rFonts w:cs="Calibri"/>
                <w:b/>
                <w:bCs/>
                <w:sz w:val="24"/>
                <w:szCs w:val="24"/>
              </w:rPr>
              <w:t>4Q1</w:t>
            </w:r>
          </w:p>
        </w:tc>
        <w:tc>
          <w:tcPr>
            <w:tcW w:w="4919" w:type="dxa"/>
            <w:vAlign w:val="bottom"/>
          </w:tcPr>
          <w:p w14:paraId="29CD8656" w14:textId="1C443483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($2,</w:t>
            </w:r>
            <w:r w:rsidR="00AB4EA8">
              <w:rPr>
                <w:rFonts w:cs="Calibri"/>
                <w:sz w:val="24"/>
                <w:szCs w:val="24"/>
              </w:rPr>
              <w:t>996</w:t>
            </w:r>
            <w:r w:rsidRPr="002D3ED8">
              <w:rPr>
                <w:rFonts w:cs="Calibri"/>
                <w:sz w:val="24"/>
                <w:szCs w:val="24"/>
              </w:rPr>
              <w:t>)</w:t>
            </w:r>
          </w:p>
        </w:tc>
      </w:tr>
      <w:tr w:rsidR="002D3ED8" w:rsidRPr="002D3ED8" w14:paraId="0DEC8F2E" w14:textId="77777777" w:rsidTr="00047567">
        <w:trPr>
          <w:trHeight w:val="440"/>
        </w:trPr>
        <w:tc>
          <w:tcPr>
            <w:tcW w:w="4171" w:type="dxa"/>
            <w:vAlign w:val="bottom"/>
          </w:tcPr>
          <w:p w14:paraId="4990C6AB" w14:textId="32DB6901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 xml:space="preserve">Expenses </w:t>
            </w:r>
            <w:r w:rsidR="00AB4EA8" w:rsidRPr="002D3ED8">
              <w:rPr>
                <w:rFonts w:cs="Calibri"/>
                <w:b/>
                <w:bCs/>
                <w:sz w:val="24"/>
                <w:szCs w:val="24"/>
              </w:rPr>
              <w:t>FY2</w:t>
            </w:r>
            <w:r w:rsidR="00AB4EA8">
              <w:rPr>
                <w:rFonts w:cs="Calibri"/>
                <w:b/>
                <w:bCs/>
                <w:sz w:val="24"/>
                <w:szCs w:val="24"/>
              </w:rPr>
              <w:t>4Q1</w:t>
            </w:r>
          </w:p>
        </w:tc>
        <w:tc>
          <w:tcPr>
            <w:tcW w:w="4919" w:type="dxa"/>
            <w:vAlign w:val="bottom"/>
          </w:tcPr>
          <w:p w14:paraId="52226E41" w14:textId="77777777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$0</w:t>
            </w:r>
          </w:p>
        </w:tc>
      </w:tr>
      <w:tr w:rsidR="002D3ED8" w:rsidRPr="002D3ED8" w14:paraId="3CC5D388" w14:textId="77777777" w:rsidTr="00047567">
        <w:trPr>
          <w:trHeight w:val="440"/>
        </w:trPr>
        <w:tc>
          <w:tcPr>
            <w:tcW w:w="4171" w:type="dxa"/>
            <w:vAlign w:val="bottom"/>
          </w:tcPr>
          <w:p w14:paraId="473D89D6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Realized Gaines</w:t>
            </w:r>
          </w:p>
        </w:tc>
        <w:tc>
          <w:tcPr>
            <w:tcW w:w="4919" w:type="dxa"/>
            <w:vAlign w:val="bottom"/>
          </w:tcPr>
          <w:p w14:paraId="1EDDC471" w14:textId="6A0CB18D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$2,</w:t>
            </w:r>
            <w:r w:rsidR="00AB4EA8">
              <w:rPr>
                <w:rFonts w:cs="Calibri"/>
                <w:sz w:val="24"/>
                <w:szCs w:val="24"/>
              </w:rPr>
              <w:t>089</w:t>
            </w:r>
          </w:p>
        </w:tc>
      </w:tr>
      <w:tr w:rsidR="002D3ED8" w:rsidRPr="002D3ED8" w14:paraId="36FC5C21" w14:textId="77777777" w:rsidTr="00047567">
        <w:trPr>
          <w:trHeight w:val="440"/>
        </w:trPr>
        <w:tc>
          <w:tcPr>
            <w:tcW w:w="4171" w:type="dxa"/>
            <w:vAlign w:val="bottom"/>
          </w:tcPr>
          <w:p w14:paraId="0C50CFE4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Unrealized Gaines</w:t>
            </w:r>
          </w:p>
        </w:tc>
        <w:tc>
          <w:tcPr>
            <w:tcW w:w="4919" w:type="dxa"/>
            <w:vAlign w:val="bottom"/>
          </w:tcPr>
          <w:p w14:paraId="13441C3F" w14:textId="6418054E" w:rsidR="002D3ED8" w:rsidRPr="002D3ED8" w:rsidRDefault="00AB4EA8" w:rsidP="002D3ED8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($67,842)</w:t>
            </w:r>
          </w:p>
        </w:tc>
      </w:tr>
      <w:tr w:rsidR="002D3ED8" w:rsidRPr="002D3ED8" w14:paraId="2657A541" w14:textId="77777777" w:rsidTr="00047567">
        <w:trPr>
          <w:trHeight w:val="404"/>
        </w:trPr>
        <w:tc>
          <w:tcPr>
            <w:tcW w:w="4171" w:type="dxa"/>
            <w:vAlign w:val="bottom"/>
          </w:tcPr>
          <w:p w14:paraId="0A671D28" w14:textId="5BD0661E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Ending Net Assets FY2</w:t>
            </w:r>
            <w:r w:rsidR="00AB4EA8">
              <w:rPr>
                <w:rFonts w:cs="Calibri"/>
                <w:b/>
                <w:bCs/>
                <w:sz w:val="24"/>
                <w:szCs w:val="24"/>
              </w:rPr>
              <w:t>4Q1</w:t>
            </w:r>
          </w:p>
        </w:tc>
        <w:tc>
          <w:tcPr>
            <w:tcW w:w="4919" w:type="dxa"/>
            <w:vAlign w:val="bottom"/>
          </w:tcPr>
          <w:p w14:paraId="30D63FBB" w14:textId="69B4F433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$1</w:t>
            </w:r>
            <w:r w:rsidR="00AB4EA8">
              <w:rPr>
                <w:rFonts w:cs="Calibri"/>
                <w:sz w:val="24"/>
                <w:szCs w:val="24"/>
              </w:rPr>
              <w:t>,884,913</w:t>
            </w:r>
          </w:p>
        </w:tc>
      </w:tr>
    </w:tbl>
    <w:p w14:paraId="0B6B6A8F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p w14:paraId="63CD4993" w14:textId="77777777" w:rsidR="002D3ED8" w:rsidRPr="002D3ED8" w:rsidRDefault="002D3ED8" w:rsidP="002D3ED8">
      <w:pPr>
        <w:spacing w:after="0" w:line="240" w:lineRule="auto"/>
        <w:ind w:left="360"/>
        <w:rPr>
          <w:rFonts w:eastAsia="Times New Roman" w:cs="Calibri"/>
          <w:sz w:val="24"/>
          <w:szCs w:val="24"/>
          <w:u w:val="single"/>
        </w:rPr>
      </w:pPr>
    </w:p>
    <w:p w14:paraId="558C84F6" w14:textId="51EE41FE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D3ED8">
        <w:rPr>
          <w:rFonts w:eastAsia="Times New Roman" w:cs="Calibri"/>
          <w:sz w:val="24"/>
          <w:szCs w:val="24"/>
          <w:u w:val="single"/>
        </w:rPr>
        <w:t>Grant Budgets</w:t>
      </w:r>
    </w:p>
    <w:p w14:paraId="0AD5B52D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91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890"/>
        <w:gridCol w:w="1828"/>
        <w:gridCol w:w="1710"/>
      </w:tblGrid>
      <w:tr w:rsidR="002D3ED8" w:rsidRPr="002D3ED8" w14:paraId="1F908BF2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439430BA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GRANT FUNDS (47&amp;48)</w:t>
            </w:r>
          </w:p>
          <w:p w14:paraId="271E1DF2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  <w:p w14:paraId="496FA69A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noWrap/>
            <w:hideMark/>
          </w:tcPr>
          <w:p w14:paraId="5B574C0B" w14:textId="49D06B4C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</w:t>
            </w:r>
            <w:r w:rsidR="00932FFF">
              <w:rPr>
                <w:rFonts w:eastAsia="Times New Roman" w:cs="Calibri"/>
                <w:b/>
                <w:sz w:val="24"/>
                <w:szCs w:val="24"/>
              </w:rPr>
              <w:t>4</w:t>
            </w: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 Q1 </w:t>
            </w:r>
          </w:p>
          <w:p w14:paraId="3F0D23A1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1828" w:type="dxa"/>
            <w:noWrap/>
            <w:hideMark/>
          </w:tcPr>
          <w:p w14:paraId="761CA4F6" w14:textId="37C7D4FB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</w:t>
            </w:r>
            <w:r w:rsidR="00932FFF">
              <w:rPr>
                <w:rFonts w:eastAsia="Times New Roman" w:cs="Calibri"/>
                <w:b/>
                <w:sz w:val="24"/>
                <w:szCs w:val="24"/>
              </w:rPr>
              <w:t>4</w:t>
            </w: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 Q1 YTD Actual</w:t>
            </w:r>
          </w:p>
        </w:tc>
        <w:tc>
          <w:tcPr>
            <w:tcW w:w="1710" w:type="dxa"/>
            <w:noWrap/>
            <w:hideMark/>
          </w:tcPr>
          <w:p w14:paraId="43F16A87" w14:textId="77B5FB06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</w:t>
            </w:r>
            <w:r w:rsidR="00932FFF">
              <w:rPr>
                <w:rFonts w:eastAsia="Times New Roman" w:cs="Calibri"/>
                <w:b/>
                <w:sz w:val="24"/>
                <w:szCs w:val="24"/>
              </w:rPr>
              <w:t>4</w:t>
            </w: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 Q1 Variance</w:t>
            </w:r>
          </w:p>
        </w:tc>
      </w:tr>
      <w:tr w:rsidR="002D3ED8" w:rsidRPr="002D3ED8" w14:paraId="6A5533B4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075580A9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Total Revenues</w:t>
            </w:r>
          </w:p>
        </w:tc>
        <w:tc>
          <w:tcPr>
            <w:tcW w:w="1890" w:type="dxa"/>
            <w:noWrap/>
            <w:vAlign w:val="bottom"/>
            <w:hideMark/>
          </w:tcPr>
          <w:p w14:paraId="76357A48" w14:textId="1BB5C66B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</w:t>
            </w:r>
            <w:r w:rsidR="00932FFF">
              <w:rPr>
                <w:rFonts w:eastAsia="Times New Roman" w:cs="Calibri"/>
                <w:sz w:val="24"/>
                <w:szCs w:val="24"/>
              </w:rPr>
              <w:t>337,212</w:t>
            </w:r>
          </w:p>
        </w:tc>
        <w:tc>
          <w:tcPr>
            <w:tcW w:w="1828" w:type="dxa"/>
            <w:noWrap/>
            <w:vAlign w:val="bottom"/>
            <w:hideMark/>
          </w:tcPr>
          <w:p w14:paraId="7CA10068" w14:textId="214B774F" w:rsidR="002D3ED8" w:rsidRPr="002D3ED8" w:rsidRDefault="00932FFF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35,638</w:t>
            </w:r>
          </w:p>
        </w:tc>
        <w:tc>
          <w:tcPr>
            <w:tcW w:w="1710" w:type="dxa"/>
            <w:noWrap/>
            <w:vAlign w:val="bottom"/>
            <w:hideMark/>
          </w:tcPr>
          <w:p w14:paraId="4799977B" w14:textId="18C86989" w:rsidR="002D3ED8" w:rsidRPr="002D3ED8" w:rsidRDefault="0045608C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</w:t>
            </w:r>
            <w:r w:rsidR="002D3ED8" w:rsidRPr="002D3ED8">
              <w:rPr>
                <w:rFonts w:eastAsia="Times New Roman" w:cs="Calibri"/>
                <w:sz w:val="24"/>
                <w:szCs w:val="24"/>
              </w:rPr>
              <w:t>$</w:t>
            </w:r>
            <w:r w:rsidR="00932FFF">
              <w:rPr>
                <w:rFonts w:eastAsia="Times New Roman" w:cs="Calibri"/>
                <w:sz w:val="24"/>
                <w:szCs w:val="24"/>
              </w:rPr>
              <w:t>301,574</w:t>
            </w:r>
            <w:r>
              <w:rPr>
                <w:rFonts w:eastAsia="Times New Roman" w:cs="Calibri"/>
                <w:sz w:val="24"/>
                <w:szCs w:val="24"/>
              </w:rPr>
              <w:t>)</w:t>
            </w:r>
          </w:p>
        </w:tc>
      </w:tr>
      <w:tr w:rsidR="002D3ED8" w:rsidRPr="002D3ED8" w14:paraId="15A0B3DA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1AD816A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Total Expenses before OH and tax</w:t>
            </w:r>
          </w:p>
        </w:tc>
        <w:tc>
          <w:tcPr>
            <w:tcW w:w="1890" w:type="dxa"/>
            <w:noWrap/>
            <w:vAlign w:val="bottom"/>
            <w:hideMark/>
          </w:tcPr>
          <w:p w14:paraId="584AB778" w14:textId="736A45FF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</w:t>
            </w:r>
            <w:r w:rsidR="00932FFF">
              <w:rPr>
                <w:rFonts w:eastAsia="Times New Roman" w:cs="Calibri"/>
                <w:sz w:val="24"/>
                <w:szCs w:val="24"/>
              </w:rPr>
              <w:t>286,830</w:t>
            </w:r>
            <w:r w:rsidRPr="002D3ED8"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828" w:type="dxa"/>
            <w:noWrap/>
            <w:vAlign w:val="bottom"/>
            <w:hideMark/>
          </w:tcPr>
          <w:p w14:paraId="456D4904" w14:textId="682EBEA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</w:t>
            </w:r>
            <w:r w:rsidR="00932FFF">
              <w:rPr>
                <w:rFonts w:eastAsia="Times New Roman" w:cs="Calibri"/>
                <w:sz w:val="24"/>
                <w:szCs w:val="24"/>
              </w:rPr>
              <w:t>478,303</w:t>
            </w:r>
            <w:r w:rsidRPr="002D3ED8"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710" w:type="dxa"/>
            <w:noWrap/>
            <w:vAlign w:val="bottom"/>
            <w:hideMark/>
          </w:tcPr>
          <w:p w14:paraId="0C96F0CE" w14:textId="5942E82B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 xml:space="preserve"> ($</w:t>
            </w:r>
            <w:r w:rsidR="00932FFF">
              <w:rPr>
                <w:rFonts w:eastAsia="Times New Roman" w:cs="Calibri"/>
                <w:sz w:val="24"/>
                <w:szCs w:val="24"/>
              </w:rPr>
              <w:t>191,473</w:t>
            </w:r>
            <w:r w:rsidRPr="002D3ED8">
              <w:rPr>
                <w:rFonts w:eastAsia="Times New Roman" w:cs="Calibri"/>
                <w:sz w:val="24"/>
                <w:szCs w:val="24"/>
              </w:rPr>
              <w:t>)</w:t>
            </w:r>
          </w:p>
        </w:tc>
      </w:tr>
      <w:tr w:rsidR="002D3ED8" w:rsidRPr="002D3ED8" w14:paraId="3F2A2820" w14:textId="77777777" w:rsidTr="00047567">
        <w:trPr>
          <w:trHeight w:val="287"/>
        </w:trPr>
        <w:tc>
          <w:tcPr>
            <w:tcW w:w="3684" w:type="dxa"/>
            <w:noWrap/>
            <w:vAlign w:val="bottom"/>
            <w:hideMark/>
          </w:tcPr>
          <w:p w14:paraId="512081B2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Overhead </w:t>
            </w:r>
          </w:p>
        </w:tc>
        <w:tc>
          <w:tcPr>
            <w:tcW w:w="1890" w:type="dxa"/>
            <w:noWrap/>
            <w:vAlign w:val="bottom"/>
            <w:hideMark/>
          </w:tcPr>
          <w:p w14:paraId="671C58C9" w14:textId="3F05419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</w:t>
            </w:r>
            <w:r w:rsidR="00932FFF">
              <w:rPr>
                <w:rFonts w:eastAsia="Times New Roman" w:cs="Calibri"/>
                <w:sz w:val="24"/>
                <w:szCs w:val="24"/>
              </w:rPr>
              <w:t>3</w:t>
            </w:r>
            <w:r w:rsidRPr="002D3ED8">
              <w:rPr>
                <w:rFonts w:eastAsia="Times New Roman" w:cs="Calibri"/>
                <w:sz w:val="24"/>
                <w:szCs w:val="24"/>
              </w:rPr>
              <w:t>9,</w:t>
            </w:r>
            <w:r w:rsidR="00932FFF">
              <w:rPr>
                <w:rFonts w:eastAsia="Times New Roman" w:cs="Calibri"/>
                <w:sz w:val="24"/>
                <w:szCs w:val="24"/>
              </w:rPr>
              <w:t>255</w:t>
            </w:r>
            <w:r w:rsidRPr="002D3ED8"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828" w:type="dxa"/>
            <w:noWrap/>
            <w:vAlign w:val="bottom"/>
            <w:hideMark/>
          </w:tcPr>
          <w:p w14:paraId="45871007" w14:textId="67FF062B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</w:t>
            </w:r>
            <w:r w:rsidR="00932FFF">
              <w:rPr>
                <w:rFonts w:eastAsia="Times New Roman" w:cs="Calibri"/>
                <w:sz w:val="24"/>
                <w:szCs w:val="24"/>
              </w:rPr>
              <w:t>19,941</w:t>
            </w:r>
            <w:r w:rsidRPr="002D3ED8"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710" w:type="dxa"/>
            <w:noWrap/>
            <w:vAlign w:val="bottom"/>
            <w:hideMark/>
          </w:tcPr>
          <w:p w14:paraId="697EC3CB" w14:textId="2606AB5B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</w:t>
            </w:r>
            <w:r w:rsidR="00932FFF">
              <w:rPr>
                <w:rFonts w:eastAsia="Times New Roman" w:cs="Calibri"/>
                <w:sz w:val="24"/>
                <w:szCs w:val="24"/>
              </w:rPr>
              <w:t>19,314</w:t>
            </w:r>
          </w:p>
        </w:tc>
      </w:tr>
      <w:tr w:rsidR="002D3ED8" w:rsidRPr="002D3ED8" w14:paraId="55CED376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4F52243F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1D456FD0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14:paraId="0BDF39C2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0DB78DFD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3ED8" w:rsidRPr="002D3ED8" w14:paraId="628EA508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A934AAD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7FA4D5DD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Budget</w:t>
            </w:r>
          </w:p>
        </w:tc>
        <w:tc>
          <w:tcPr>
            <w:tcW w:w="1828" w:type="dxa"/>
            <w:noWrap/>
            <w:vAlign w:val="bottom"/>
            <w:hideMark/>
          </w:tcPr>
          <w:p w14:paraId="71AD8BC6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Actual</w:t>
            </w:r>
          </w:p>
        </w:tc>
        <w:tc>
          <w:tcPr>
            <w:tcW w:w="1710" w:type="dxa"/>
            <w:noWrap/>
            <w:vAlign w:val="bottom"/>
            <w:hideMark/>
          </w:tcPr>
          <w:p w14:paraId="29D81AF3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Variance</w:t>
            </w:r>
          </w:p>
        </w:tc>
      </w:tr>
      <w:tr w:rsidR="002D3ED8" w:rsidRPr="002D3ED8" w14:paraId="5489001C" w14:textId="77777777" w:rsidTr="00047567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155E0C0F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Net Revenue (Expense)</w:t>
            </w:r>
          </w:p>
        </w:tc>
        <w:tc>
          <w:tcPr>
            <w:tcW w:w="1890" w:type="dxa"/>
            <w:noWrap/>
            <w:vAlign w:val="bottom"/>
            <w:hideMark/>
          </w:tcPr>
          <w:p w14:paraId="5401615B" w14:textId="532C4ED2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</w:t>
            </w:r>
            <w:r w:rsidR="00932FFF">
              <w:rPr>
                <w:rFonts w:eastAsia="Times New Roman" w:cs="Calibri"/>
                <w:sz w:val="24"/>
                <w:szCs w:val="24"/>
              </w:rPr>
              <w:t>11,127</w:t>
            </w:r>
          </w:p>
        </w:tc>
        <w:tc>
          <w:tcPr>
            <w:tcW w:w="1828" w:type="dxa"/>
            <w:noWrap/>
            <w:vAlign w:val="bottom"/>
            <w:hideMark/>
          </w:tcPr>
          <w:p w14:paraId="5400CBF4" w14:textId="1138CC40" w:rsidR="002D3ED8" w:rsidRPr="002D3ED8" w:rsidRDefault="00932FFF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($462,606)</w:t>
            </w:r>
          </w:p>
        </w:tc>
        <w:tc>
          <w:tcPr>
            <w:tcW w:w="1710" w:type="dxa"/>
            <w:noWrap/>
            <w:vAlign w:val="bottom"/>
            <w:hideMark/>
          </w:tcPr>
          <w:p w14:paraId="3D9D3F0F" w14:textId="272FB121" w:rsidR="002D3ED8" w:rsidRPr="002D3ED8" w:rsidRDefault="0045608C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</w:t>
            </w:r>
            <w:r w:rsidR="002D3ED8" w:rsidRPr="002D3ED8">
              <w:rPr>
                <w:rFonts w:eastAsia="Times New Roman" w:cs="Calibri"/>
                <w:sz w:val="24"/>
                <w:szCs w:val="24"/>
              </w:rPr>
              <w:t>$</w:t>
            </w:r>
            <w:r w:rsidR="00932FFF">
              <w:rPr>
                <w:rFonts w:eastAsia="Times New Roman" w:cs="Calibri"/>
                <w:sz w:val="24"/>
                <w:szCs w:val="24"/>
              </w:rPr>
              <w:t>473,733)</w:t>
            </w:r>
          </w:p>
        </w:tc>
      </w:tr>
    </w:tbl>
    <w:p w14:paraId="26D60DF6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4C0D7169" w14:textId="21244445" w:rsidR="000C1554" w:rsidRPr="00A422DD" w:rsidRDefault="00D57917" w:rsidP="002D3ED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422DD">
        <w:rPr>
          <w:rFonts w:eastAsia="Times New Roman" w:cs="Calibri"/>
          <w:sz w:val="24"/>
          <w:szCs w:val="24"/>
        </w:rPr>
        <w:t xml:space="preserve">During FY24 Q1 ALA has been rebuilding the grants reporting modules in the </w:t>
      </w:r>
      <w:r w:rsidR="000C1554" w:rsidRPr="00A422DD">
        <w:rPr>
          <w:rFonts w:eastAsia="Times New Roman" w:cs="Calibri"/>
          <w:sz w:val="24"/>
          <w:szCs w:val="24"/>
        </w:rPr>
        <w:t>Prophix</w:t>
      </w:r>
      <w:r w:rsidRPr="00A422DD">
        <w:rPr>
          <w:rFonts w:eastAsia="Times New Roman" w:cs="Calibri"/>
          <w:sz w:val="24"/>
          <w:szCs w:val="24"/>
        </w:rPr>
        <w:t xml:space="preserve"> financial reporting platform. As a </w:t>
      </w:r>
      <w:r w:rsidR="000C1554" w:rsidRPr="00A422DD">
        <w:rPr>
          <w:rFonts w:eastAsia="Times New Roman" w:cs="Calibri"/>
          <w:sz w:val="24"/>
          <w:szCs w:val="24"/>
        </w:rPr>
        <w:t>result,</w:t>
      </w:r>
      <w:r w:rsidRPr="00A422DD">
        <w:rPr>
          <w:rFonts w:eastAsia="Times New Roman" w:cs="Calibri"/>
          <w:sz w:val="24"/>
          <w:szCs w:val="24"/>
        </w:rPr>
        <w:t xml:space="preserve"> </w:t>
      </w:r>
      <w:r w:rsidR="000C1554" w:rsidRPr="00A422DD">
        <w:rPr>
          <w:rFonts w:eastAsia="Times New Roman" w:cs="Calibri"/>
          <w:sz w:val="24"/>
          <w:szCs w:val="24"/>
        </w:rPr>
        <w:t xml:space="preserve">financials for the Q1 period do not fully reflect grant expense and revenue activity. Fully updated grants financial information should be available in FY24Q2. </w:t>
      </w:r>
    </w:p>
    <w:p w14:paraId="704EE483" w14:textId="77777777" w:rsidR="000C1554" w:rsidRPr="00A422DD" w:rsidRDefault="000C1554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31F6F502" w14:textId="5D55B19E" w:rsidR="002D3ED8" w:rsidRDefault="000C1554" w:rsidP="00A422DD">
      <w:pPr>
        <w:spacing w:line="276" w:lineRule="auto"/>
        <w:rPr>
          <w:rFonts w:eastAsiaTheme="minorEastAsia"/>
          <w:color w:val="343A40"/>
          <w:sz w:val="24"/>
          <w:szCs w:val="24"/>
        </w:rPr>
      </w:pPr>
      <w:r w:rsidRPr="00A422DD">
        <w:rPr>
          <w:rFonts w:eastAsia="Times New Roman" w:cs="Calibri"/>
          <w:sz w:val="24"/>
          <w:szCs w:val="24"/>
        </w:rPr>
        <w:t xml:space="preserve">During Q1 </w:t>
      </w:r>
      <w:r w:rsidR="002D3ED8" w:rsidRPr="00A422DD">
        <w:rPr>
          <w:rFonts w:eastAsia="Times New Roman" w:cs="Calibri"/>
          <w:sz w:val="24"/>
          <w:szCs w:val="24"/>
        </w:rPr>
        <w:t xml:space="preserve">PLA was awarded a new </w:t>
      </w:r>
      <w:hyperlink r:id="rId7">
        <w:r w:rsidRPr="00A422DD">
          <w:rPr>
            <w:rStyle w:val="Hyperlink"/>
            <w:rFonts w:eastAsiaTheme="minorEastAsia"/>
            <w:sz w:val="24"/>
            <w:szCs w:val="24"/>
          </w:rPr>
          <w:t>IMLS National Leadership Grant</w:t>
        </w:r>
      </w:hyperlink>
      <w:r w:rsidRPr="00A422DD">
        <w:rPr>
          <w:rFonts w:eastAsiaTheme="minorEastAsia"/>
          <w:color w:val="000000" w:themeColor="text1"/>
          <w:sz w:val="24"/>
          <w:szCs w:val="24"/>
        </w:rPr>
        <w:t xml:space="preserve"> in the amount of $249,964. </w:t>
      </w:r>
      <w:r w:rsidRPr="00A422DD">
        <w:rPr>
          <w:rFonts w:eastAsia="Times New Roman" w:cs="Calibri"/>
          <w:sz w:val="24"/>
          <w:szCs w:val="24"/>
        </w:rPr>
        <w:t xml:space="preserve">Authentic Family Engagement for Spanish Speaking Families supports development of </w:t>
      </w:r>
      <w:r w:rsidRPr="00A422DD">
        <w:rPr>
          <w:rFonts w:eastAsiaTheme="minorEastAsia"/>
          <w:color w:val="343A40"/>
          <w:sz w:val="24"/>
          <w:szCs w:val="24"/>
        </w:rPr>
        <w:t xml:space="preserve">new tools and training models to support engagement of Spanish-speaking families. </w:t>
      </w:r>
    </w:p>
    <w:p w14:paraId="4D18E453" w14:textId="3C668D42" w:rsidR="00A422DD" w:rsidRDefault="00A422DD" w:rsidP="00A422DD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>
        <w:rPr>
          <w:rFonts w:eastAsia="Times New Roman" w:cs="Calibri"/>
          <w:sz w:val="24"/>
          <w:szCs w:val="24"/>
          <w:u w:val="single"/>
        </w:rPr>
        <w:lastRenderedPageBreak/>
        <w:t xml:space="preserve">Friends of PLA </w:t>
      </w:r>
      <w:r w:rsidRPr="002D3ED8">
        <w:rPr>
          <w:rFonts w:eastAsia="Times New Roman" w:cs="Calibri"/>
          <w:sz w:val="24"/>
          <w:szCs w:val="24"/>
          <w:u w:val="single"/>
        </w:rPr>
        <w:t>Grant</w:t>
      </w:r>
    </w:p>
    <w:p w14:paraId="71BEC4CC" w14:textId="77777777" w:rsidR="00613BCD" w:rsidRPr="002D3ED8" w:rsidRDefault="00613BCD" w:rsidP="00A422DD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56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999"/>
      </w:tblGrid>
      <w:tr w:rsidR="00613BCD" w:rsidRPr="002D3ED8" w14:paraId="70509802" w14:textId="77777777" w:rsidTr="00927CAC">
        <w:trPr>
          <w:trHeight w:val="341"/>
        </w:trPr>
        <w:tc>
          <w:tcPr>
            <w:tcW w:w="3684" w:type="dxa"/>
            <w:noWrap/>
            <w:vAlign w:val="bottom"/>
            <w:hideMark/>
          </w:tcPr>
          <w:p w14:paraId="7C9C7E21" w14:textId="4D8A02E9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FRIENDS of PLA</w:t>
            </w:r>
          </w:p>
          <w:p w14:paraId="1A9FB1D3" w14:textId="77777777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  <w:p w14:paraId="7B75AC9D" w14:textId="77777777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99" w:type="dxa"/>
            <w:noWrap/>
            <w:hideMark/>
          </w:tcPr>
          <w:p w14:paraId="03CB4F42" w14:textId="371BEB26" w:rsidR="00613BCD" w:rsidRPr="002D3ED8" w:rsidRDefault="00613BCD" w:rsidP="00927CAC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</w:t>
            </w:r>
            <w:r>
              <w:rPr>
                <w:rFonts w:eastAsia="Times New Roman" w:cs="Calibri"/>
                <w:b/>
                <w:sz w:val="24"/>
                <w:szCs w:val="24"/>
              </w:rPr>
              <w:t>4</w:t>
            </w: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 Q1 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Actual </w:t>
            </w:r>
          </w:p>
        </w:tc>
      </w:tr>
      <w:tr w:rsidR="00613BCD" w:rsidRPr="002D3ED8" w14:paraId="446FAFBD" w14:textId="77777777" w:rsidTr="00927CAC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5EE47D36" w14:textId="77777777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Total Revenues</w:t>
            </w:r>
          </w:p>
        </w:tc>
        <w:tc>
          <w:tcPr>
            <w:tcW w:w="1999" w:type="dxa"/>
            <w:noWrap/>
            <w:vAlign w:val="bottom"/>
            <w:hideMark/>
          </w:tcPr>
          <w:p w14:paraId="7EA45D73" w14:textId="16DE79EC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</w:t>
            </w:r>
            <w:r>
              <w:rPr>
                <w:rFonts w:eastAsia="Times New Roman" w:cs="Calibri"/>
                <w:sz w:val="24"/>
                <w:szCs w:val="24"/>
              </w:rPr>
              <w:t>338,455</w:t>
            </w:r>
          </w:p>
        </w:tc>
      </w:tr>
      <w:tr w:rsidR="00613BCD" w:rsidRPr="002D3ED8" w14:paraId="14F70E83" w14:textId="77777777" w:rsidTr="00927CAC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0BB5CCC4" w14:textId="7DACD7B1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Accrued/Deferred Revenue</w:t>
            </w:r>
          </w:p>
        </w:tc>
        <w:tc>
          <w:tcPr>
            <w:tcW w:w="1999" w:type="dxa"/>
            <w:noWrap/>
            <w:vAlign w:val="bottom"/>
            <w:hideMark/>
          </w:tcPr>
          <w:p w14:paraId="587D2C48" w14:textId="16A0BCB7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$172,070</w:t>
            </w:r>
          </w:p>
        </w:tc>
      </w:tr>
      <w:tr w:rsidR="00613BCD" w:rsidRPr="002D3ED8" w14:paraId="75093652" w14:textId="77777777" w:rsidTr="00927CAC">
        <w:trPr>
          <w:trHeight w:val="287"/>
        </w:trPr>
        <w:tc>
          <w:tcPr>
            <w:tcW w:w="3684" w:type="dxa"/>
            <w:noWrap/>
            <w:vAlign w:val="bottom"/>
            <w:hideMark/>
          </w:tcPr>
          <w:p w14:paraId="64F480F1" w14:textId="1AA0423D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Bank Fees</w:t>
            </w:r>
          </w:p>
        </w:tc>
        <w:tc>
          <w:tcPr>
            <w:tcW w:w="1999" w:type="dxa"/>
            <w:noWrap/>
            <w:vAlign w:val="bottom"/>
            <w:hideMark/>
          </w:tcPr>
          <w:p w14:paraId="13039716" w14:textId="7B6C340F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</w:t>
            </w:r>
            <w:r>
              <w:rPr>
                <w:rFonts w:eastAsia="Times New Roman" w:cs="Calibri"/>
                <w:sz w:val="24"/>
                <w:szCs w:val="24"/>
              </w:rPr>
              <w:t>115</w:t>
            </w:r>
            <w:r w:rsidRPr="002D3ED8">
              <w:rPr>
                <w:rFonts w:eastAsia="Times New Roman" w:cs="Calibri"/>
                <w:sz w:val="24"/>
                <w:szCs w:val="24"/>
              </w:rPr>
              <w:t>)</w:t>
            </w:r>
          </w:p>
        </w:tc>
      </w:tr>
      <w:tr w:rsidR="00613BCD" w:rsidRPr="002D3ED8" w14:paraId="2417F93F" w14:textId="77777777" w:rsidTr="00927CAC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D75E06C" w14:textId="545D7B9B" w:rsidR="00613BCD" w:rsidRPr="002D3ED8" w:rsidRDefault="00613BCD" w:rsidP="00DA163B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Total</w:t>
            </w:r>
          </w:p>
        </w:tc>
        <w:tc>
          <w:tcPr>
            <w:tcW w:w="1999" w:type="dxa"/>
            <w:noWrap/>
            <w:vAlign w:val="bottom"/>
            <w:hideMark/>
          </w:tcPr>
          <w:p w14:paraId="2E2F7A29" w14:textId="301E549C" w:rsidR="00613BCD" w:rsidRPr="002D3ED8" w:rsidRDefault="00613BCD" w:rsidP="00613BCD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$510,409</w:t>
            </w:r>
          </w:p>
        </w:tc>
      </w:tr>
    </w:tbl>
    <w:p w14:paraId="539BD6CE" w14:textId="4DBF4D37" w:rsidR="00613BCD" w:rsidRDefault="00613BCD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4EF586D2" w14:textId="4F7B5DC2" w:rsidR="00613BCD" w:rsidRDefault="004C3759" w:rsidP="002D3ED8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Thanks to </w:t>
      </w:r>
      <w:r w:rsidR="009B5D9C">
        <w:rPr>
          <w:rFonts w:eastAsia="Times New Roman" w:cs="Calibri"/>
          <w:sz w:val="24"/>
          <w:szCs w:val="24"/>
        </w:rPr>
        <w:t>working</w:t>
      </w:r>
      <w:r>
        <w:rPr>
          <w:rFonts w:eastAsia="Times New Roman" w:cs="Calibri"/>
          <w:sz w:val="24"/>
          <w:szCs w:val="24"/>
        </w:rPr>
        <w:t xml:space="preserve"> with the ALA Finance department</w:t>
      </w:r>
      <w:r w:rsidR="009B5D9C">
        <w:rPr>
          <w:rFonts w:eastAsia="Times New Roman" w:cs="Calibri"/>
          <w:sz w:val="24"/>
          <w:szCs w:val="24"/>
        </w:rPr>
        <w:t>,</w:t>
      </w:r>
      <w:r>
        <w:rPr>
          <w:rFonts w:eastAsia="Times New Roman" w:cs="Calibri"/>
          <w:sz w:val="24"/>
          <w:szCs w:val="24"/>
        </w:rPr>
        <w:t xml:space="preserve"> PLA is able to report on revenues to t</w:t>
      </w:r>
      <w:r w:rsidR="00613BCD">
        <w:rPr>
          <w:rFonts w:eastAsia="Times New Roman" w:cs="Calibri"/>
          <w:sz w:val="24"/>
          <w:szCs w:val="24"/>
        </w:rPr>
        <w:t xml:space="preserve">he Friends of PLA </w:t>
      </w:r>
      <w:r>
        <w:rPr>
          <w:rFonts w:eastAsia="Times New Roman" w:cs="Calibri"/>
          <w:sz w:val="24"/>
          <w:szCs w:val="24"/>
        </w:rPr>
        <w:t xml:space="preserve">for the first time since it </w:t>
      </w:r>
      <w:r w:rsidR="00613BCD">
        <w:rPr>
          <w:rFonts w:eastAsia="Times New Roman" w:cs="Calibri"/>
          <w:sz w:val="24"/>
          <w:szCs w:val="24"/>
        </w:rPr>
        <w:t>was established as a fund in FY22</w:t>
      </w:r>
      <w:r>
        <w:rPr>
          <w:rFonts w:eastAsia="Times New Roman" w:cs="Calibri"/>
          <w:sz w:val="24"/>
          <w:szCs w:val="24"/>
        </w:rPr>
        <w:t xml:space="preserve">. This fund </w:t>
      </w:r>
      <w:r w:rsidR="00613BCD">
        <w:rPr>
          <w:rFonts w:eastAsia="Times New Roman" w:cs="Calibri"/>
          <w:sz w:val="24"/>
          <w:szCs w:val="24"/>
        </w:rPr>
        <w:t>receive</w:t>
      </w:r>
      <w:r>
        <w:rPr>
          <w:rFonts w:eastAsia="Times New Roman" w:cs="Calibri"/>
          <w:sz w:val="24"/>
          <w:szCs w:val="24"/>
        </w:rPr>
        <w:t>s</w:t>
      </w:r>
      <w:r w:rsidR="00613BCD">
        <w:rPr>
          <w:rFonts w:eastAsia="Times New Roman" w:cs="Calibri"/>
          <w:sz w:val="24"/>
          <w:szCs w:val="24"/>
        </w:rPr>
        <w:t xml:space="preserve"> corporate and individual donations</w:t>
      </w:r>
      <w:r>
        <w:rPr>
          <w:rFonts w:eastAsia="Times New Roman" w:cs="Calibri"/>
          <w:sz w:val="24"/>
          <w:szCs w:val="24"/>
        </w:rPr>
        <w:t xml:space="preserve"> to PLA </w:t>
      </w:r>
      <w:r w:rsidR="002D3AA9">
        <w:rPr>
          <w:rFonts w:eastAsia="Times New Roman" w:cs="Calibri"/>
          <w:sz w:val="24"/>
          <w:szCs w:val="24"/>
        </w:rPr>
        <w:t xml:space="preserve">designated to </w:t>
      </w:r>
      <w:r>
        <w:rPr>
          <w:rFonts w:eastAsia="Times New Roman" w:cs="Calibri"/>
          <w:sz w:val="24"/>
          <w:szCs w:val="24"/>
        </w:rPr>
        <w:t xml:space="preserve">support scholarships and programmatic priorities. Its </w:t>
      </w:r>
      <w:r w:rsidR="00613BCD">
        <w:rPr>
          <w:rFonts w:eastAsia="Times New Roman" w:cs="Calibri"/>
          <w:sz w:val="24"/>
          <w:szCs w:val="24"/>
        </w:rPr>
        <w:t>balance rolls over year to year</w:t>
      </w:r>
      <w:r w:rsidR="002D3AA9">
        <w:rPr>
          <w:rFonts w:eastAsia="Times New Roman" w:cs="Calibri"/>
          <w:sz w:val="24"/>
          <w:szCs w:val="24"/>
        </w:rPr>
        <w:t>.</w:t>
      </w:r>
      <w:r w:rsidR="00613BCD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The current</w:t>
      </w:r>
      <w:r w:rsidR="00613BCD">
        <w:rPr>
          <w:rFonts w:eastAsia="Times New Roman" w:cs="Calibri"/>
          <w:sz w:val="24"/>
          <w:szCs w:val="24"/>
        </w:rPr>
        <w:t xml:space="preserve"> balance of $510,409 </w:t>
      </w:r>
      <w:r>
        <w:rPr>
          <w:rFonts w:eastAsia="Times New Roman" w:cs="Calibri"/>
          <w:sz w:val="24"/>
          <w:szCs w:val="24"/>
        </w:rPr>
        <w:t xml:space="preserve">reflects corporate, foundation and individual donations. Work with the ALA Development and Finance departments continues to accurately track and report on individual donations. </w:t>
      </w:r>
      <w:r w:rsidR="002D3AA9">
        <w:rPr>
          <w:rFonts w:eastAsia="Times New Roman" w:cs="Calibri"/>
          <w:sz w:val="24"/>
          <w:szCs w:val="24"/>
        </w:rPr>
        <w:t xml:space="preserve">Although there was no ability to budget expenses in FY24, PLA will fund 120 scholarships to the 2024 PLA National Conference using Friends of PLA support. </w:t>
      </w:r>
    </w:p>
    <w:p w14:paraId="5F3ABB59" w14:textId="77777777" w:rsidR="002D3AA9" w:rsidRPr="002D3ED8" w:rsidRDefault="002D3AA9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sectPr w:rsidR="002D3AA9" w:rsidRPr="002D3ED8" w:rsidSect="00047567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030F" w14:textId="77777777" w:rsidR="00B662A9" w:rsidRDefault="00B662A9" w:rsidP="002D3ED8">
      <w:pPr>
        <w:spacing w:after="0" w:line="240" w:lineRule="auto"/>
      </w:pPr>
      <w:r>
        <w:separator/>
      </w:r>
    </w:p>
  </w:endnote>
  <w:endnote w:type="continuationSeparator" w:id="0">
    <w:p w14:paraId="28293B96" w14:textId="77777777" w:rsidR="00B662A9" w:rsidRDefault="00B662A9" w:rsidP="002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811" w14:textId="77777777" w:rsidR="00047567" w:rsidRDefault="00DD7D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D64F685" w14:textId="77777777" w:rsidR="00047567" w:rsidRDefault="00047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C7F8" w14:textId="77777777" w:rsidR="00B662A9" w:rsidRDefault="00B662A9" w:rsidP="002D3ED8">
      <w:pPr>
        <w:spacing w:after="0" w:line="240" w:lineRule="auto"/>
      </w:pPr>
      <w:r>
        <w:separator/>
      </w:r>
    </w:p>
  </w:footnote>
  <w:footnote w:type="continuationSeparator" w:id="0">
    <w:p w14:paraId="56289E42" w14:textId="77777777" w:rsidR="00B662A9" w:rsidRDefault="00B662A9" w:rsidP="002D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431C" w14:textId="77777777" w:rsidR="00C02936" w:rsidRPr="00C02936" w:rsidRDefault="00C02936" w:rsidP="00C02936">
    <w:pPr>
      <w:pStyle w:val="Header"/>
      <w:jc w:val="right"/>
      <w:rPr>
        <w:rFonts w:asciiTheme="minorHAnsi" w:eastAsiaTheme="minorHAnsi" w:hAnsiTheme="minorHAnsi" w:cs="Calibri"/>
        <w:bCs/>
        <w:sz w:val="22"/>
        <w:szCs w:val="22"/>
      </w:rPr>
    </w:pPr>
    <w:r w:rsidRPr="00C02936">
      <w:rPr>
        <w:rFonts w:asciiTheme="minorHAnsi" w:eastAsiaTheme="minorHAnsi" w:hAnsiTheme="minorHAnsi" w:cs="Calibri"/>
        <w:bCs/>
        <w:sz w:val="22"/>
        <w:szCs w:val="22"/>
      </w:rPr>
      <w:t>PLA Board of Directors</w:t>
    </w:r>
  </w:p>
  <w:p w14:paraId="1852602B" w14:textId="77777777" w:rsidR="00C02936" w:rsidRPr="00C02936" w:rsidRDefault="00C02936" w:rsidP="00C02936">
    <w:pPr>
      <w:pStyle w:val="Header"/>
      <w:jc w:val="right"/>
      <w:rPr>
        <w:rFonts w:asciiTheme="minorHAnsi" w:eastAsiaTheme="minorHAnsi" w:hAnsiTheme="minorHAnsi" w:cs="Calibri"/>
        <w:bCs/>
        <w:sz w:val="22"/>
        <w:szCs w:val="22"/>
      </w:rPr>
    </w:pPr>
    <w:r w:rsidRPr="00C02936">
      <w:rPr>
        <w:rFonts w:asciiTheme="minorHAnsi" w:eastAsiaTheme="minorHAnsi" w:hAnsiTheme="minorHAnsi" w:cs="Calibri"/>
        <w:bCs/>
        <w:sz w:val="22"/>
        <w:szCs w:val="22"/>
      </w:rPr>
      <w:t xml:space="preserve">March 14, </w:t>
    </w:r>
    <w:proofErr w:type="gramStart"/>
    <w:r w:rsidRPr="00C02936">
      <w:rPr>
        <w:rFonts w:asciiTheme="minorHAnsi" w:eastAsiaTheme="minorHAnsi" w:hAnsiTheme="minorHAnsi" w:cs="Calibri"/>
        <w:bCs/>
        <w:sz w:val="22"/>
        <w:szCs w:val="22"/>
      </w:rPr>
      <w:t>2024</w:t>
    </w:r>
    <w:proofErr w:type="gramEnd"/>
    <w:r w:rsidRPr="00C02936">
      <w:rPr>
        <w:rFonts w:asciiTheme="minorHAnsi" w:eastAsiaTheme="minorHAnsi" w:hAnsiTheme="minorHAnsi" w:cs="Calibri"/>
        <w:bCs/>
        <w:sz w:val="22"/>
        <w:szCs w:val="22"/>
      </w:rPr>
      <w:t xml:space="preserve"> Virtual Meeting</w:t>
    </w:r>
  </w:p>
  <w:p w14:paraId="78760EC6" w14:textId="38D235AF" w:rsidR="00047567" w:rsidRDefault="00C02936" w:rsidP="00C02936">
    <w:pPr>
      <w:pStyle w:val="Header"/>
      <w:jc w:val="right"/>
      <w:rPr>
        <w:rFonts w:asciiTheme="minorHAnsi" w:eastAsiaTheme="minorHAnsi" w:hAnsiTheme="minorHAnsi" w:cs="Calibri"/>
        <w:bCs/>
        <w:sz w:val="22"/>
        <w:szCs w:val="22"/>
      </w:rPr>
    </w:pPr>
    <w:r w:rsidRPr="00C02936">
      <w:rPr>
        <w:rFonts w:asciiTheme="minorHAnsi" w:eastAsiaTheme="minorHAnsi" w:hAnsiTheme="minorHAnsi" w:cs="Calibri"/>
        <w:bCs/>
        <w:sz w:val="22"/>
        <w:szCs w:val="22"/>
      </w:rPr>
      <w:t>Document no.: 2024.</w:t>
    </w:r>
    <w:r w:rsidR="007F2ED4">
      <w:rPr>
        <w:rFonts w:asciiTheme="minorHAnsi" w:eastAsiaTheme="minorHAnsi" w:hAnsiTheme="minorHAnsi" w:cs="Calibri"/>
        <w:bCs/>
        <w:sz w:val="22"/>
        <w:szCs w:val="22"/>
      </w:rPr>
      <w:t>26</w:t>
    </w:r>
  </w:p>
  <w:p w14:paraId="6F489AF3" w14:textId="77777777" w:rsidR="00C02936" w:rsidRPr="00C02936" w:rsidRDefault="00C02936" w:rsidP="00C02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9E3"/>
    <w:multiLevelType w:val="hybridMultilevel"/>
    <w:tmpl w:val="DF50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1A3"/>
    <w:multiLevelType w:val="hybridMultilevel"/>
    <w:tmpl w:val="500A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2A3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064B"/>
    <w:multiLevelType w:val="hybridMultilevel"/>
    <w:tmpl w:val="2100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D1A0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487531">
    <w:abstractNumId w:val="4"/>
  </w:num>
  <w:num w:numId="2" w16cid:durableId="1435244900">
    <w:abstractNumId w:val="2"/>
  </w:num>
  <w:num w:numId="3" w16cid:durableId="1737123128">
    <w:abstractNumId w:val="3"/>
  </w:num>
  <w:num w:numId="4" w16cid:durableId="1483883921">
    <w:abstractNumId w:val="1"/>
  </w:num>
  <w:num w:numId="5" w16cid:durableId="211629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D8"/>
    <w:rsid w:val="00047567"/>
    <w:rsid w:val="000C1554"/>
    <w:rsid w:val="000F3929"/>
    <w:rsid w:val="00182E3B"/>
    <w:rsid w:val="002D3AA9"/>
    <w:rsid w:val="002D3ED8"/>
    <w:rsid w:val="00344837"/>
    <w:rsid w:val="00390825"/>
    <w:rsid w:val="00404AC8"/>
    <w:rsid w:val="004067DA"/>
    <w:rsid w:val="00431605"/>
    <w:rsid w:val="0045608C"/>
    <w:rsid w:val="00474C51"/>
    <w:rsid w:val="004C3759"/>
    <w:rsid w:val="004E0767"/>
    <w:rsid w:val="00613BCD"/>
    <w:rsid w:val="0064655A"/>
    <w:rsid w:val="00723FE3"/>
    <w:rsid w:val="007F2ED4"/>
    <w:rsid w:val="008D4590"/>
    <w:rsid w:val="00927CAC"/>
    <w:rsid w:val="00932FFF"/>
    <w:rsid w:val="009935AF"/>
    <w:rsid w:val="009B5D9C"/>
    <w:rsid w:val="00A422DD"/>
    <w:rsid w:val="00A95DB2"/>
    <w:rsid w:val="00AB4EA8"/>
    <w:rsid w:val="00B662A9"/>
    <w:rsid w:val="00BA1EF3"/>
    <w:rsid w:val="00BD5379"/>
    <w:rsid w:val="00C02936"/>
    <w:rsid w:val="00C407A0"/>
    <w:rsid w:val="00C44A6C"/>
    <w:rsid w:val="00C46554"/>
    <w:rsid w:val="00C94B6A"/>
    <w:rsid w:val="00CD3E4A"/>
    <w:rsid w:val="00D101A0"/>
    <w:rsid w:val="00D57917"/>
    <w:rsid w:val="00DD7D5B"/>
    <w:rsid w:val="00E23709"/>
    <w:rsid w:val="00E817A8"/>
    <w:rsid w:val="00EB6D3A"/>
    <w:rsid w:val="00F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5E0F"/>
  <w15:docId w15:val="{74C2AB37-70E9-4251-932A-5F89879C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E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E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3E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mls.gov/grants/awarded/lg-254862-ols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Davis Fournier</dc:creator>
  <cp:keywords/>
  <dc:description/>
  <cp:lastModifiedBy>Megan Stewart</cp:lastModifiedBy>
  <cp:revision>4</cp:revision>
  <cp:lastPrinted>2024-03-04T23:08:00Z</cp:lastPrinted>
  <dcterms:created xsi:type="dcterms:W3CDTF">2024-03-05T03:10:00Z</dcterms:created>
  <dcterms:modified xsi:type="dcterms:W3CDTF">2024-03-08T21:43:00Z</dcterms:modified>
</cp:coreProperties>
</file>