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3069" w:rsidRDefault="006638E0">
      <w:r>
        <w:t>Resolution to Condemn White Supremacy and Fascism as Antithetical to Library Work</w:t>
      </w:r>
    </w:p>
    <w:p w14:paraId="00000002" w14:textId="77777777" w:rsidR="00113069" w:rsidRDefault="00113069"/>
    <w:p w14:paraId="00000003" w14:textId="77777777" w:rsidR="00113069" w:rsidRDefault="006638E0">
      <w:pPr>
        <w:numPr>
          <w:ilvl w:val="0"/>
          <w:numId w:val="1"/>
        </w:numPr>
      </w:pPr>
      <w:r>
        <w:t>Whereas libraries have upheld and encouraged white supremacy both actively through discriminatory practices and passively through a misplaced emphasis on neutrality,</w:t>
      </w:r>
      <w:r>
        <w:rPr>
          <w:vertAlign w:val="superscript"/>
        </w:rPr>
        <w:footnoteReference w:id="1"/>
      </w:r>
      <w:r>
        <w:rPr>
          <w:vertAlign w:val="superscript"/>
        </w:rPr>
        <w:footnoteReference w:id="2"/>
      </w:r>
      <w:r>
        <w:rPr>
          <w:vertAlign w:val="superscript"/>
        </w:rPr>
        <w:footnoteReference w:id="3"/>
      </w:r>
      <w:r>
        <w:t xml:space="preserve"> </w:t>
      </w:r>
    </w:p>
    <w:p w14:paraId="00000004" w14:textId="77777777" w:rsidR="00113069" w:rsidRDefault="00113069"/>
    <w:p w14:paraId="00000005" w14:textId="77777777" w:rsidR="00113069" w:rsidRDefault="006638E0">
      <w:pPr>
        <w:numPr>
          <w:ilvl w:val="0"/>
          <w:numId w:val="1"/>
        </w:numPr>
      </w:pPr>
      <w:r>
        <w:t>Whereas these practices and arising environments have prevented equity, diversity,</w:t>
      </w:r>
      <w:r>
        <w:t xml:space="preserve"> and inclusion in libraries as workplaces,</w:t>
      </w:r>
      <w:r>
        <w:rPr>
          <w:vertAlign w:val="superscript"/>
        </w:rPr>
        <w:footnoteReference w:id="4"/>
      </w:r>
      <w:r>
        <w:rPr>
          <w:vertAlign w:val="superscript"/>
        </w:rPr>
        <w:footnoteReference w:id="5"/>
      </w:r>
      <w:r>
        <w:rPr>
          <w:vertAlign w:val="superscript"/>
        </w:rPr>
        <w:footnoteReference w:id="6"/>
      </w:r>
      <w:r>
        <w:rPr>
          <w:vertAlign w:val="superscript"/>
        </w:rPr>
        <w:footnoteReference w:id="7"/>
      </w:r>
      <w:r>
        <w:rPr>
          <w:vertAlign w:val="superscript"/>
        </w:rPr>
        <w:footnoteReference w:id="8"/>
      </w:r>
    </w:p>
    <w:p w14:paraId="00000006" w14:textId="77777777" w:rsidR="00113069" w:rsidRDefault="00113069"/>
    <w:p w14:paraId="00000007" w14:textId="77777777" w:rsidR="00113069" w:rsidRDefault="006638E0">
      <w:pPr>
        <w:numPr>
          <w:ilvl w:val="0"/>
          <w:numId w:val="1"/>
        </w:numPr>
      </w:pPr>
      <w:r>
        <w:t xml:space="preserve">Whereas ALA’s </w:t>
      </w:r>
      <w:hyperlink r:id="rId7">
        <w:r>
          <w:rPr>
            <w:u w:val="single"/>
          </w:rPr>
          <w:t>Code of Ethics</w:t>
        </w:r>
      </w:hyperlink>
      <w:r>
        <w:t xml:space="preserve"> asserts that libraries will safeguard the welfare of all employees and coworkers, </w:t>
      </w:r>
      <w:r>
        <w:rPr>
          <w:rFonts w:ascii="Roboto" w:eastAsia="Roboto" w:hAnsi="Roboto" w:cs="Roboto"/>
          <w:sz w:val="21"/>
          <w:szCs w:val="21"/>
          <w:highlight w:val="white"/>
        </w:rPr>
        <w:t>"We treat co-workers and other colleague</w:t>
      </w:r>
      <w:r>
        <w:rPr>
          <w:rFonts w:ascii="Roboto" w:eastAsia="Roboto" w:hAnsi="Roboto" w:cs="Roboto"/>
          <w:sz w:val="21"/>
          <w:szCs w:val="21"/>
          <w:highlight w:val="white"/>
        </w:rPr>
        <w:t>s with respect, fairness and good faith, and advocate conditions of employment that safeguard the rights and welfare of all employees of our institutions,"</w:t>
      </w:r>
      <w:r>
        <w:rPr>
          <w:vertAlign w:val="superscript"/>
        </w:rPr>
        <w:footnoteReference w:id="9"/>
      </w:r>
      <w:r>
        <w:t xml:space="preserve"> </w:t>
      </w:r>
    </w:p>
    <w:p w14:paraId="00000008" w14:textId="77777777" w:rsidR="00113069" w:rsidRDefault="00113069"/>
    <w:p w14:paraId="00000009" w14:textId="77777777" w:rsidR="00113069" w:rsidRDefault="006638E0">
      <w:pPr>
        <w:numPr>
          <w:ilvl w:val="0"/>
          <w:numId w:val="1"/>
        </w:numPr>
      </w:pPr>
      <w:r>
        <w:lastRenderedPageBreak/>
        <w:t xml:space="preserve">Whereas Interpretations of ALA’s Library </w:t>
      </w:r>
      <w:hyperlink r:id="rId8">
        <w:r>
          <w:rPr>
            <w:u w:val="single"/>
          </w:rPr>
          <w:t>Bill of Rights</w:t>
        </w:r>
      </w:hyperlink>
      <w:r>
        <w:t xml:space="preserve"> notes that “libraries should embrace equity, diversity, and inclusion in everything that they do,” and to do so we must reject practices, movements, and groups that oppose equity, diversity and inclusion,</w:t>
      </w:r>
      <w:r>
        <w:rPr>
          <w:vertAlign w:val="superscript"/>
        </w:rPr>
        <w:footnoteReference w:id="10"/>
      </w:r>
      <w:r>
        <w:t xml:space="preserve">  </w:t>
      </w:r>
    </w:p>
    <w:p w14:paraId="0000000A" w14:textId="77777777" w:rsidR="00113069" w:rsidRDefault="00113069">
      <w:pPr>
        <w:ind w:left="720"/>
      </w:pPr>
    </w:p>
    <w:p w14:paraId="0000000B" w14:textId="77777777" w:rsidR="00113069" w:rsidRDefault="006638E0">
      <w:pPr>
        <w:numPr>
          <w:ilvl w:val="0"/>
          <w:numId w:val="1"/>
        </w:numPr>
      </w:pPr>
      <w:r>
        <w:t xml:space="preserve">Whereas </w:t>
      </w:r>
      <w:hyperlink r:id="rId9">
        <w:r>
          <w:rPr>
            <w:u w:val="single"/>
          </w:rPr>
          <w:t>ALA has committed to acknowledging the past harms of racism</w:t>
        </w:r>
      </w:hyperlink>
      <w:r>
        <w:rPr>
          <w:vertAlign w:val="superscript"/>
        </w:rPr>
        <w:footnoteReference w:id="11"/>
      </w:r>
      <w:r>
        <w:t xml:space="preserve"> and to works to encourage diversity through acti</w:t>
      </w:r>
      <w:r>
        <w:t xml:space="preserve">vities including </w:t>
      </w:r>
      <w:hyperlink r:id="rId10">
        <w:r>
          <w:rPr>
            <w:u w:val="single"/>
          </w:rPr>
          <w:t>ALA’s Spectrum Program</w:t>
        </w:r>
      </w:hyperlink>
      <w:r>
        <w:t xml:space="preserve">, </w:t>
      </w:r>
    </w:p>
    <w:p w14:paraId="0000000C" w14:textId="77777777" w:rsidR="00113069" w:rsidRDefault="00113069"/>
    <w:p w14:paraId="0000000D" w14:textId="77777777" w:rsidR="00113069" w:rsidRDefault="006638E0">
      <w:pPr>
        <w:numPr>
          <w:ilvl w:val="0"/>
          <w:numId w:val="1"/>
        </w:numPr>
      </w:pPr>
      <w:r>
        <w:t xml:space="preserve">Whereas the realization of specific </w:t>
      </w:r>
      <w:hyperlink r:id="rId11">
        <w:r>
          <w:rPr>
            <w:u w:val="single"/>
          </w:rPr>
          <w:t xml:space="preserve">ALA Core Values of </w:t>
        </w:r>
      </w:hyperlink>
      <w:hyperlink r:id="rId12">
        <w:r>
          <w:rPr>
            <w:u w:val="single"/>
          </w:rPr>
          <w:t>Librarianship</w:t>
        </w:r>
      </w:hyperlink>
      <w:r>
        <w:t xml:space="preserve"> (such as democracy, diversity, and social responsibility) is contingent on putting those values in practice and accountability to integrating those values, </w:t>
      </w:r>
    </w:p>
    <w:p w14:paraId="0000000E" w14:textId="77777777" w:rsidR="00113069" w:rsidRDefault="00113069"/>
    <w:p w14:paraId="0000000F" w14:textId="77777777" w:rsidR="00113069" w:rsidRDefault="006638E0">
      <w:pPr>
        <w:numPr>
          <w:ilvl w:val="0"/>
          <w:numId w:val="1"/>
        </w:numPr>
      </w:pPr>
      <w:r>
        <w:t>Whereas libraries have a crucial obligation to p</w:t>
      </w:r>
      <w:r>
        <w:t>rovide access to accurate information which refutes white supremacist rhetoric,</w:t>
      </w:r>
      <w:r>
        <w:rPr>
          <w:vertAlign w:val="superscript"/>
        </w:rPr>
        <w:footnoteReference w:id="12"/>
      </w:r>
    </w:p>
    <w:p w14:paraId="00000010" w14:textId="77777777" w:rsidR="00113069" w:rsidRDefault="00113069"/>
    <w:p w14:paraId="00000011" w14:textId="77777777" w:rsidR="00113069" w:rsidRDefault="006638E0">
      <w:pPr>
        <w:numPr>
          <w:ilvl w:val="0"/>
          <w:numId w:val="1"/>
        </w:numPr>
      </w:pPr>
      <w:r>
        <w:t>Whereas moving forward with the trust of our communities requires address of past harms along with decisive action and restorative practices,</w:t>
      </w:r>
      <w:r>
        <w:rPr>
          <w:vertAlign w:val="superscript"/>
        </w:rPr>
        <w:footnoteReference w:id="13"/>
      </w:r>
      <w:r>
        <w:t xml:space="preserve"> </w:t>
      </w:r>
    </w:p>
    <w:p w14:paraId="00000012" w14:textId="77777777" w:rsidR="00113069" w:rsidRDefault="00113069"/>
    <w:p w14:paraId="00000013" w14:textId="77777777" w:rsidR="00113069" w:rsidRDefault="006638E0">
      <w:pPr>
        <w:numPr>
          <w:ilvl w:val="0"/>
          <w:numId w:val="1"/>
        </w:numPr>
      </w:pPr>
      <w:r>
        <w:t>Whereas it is vital for ALA to manifest the courage and candor required by libraries and library workers aroun</w:t>
      </w:r>
      <w:r>
        <w:t>d the world to reject and denounce white supremacy and fascism,</w:t>
      </w:r>
      <w:r>
        <w:rPr>
          <w:vertAlign w:val="superscript"/>
        </w:rPr>
        <w:footnoteReference w:id="14"/>
      </w:r>
      <w:r>
        <w:rPr>
          <w:vertAlign w:val="superscript"/>
        </w:rPr>
        <w:footnoteReference w:id="15"/>
      </w:r>
    </w:p>
    <w:p w14:paraId="00000014" w14:textId="77777777" w:rsidR="00113069" w:rsidRDefault="00113069"/>
    <w:p w14:paraId="00000015" w14:textId="77777777" w:rsidR="00113069" w:rsidRDefault="006638E0">
      <w:r>
        <w:t>Resolved that the American Library Association (ALA) on behalf of itself and its members:</w:t>
      </w:r>
    </w:p>
    <w:p w14:paraId="00000016" w14:textId="77777777" w:rsidR="00113069" w:rsidRDefault="006638E0">
      <w:pPr>
        <w:numPr>
          <w:ilvl w:val="0"/>
          <w:numId w:val="2"/>
        </w:numPr>
      </w:pPr>
      <w:r>
        <w:lastRenderedPageBreak/>
        <w:t>Acknowledges the role of neutrality rhetoric</w:t>
      </w:r>
      <w:r>
        <w:rPr>
          <w:vertAlign w:val="superscript"/>
        </w:rPr>
        <w:footnoteReference w:id="16"/>
      </w:r>
      <w:r>
        <w:rPr>
          <w:vertAlign w:val="superscript"/>
        </w:rPr>
        <w:footnoteReference w:id="17"/>
      </w:r>
      <w:r>
        <w:t xml:space="preserve"> in emboldening and encouraging white supremacy and fascism.</w:t>
      </w:r>
    </w:p>
    <w:p w14:paraId="00000017" w14:textId="77777777" w:rsidR="00113069" w:rsidRDefault="00113069"/>
    <w:p w14:paraId="00000018" w14:textId="77777777" w:rsidR="00113069" w:rsidRDefault="006638E0">
      <w:pPr>
        <w:numPr>
          <w:ilvl w:val="0"/>
          <w:numId w:val="2"/>
        </w:numPr>
      </w:pPr>
      <w:r>
        <w:t>Apologizes for past harm caused by the profession and within the Association, and the Association's repeated failures to address white supremacy and fascism,</w:t>
      </w:r>
      <w:r>
        <w:rPr>
          <w:vertAlign w:val="superscript"/>
        </w:rPr>
        <w:footnoteReference w:id="18"/>
      </w:r>
      <w:r>
        <w:t xml:space="preserve"> </w:t>
      </w:r>
    </w:p>
    <w:p w14:paraId="00000019" w14:textId="77777777" w:rsidR="00113069" w:rsidRDefault="00113069">
      <w:pPr>
        <w:ind w:left="720"/>
      </w:pPr>
    </w:p>
    <w:p w14:paraId="0000001A" w14:textId="77777777" w:rsidR="00113069" w:rsidRDefault="006638E0">
      <w:pPr>
        <w:numPr>
          <w:ilvl w:val="0"/>
          <w:numId w:val="2"/>
        </w:numPr>
      </w:pPr>
      <w:r>
        <w:t>Rejects neutrality rhetoric movi</w:t>
      </w:r>
      <w:r>
        <w:t xml:space="preserve">ng </w:t>
      </w:r>
      <w:proofErr w:type="gramStart"/>
      <w:r>
        <w:t>forward, and</w:t>
      </w:r>
      <w:proofErr w:type="gramEnd"/>
      <w:r>
        <w:t xml:space="preserve"> will specifically cease using the term “neutral” and derivatives to describe appropriate library and association activities. </w:t>
      </w:r>
    </w:p>
    <w:p w14:paraId="0000001B" w14:textId="77777777" w:rsidR="00113069" w:rsidRDefault="00113069"/>
    <w:p w14:paraId="0000001C" w14:textId="77777777" w:rsidR="00113069" w:rsidRDefault="006638E0">
      <w:pPr>
        <w:numPr>
          <w:ilvl w:val="0"/>
          <w:numId w:val="2"/>
        </w:numPr>
      </w:pPr>
      <w:r>
        <w:t>Will provide confidential communication channels for past and current BIPOC (Black, Indigenous, and People of Col</w:t>
      </w:r>
      <w:r>
        <w:t xml:space="preserve">or) members, staff members, community members, and others to provide direct feedback.  </w:t>
      </w:r>
    </w:p>
    <w:p w14:paraId="0000001D" w14:textId="77777777" w:rsidR="00113069" w:rsidRDefault="00113069"/>
    <w:p w14:paraId="0000001E" w14:textId="77777777" w:rsidR="00113069" w:rsidRDefault="006638E0">
      <w:pPr>
        <w:numPr>
          <w:ilvl w:val="0"/>
          <w:numId w:val="2"/>
        </w:numPr>
      </w:pPr>
      <w:r>
        <w:t>Informed by that direct feedback and previous ALA Task Force on Equity, Diversity, and Inclusion work</w:t>
      </w:r>
      <w:r>
        <w:rPr>
          <w:vertAlign w:val="superscript"/>
        </w:rPr>
        <w:footnoteReference w:id="19"/>
      </w:r>
      <w:r>
        <w:t>, commits to explicitly incorporating existing and developing an</w:t>
      </w:r>
      <w:r>
        <w:t xml:space="preserve">tiracist and antifascist frameworks, in internal and external communications, advocacy, events, and organizational design efforts moving forward. </w:t>
      </w:r>
    </w:p>
    <w:p w14:paraId="0000001F" w14:textId="77777777" w:rsidR="00113069" w:rsidRDefault="00113069"/>
    <w:p w14:paraId="00000020" w14:textId="77777777" w:rsidR="00113069" w:rsidRDefault="006638E0">
      <w:pPr>
        <w:numPr>
          <w:ilvl w:val="0"/>
          <w:numId w:val="2"/>
        </w:numPr>
      </w:pPr>
      <w:r>
        <w:t>Will establish a working group to review these areas with ODLOS to provide a list of recommendations for imp</w:t>
      </w:r>
      <w:r>
        <w:t xml:space="preserve">lementation that will explore opportunities for restorative and reparative measures. </w:t>
      </w:r>
    </w:p>
    <w:p w14:paraId="00000021" w14:textId="77777777" w:rsidR="00113069" w:rsidRDefault="00113069"/>
    <w:p w14:paraId="00000022" w14:textId="77777777" w:rsidR="00113069" w:rsidRDefault="006638E0">
      <w:pPr>
        <w:numPr>
          <w:ilvl w:val="0"/>
          <w:numId w:val="2"/>
        </w:numPr>
      </w:pPr>
      <w:r>
        <w:t xml:space="preserve">Will provide a preliminary plan by January 1, 2022 to implement the resulting recommendations. </w:t>
      </w:r>
    </w:p>
    <w:p w14:paraId="00000023" w14:textId="77777777" w:rsidR="00113069" w:rsidRDefault="00113069"/>
    <w:p w14:paraId="00000024" w14:textId="77777777" w:rsidR="00113069" w:rsidRDefault="006638E0">
      <w:pPr>
        <w:numPr>
          <w:ilvl w:val="0"/>
          <w:numId w:val="2"/>
        </w:numPr>
      </w:pPr>
      <w:r>
        <w:t xml:space="preserve">Will provide regular implementation updates at intervals no longer than </w:t>
      </w:r>
      <w:r>
        <w:t xml:space="preserve">6 months to the full ALA membership for the duration of the project and beyond. </w:t>
      </w:r>
    </w:p>
    <w:p w14:paraId="00000025" w14:textId="77777777" w:rsidR="00113069" w:rsidRDefault="00113069"/>
    <w:p w14:paraId="00000026" w14:textId="47E8AC84" w:rsidR="00113069" w:rsidRDefault="006638E0">
      <w:r>
        <w:t>Move/Co-Author: Lindsay Cronk, CORE President-Elect/ALA Councilor-at-Large</w:t>
      </w:r>
      <w:r w:rsidR="00DC6988">
        <w:t xml:space="preserve"> </w:t>
      </w:r>
    </w:p>
    <w:p w14:paraId="00000027" w14:textId="442F2237" w:rsidR="00113069" w:rsidRDefault="006638E0">
      <w:r>
        <w:t>Co-Author: Violet Fox, CORE member</w:t>
      </w:r>
      <w:bookmarkStart w:id="0" w:name="_GoBack"/>
      <w:bookmarkEnd w:id="0"/>
    </w:p>
    <w:p w14:paraId="00000028" w14:textId="77777777" w:rsidR="00113069" w:rsidRDefault="006638E0">
      <w:r>
        <w:t xml:space="preserve">Seconders: Whitney </w:t>
      </w:r>
      <w:proofErr w:type="spellStart"/>
      <w:r>
        <w:t>Buccicone</w:t>
      </w:r>
      <w:proofErr w:type="spellEnd"/>
      <w:r>
        <w:t>, ALA Councilor-At-Large</w:t>
      </w:r>
    </w:p>
    <w:p w14:paraId="00000029" w14:textId="77777777" w:rsidR="00113069" w:rsidRDefault="006638E0">
      <w:r>
        <w:lastRenderedPageBreak/>
        <w:t>Raymond Pun, ALA Councilor-At-Large</w:t>
      </w:r>
    </w:p>
    <w:sectPr w:rsidR="001130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4351" w14:textId="77777777" w:rsidR="006638E0" w:rsidRDefault="006638E0">
      <w:pPr>
        <w:spacing w:line="240" w:lineRule="auto"/>
      </w:pPr>
      <w:r>
        <w:separator/>
      </w:r>
    </w:p>
  </w:endnote>
  <w:endnote w:type="continuationSeparator" w:id="0">
    <w:p w14:paraId="78BE90B8" w14:textId="77777777" w:rsidR="006638E0" w:rsidRDefault="00663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FE65" w14:textId="77777777" w:rsidR="006638E0" w:rsidRDefault="006638E0">
      <w:pPr>
        <w:spacing w:line="240" w:lineRule="auto"/>
      </w:pPr>
      <w:r>
        <w:separator/>
      </w:r>
    </w:p>
  </w:footnote>
  <w:footnote w:type="continuationSeparator" w:id="0">
    <w:p w14:paraId="0CBDD90D" w14:textId="77777777" w:rsidR="006638E0" w:rsidRDefault="006638E0">
      <w:pPr>
        <w:spacing w:line="240" w:lineRule="auto"/>
      </w:pPr>
      <w:r>
        <w:continuationSeparator/>
      </w:r>
    </w:p>
  </w:footnote>
  <w:footnote w:id="1">
    <w:p w14:paraId="00000034" w14:textId="77777777" w:rsidR="00113069" w:rsidRDefault="006638E0">
      <w:pPr>
        <w:spacing w:line="240" w:lineRule="auto"/>
        <w:rPr>
          <w:sz w:val="20"/>
          <w:szCs w:val="20"/>
        </w:rPr>
      </w:pPr>
      <w:r>
        <w:rPr>
          <w:vertAlign w:val="superscript"/>
        </w:rPr>
        <w:footnoteRef/>
      </w:r>
      <w:r>
        <w:rPr>
          <w:sz w:val="20"/>
          <w:szCs w:val="20"/>
        </w:rPr>
        <w:t xml:space="preserve"> </w:t>
      </w:r>
      <w:proofErr w:type="spellStart"/>
      <w:r>
        <w:rPr>
          <w:sz w:val="20"/>
          <w:szCs w:val="20"/>
        </w:rPr>
        <w:t>Honma</w:t>
      </w:r>
      <w:proofErr w:type="spellEnd"/>
      <w:r>
        <w:rPr>
          <w:sz w:val="20"/>
          <w:szCs w:val="20"/>
        </w:rPr>
        <w:t>, Todd. “</w:t>
      </w:r>
      <w:proofErr w:type="spellStart"/>
      <w:r>
        <w:rPr>
          <w:sz w:val="20"/>
          <w:szCs w:val="20"/>
        </w:rPr>
        <w:t>Trippin</w:t>
      </w:r>
      <w:proofErr w:type="spellEnd"/>
      <w:r>
        <w:rPr>
          <w:sz w:val="20"/>
          <w:szCs w:val="20"/>
        </w:rPr>
        <w:t xml:space="preserve">’ Over the Color Line: The Invisibility of Race in Library and Information Studies.” </w:t>
      </w:r>
      <w:proofErr w:type="spellStart"/>
      <w:r>
        <w:rPr>
          <w:i/>
          <w:sz w:val="20"/>
          <w:szCs w:val="20"/>
        </w:rPr>
        <w:t>InterActions</w:t>
      </w:r>
      <w:proofErr w:type="spellEnd"/>
      <w:r>
        <w:rPr>
          <w:i/>
          <w:sz w:val="20"/>
          <w:szCs w:val="20"/>
        </w:rPr>
        <w:t>: UCLA Journal of Education and Information Studies</w:t>
      </w:r>
      <w:r>
        <w:rPr>
          <w:sz w:val="20"/>
          <w:szCs w:val="20"/>
        </w:rPr>
        <w:t>. 2005. Ac</w:t>
      </w:r>
      <w:r>
        <w:rPr>
          <w:sz w:val="20"/>
          <w:szCs w:val="20"/>
        </w:rPr>
        <w:t xml:space="preserve">cessed January 19, 2021. </w:t>
      </w:r>
      <w:hyperlink r:id="rId1">
        <w:r>
          <w:rPr>
            <w:color w:val="1155CC"/>
            <w:sz w:val="20"/>
            <w:szCs w:val="20"/>
            <w:u w:val="single"/>
          </w:rPr>
          <w:t>https://escholarship.org/uc/item/4nj0w1mp</w:t>
        </w:r>
      </w:hyperlink>
    </w:p>
    <w:p w14:paraId="00000035" w14:textId="77777777" w:rsidR="00113069" w:rsidRDefault="00113069">
      <w:pPr>
        <w:spacing w:line="240" w:lineRule="auto"/>
        <w:rPr>
          <w:sz w:val="20"/>
          <w:szCs w:val="20"/>
        </w:rPr>
      </w:pPr>
    </w:p>
  </w:footnote>
  <w:footnote w:id="2">
    <w:p w14:paraId="0000002A" w14:textId="77777777" w:rsidR="00113069" w:rsidRDefault="006638E0">
      <w:pPr>
        <w:spacing w:line="240" w:lineRule="auto"/>
        <w:rPr>
          <w:sz w:val="20"/>
          <w:szCs w:val="20"/>
        </w:rPr>
      </w:pPr>
      <w:r>
        <w:rPr>
          <w:vertAlign w:val="superscript"/>
        </w:rPr>
        <w:footnoteRef/>
      </w:r>
      <w:r>
        <w:rPr>
          <w:sz w:val="20"/>
          <w:szCs w:val="20"/>
        </w:rPr>
        <w:t xml:space="preserve"> </w:t>
      </w:r>
      <w:proofErr w:type="spellStart"/>
      <w:r>
        <w:rPr>
          <w:sz w:val="20"/>
          <w:szCs w:val="20"/>
        </w:rPr>
        <w:t>Sierpe</w:t>
      </w:r>
      <w:proofErr w:type="spellEnd"/>
      <w:r>
        <w:rPr>
          <w:sz w:val="20"/>
          <w:szCs w:val="20"/>
        </w:rPr>
        <w:t xml:space="preserve">, </w:t>
      </w:r>
      <w:proofErr w:type="spellStart"/>
      <w:r>
        <w:rPr>
          <w:sz w:val="20"/>
          <w:szCs w:val="20"/>
        </w:rPr>
        <w:t>Eino</w:t>
      </w:r>
      <w:proofErr w:type="spellEnd"/>
      <w:r>
        <w:rPr>
          <w:sz w:val="20"/>
          <w:szCs w:val="20"/>
        </w:rPr>
        <w:t>. "Confront</w:t>
      </w:r>
      <w:r>
        <w:rPr>
          <w:sz w:val="20"/>
          <w:szCs w:val="20"/>
        </w:rPr>
        <w:t xml:space="preserve">ing Librarianship and its Function in the Structure of White Supremacy and the </w:t>
      </w:r>
      <w:proofErr w:type="spellStart"/>
      <w:r>
        <w:rPr>
          <w:sz w:val="20"/>
          <w:szCs w:val="20"/>
        </w:rPr>
        <w:t>Ethno</w:t>
      </w:r>
      <w:proofErr w:type="spellEnd"/>
      <w:r>
        <w:rPr>
          <w:sz w:val="20"/>
          <w:szCs w:val="20"/>
        </w:rPr>
        <w:t xml:space="preserve"> State". </w:t>
      </w:r>
      <w:r>
        <w:rPr>
          <w:i/>
          <w:sz w:val="20"/>
          <w:szCs w:val="20"/>
        </w:rPr>
        <w:t>Journal of Radical Librarianship</w:t>
      </w:r>
      <w:r>
        <w:rPr>
          <w:sz w:val="20"/>
          <w:szCs w:val="20"/>
        </w:rPr>
        <w:t xml:space="preserve">. May 27, 2019. Accessed January 19, 2021. </w:t>
      </w:r>
      <w:hyperlink r:id="rId2">
        <w:r>
          <w:rPr>
            <w:color w:val="1155CC"/>
            <w:sz w:val="20"/>
            <w:szCs w:val="20"/>
            <w:u w:val="single"/>
          </w:rPr>
          <w:t>https://journal.radicallibrarianship.org/index.php/journal/article/view/39</w:t>
        </w:r>
      </w:hyperlink>
    </w:p>
    <w:p w14:paraId="0000002B" w14:textId="77777777" w:rsidR="00113069" w:rsidRDefault="00113069">
      <w:pPr>
        <w:spacing w:line="240" w:lineRule="auto"/>
        <w:rPr>
          <w:sz w:val="20"/>
          <w:szCs w:val="20"/>
        </w:rPr>
      </w:pPr>
    </w:p>
  </w:footnote>
  <w:footnote w:id="3">
    <w:p w14:paraId="0000002C" w14:textId="77777777" w:rsidR="00113069" w:rsidRDefault="006638E0">
      <w:pPr>
        <w:spacing w:line="240" w:lineRule="auto"/>
        <w:rPr>
          <w:sz w:val="20"/>
          <w:szCs w:val="20"/>
        </w:rPr>
      </w:pPr>
      <w:r>
        <w:rPr>
          <w:vertAlign w:val="superscript"/>
        </w:rPr>
        <w:footnoteRef/>
      </w:r>
      <w:r>
        <w:rPr>
          <w:sz w:val="20"/>
          <w:szCs w:val="20"/>
        </w:rPr>
        <w:t xml:space="preserve"> Ferretti, Jennifer A. "Neutrality is Hostility: The Impact of (False) Neutrality in Academic Librarianship." Medium. February 13, 2018. Accessed January 19, 2021. </w:t>
      </w:r>
      <w:hyperlink r:id="rId3">
        <w:r>
          <w:rPr>
            <w:color w:val="1155CC"/>
            <w:sz w:val="20"/>
            <w:szCs w:val="20"/>
            <w:u w:val="single"/>
          </w:rPr>
          <w:t>https://medium.com/@CityThatReads/neutrality-is-hostility-the-impact-of-false-neutrality-in-academic-librarianship-c07</w:t>
        </w:r>
        <w:r>
          <w:rPr>
            <w:color w:val="1155CC"/>
            <w:sz w:val="20"/>
            <w:szCs w:val="20"/>
            <w:u w:val="single"/>
          </w:rPr>
          <w:t>55879fb09</w:t>
        </w:r>
      </w:hyperlink>
    </w:p>
    <w:p w14:paraId="0000002D" w14:textId="77777777" w:rsidR="00113069" w:rsidRDefault="00113069">
      <w:pPr>
        <w:spacing w:line="240" w:lineRule="auto"/>
        <w:rPr>
          <w:sz w:val="20"/>
          <w:szCs w:val="20"/>
        </w:rPr>
      </w:pPr>
    </w:p>
  </w:footnote>
  <w:footnote w:id="4">
    <w:p w14:paraId="00000041" w14:textId="77777777" w:rsidR="00113069" w:rsidRDefault="006638E0">
      <w:pPr>
        <w:rPr>
          <w:sz w:val="20"/>
          <w:szCs w:val="20"/>
        </w:rPr>
      </w:pPr>
      <w:r>
        <w:rPr>
          <w:vertAlign w:val="superscript"/>
        </w:rPr>
        <w:footnoteRef/>
      </w:r>
      <w:r>
        <w:rPr>
          <w:sz w:val="20"/>
          <w:szCs w:val="20"/>
        </w:rPr>
        <w:t xml:space="preserve">ASERL Webinar. “Why Did I Leave the Profession — The DEI Perspective.”  December 10, 2020. Accessed January 19, 2021. </w:t>
      </w:r>
      <w:hyperlink r:id="rId4">
        <w:r>
          <w:rPr>
            <w:color w:val="1155CC"/>
            <w:sz w:val="20"/>
            <w:szCs w:val="20"/>
            <w:u w:val="single"/>
          </w:rPr>
          <w:t>https://vimeo.com/489791999</w:t>
        </w:r>
      </w:hyperlink>
    </w:p>
    <w:p w14:paraId="00000042" w14:textId="77777777" w:rsidR="00113069" w:rsidRDefault="00113069">
      <w:pPr>
        <w:spacing w:line="240" w:lineRule="auto"/>
        <w:rPr>
          <w:sz w:val="20"/>
          <w:szCs w:val="20"/>
        </w:rPr>
      </w:pPr>
    </w:p>
  </w:footnote>
  <w:footnote w:id="5">
    <w:p w14:paraId="0000002E" w14:textId="77777777" w:rsidR="00113069" w:rsidRDefault="006638E0">
      <w:pPr>
        <w:spacing w:line="240" w:lineRule="auto"/>
        <w:rPr>
          <w:sz w:val="20"/>
          <w:szCs w:val="20"/>
        </w:rPr>
      </w:pPr>
      <w:r>
        <w:rPr>
          <w:vertAlign w:val="superscript"/>
        </w:rPr>
        <w:footnoteRef/>
      </w:r>
      <w:r>
        <w:rPr>
          <w:sz w:val="20"/>
          <w:szCs w:val="20"/>
        </w:rPr>
        <w:t xml:space="preserve"> Kelley, Michael. “Diversity Never Happens: The Story of Minority Hiring Doesn’t Seem </w:t>
      </w:r>
      <w:proofErr w:type="gramStart"/>
      <w:r>
        <w:rPr>
          <w:sz w:val="20"/>
          <w:szCs w:val="20"/>
        </w:rPr>
        <w:t>To</w:t>
      </w:r>
      <w:proofErr w:type="gramEnd"/>
      <w:r>
        <w:rPr>
          <w:sz w:val="20"/>
          <w:szCs w:val="20"/>
        </w:rPr>
        <w:t xml:space="preserve"> Change Much.” </w:t>
      </w:r>
      <w:r>
        <w:rPr>
          <w:i/>
          <w:sz w:val="20"/>
          <w:szCs w:val="20"/>
        </w:rPr>
        <w:t>Library Journal</w:t>
      </w:r>
      <w:r>
        <w:rPr>
          <w:sz w:val="20"/>
          <w:szCs w:val="20"/>
        </w:rPr>
        <w:t xml:space="preserve">. February 20, 2013. Accessed January 19, 2021. </w:t>
      </w:r>
      <w:hyperlink r:id="rId5">
        <w:r>
          <w:rPr>
            <w:color w:val="1155CC"/>
            <w:sz w:val="20"/>
            <w:szCs w:val="20"/>
            <w:u w:val="single"/>
          </w:rPr>
          <w:t>http://lj.libraryjournal.com/2013/02/opinion/editorial/diversity-never-happens-the-story-of-minority-hiring-doesnt-seem-to-change-much/</w:t>
        </w:r>
      </w:hyperlink>
      <w:r>
        <w:rPr>
          <w:sz w:val="20"/>
          <w:szCs w:val="20"/>
        </w:rPr>
        <w:t xml:space="preserve"> </w:t>
      </w:r>
    </w:p>
    <w:p w14:paraId="0000002F" w14:textId="77777777" w:rsidR="00113069" w:rsidRDefault="00113069">
      <w:pPr>
        <w:spacing w:line="240" w:lineRule="auto"/>
        <w:rPr>
          <w:sz w:val="20"/>
          <w:szCs w:val="20"/>
        </w:rPr>
      </w:pPr>
    </w:p>
  </w:footnote>
  <w:footnote w:id="6">
    <w:p w14:paraId="00000047" w14:textId="77777777" w:rsidR="00113069" w:rsidRDefault="006638E0">
      <w:pPr>
        <w:spacing w:line="240" w:lineRule="auto"/>
        <w:rPr>
          <w:color w:val="0073CE"/>
          <w:sz w:val="20"/>
          <w:szCs w:val="20"/>
        </w:rPr>
      </w:pPr>
      <w:r>
        <w:rPr>
          <w:vertAlign w:val="superscript"/>
        </w:rPr>
        <w:footnoteRef/>
      </w:r>
      <w:r>
        <w:rPr>
          <w:sz w:val="16"/>
          <w:szCs w:val="16"/>
        </w:rPr>
        <w:t xml:space="preserve"> </w:t>
      </w:r>
      <w:r>
        <w:rPr>
          <w:color w:val="404040"/>
          <w:sz w:val="20"/>
          <w:szCs w:val="20"/>
        </w:rPr>
        <w:t xml:space="preserve">Hathcock, April. “White Librarianship in Blackface: Diversity Initiatives in LIS.” </w:t>
      </w:r>
      <w:r>
        <w:rPr>
          <w:i/>
          <w:color w:val="404040"/>
          <w:sz w:val="20"/>
          <w:szCs w:val="20"/>
        </w:rPr>
        <w:t>In the Library with the Lead Pipe</w:t>
      </w:r>
      <w:r>
        <w:rPr>
          <w:color w:val="404040"/>
          <w:sz w:val="20"/>
          <w:szCs w:val="20"/>
        </w:rPr>
        <w:t xml:space="preserve">. October 7, 2015. Accessed January 15, 2021. </w:t>
      </w:r>
      <w:hyperlink r:id="rId6">
        <w:r>
          <w:rPr>
            <w:color w:val="0073CE"/>
            <w:sz w:val="20"/>
            <w:szCs w:val="20"/>
          </w:rPr>
          <w:t>http://www.i</w:t>
        </w:r>
        <w:r>
          <w:rPr>
            <w:color w:val="0073CE"/>
            <w:sz w:val="20"/>
            <w:szCs w:val="20"/>
          </w:rPr>
          <w:t>nthelibrarywiththeleadpipe.org/2015/lis-diversity/</w:t>
        </w:r>
      </w:hyperlink>
    </w:p>
    <w:p w14:paraId="00000048" w14:textId="77777777" w:rsidR="00113069" w:rsidRDefault="00113069">
      <w:pPr>
        <w:spacing w:line="240" w:lineRule="auto"/>
        <w:rPr>
          <w:sz w:val="20"/>
          <w:szCs w:val="20"/>
        </w:rPr>
      </w:pPr>
    </w:p>
  </w:footnote>
  <w:footnote w:id="7">
    <w:p w14:paraId="00000030" w14:textId="77777777" w:rsidR="00113069" w:rsidRDefault="006638E0">
      <w:pPr>
        <w:spacing w:line="240" w:lineRule="auto"/>
        <w:rPr>
          <w:sz w:val="20"/>
          <w:szCs w:val="20"/>
          <w:highlight w:val="white"/>
        </w:rPr>
      </w:pPr>
      <w:r>
        <w:rPr>
          <w:vertAlign w:val="superscript"/>
        </w:rPr>
        <w:footnoteRef/>
      </w:r>
      <w:r>
        <w:rPr>
          <w:sz w:val="20"/>
          <w:szCs w:val="20"/>
        </w:rPr>
        <w:t xml:space="preserve"> </w:t>
      </w:r>
      <w:r>
        <w:rPr>
          <w:sz w:val="20"/>
          <w:szCs w:val="20"/>
          <w:highlight w:val="white"/>
        </w:rPr>
        <w:t>Frederick, Jennifer K., and Christine W</w:t>
      </w:r>
      <w:r>
        <w:rPr>
          <w:sz w:val="20"/>
          <w:szCs w:val="20"/>
          <w:highlight w:val="white"/>
        </w:rPr>
        <w:t xml:space="preserve">olff-Eisenberg. "Ithaka S+R US Library Survey 2019." Ithaka S+R. April 2, 2020. Accessed January 19, 2021. </w:t>
      </w:r>
      <w:hyperlink r:id="rId7">
        <w:r>
          <w:rPr>
            <w:color w:val="1155CC"/>
            <w:sz w:val="20"/>
            <w:szCs w:val="20"/>
            <w:highlight w:val="white"/>
            <w:u w:val="single"/>
          </w:rPr>
          <w:t>https://doi.org/10.18665/sr.312977</w:t>
        </w:r>
      </w:hyperlink>
      <w:r>
        <w:rPr>
          <w:sz w:val="20"/>
          <w:szCs w:val="20"/>
          <w:highlight w:val="white"/>
        </w:rPr>
        <w:t xml:space="preserve"> </w:t>
      </w:r>
    </w:p>
    <w:p w14:paraId="00000031" w14:textId="77777777" w:rsidR="00113069" w:rsidRDefault="00113069">
      <w:pPr>
        <w:spacing w:line="240" w:lineRule="auto"/>
        <w:rPr>
          <w:sz w:val="21"/>
          <w:szCs w:val="21"/>
          <w:highlight w:val="white"/>
        </w:rPr>
      </w:pPr>
    </w:p>
  </w:footnote>
  <w:footnote w:id="8">
    <w:p w14:paraId="00000032" w14:textId="77777777" w:rsidR="00113069" w:rsidRDefault="006638E0">
      <w:pPr>
        <w:spacing w:line="240" w:lineRule="auto"/>
        <w:rPr>
          <w:color w:val="333333"/>
          <w:sz w:val="20"/>
          <w:szCs w:val="20"/>
        </w:rPr>
      </w:pPr>
      <w:r>
        <w:rPr>
          <w:vertAlign w:val="superscript"/>
        </w:rPr>
        <w:footnoteRef/>
      </w:r>
      <w:r>
        <w:rPr>
          <w:sz w:val="20"/>
          <w:szCs w:val="20"/>
        </w:rPr>
        <w:t xml:space="preserve"> </w:t>
      </w:r>
      <w:proofErr w:type="spellStart"/>
      <w:r>
        <w:rPr>
          <w:color w:val="333333"/>
          <w:sz w:val="20"/>
          <w:szCs w:val="20"/>
        </w:rPr>
        <w:t>Vinopal</w:t>
      </w:r>
      <w:proofErr w:type="spellEnd"/>
      <w:r>
        <w:rPr>
          <w:color w:val="333333"/>
          <w:sz w:val="20"/>
          <w:szCs w:val="20"/>
        </w:rPr>
        <w:t xml:space="preserve">, Jennifer. "The Quest for Diversity in Library Staffing: From Awareness to Action." In the Library with the Lead Pipe. January 13, 2016. Accessed January 19, 2021. </w:t>
      </w:r>
      <w:hyperlink r:id="rId8">
        <w:r>
          <w:rPr>
            <w:color w:val="1155CC"/>
            <w:sz w:val="20"/>
            <w:szCs w:val="20"/>
            <w:u w:val="single"/>
          </w:rPr>
          <w:t>http://www.inthelibrarywiththeleadpipe.org/2016/quest-for-diversity/</w:t>
        </w:r>
      </w:hyperlink>
      <w:r>
        <w:rPr>
          <w:color w:val="333333"/>
          <w:sz w:val="20"/>
          <w:szCs w:val="20"/>
        </w:rPr>
        <w:t xml:space="preserve"> </w:t>
      </w:r>
    </w:p>
    <w:p w14:paraId="00000033" w14:textId="77777777" w:rsidR="00113069" w:rsidRDefault="00113069">
      <w:pPr>
        <w:spacing w:line="240" w:lineRule="auto"/>
        <w:rPr>
          <w:sz w:val="20"/>
          <w:szCs w:val="20"/>
        </w:rPr>
      </w:pPr>
    </w:p>
  </w:footnote>
  <w:footnote w:id="9">
    <w:p w14:paraId="0000003D" w14:textId="77777777" w:rsidR="00113069" w:rsidRDefault="006638E0">
      <w:pPr>
        <w:spacing w:line="240" w:lineRule="auto"/>
        <w:rPr>
          <w:sz w:val="20"/>
          <w:szCs w:val="20"/>
        </w:rPr>
      </w:pPr>
      <w:r>
        <w:rPr>
          <w:vertAlign w:val="superscript"/>
        </w:rPr>
        <w:footnoteRef/>
      </w:r>
      <w:r>
        <w:rPr>
          <w:sz w:val="20"/>
          <w:szCs w:val="20"/>
        </w:rPr>
        <w:t xml:space="preserve"> American Library Association. “Code of Eth</w:t>
      </w:r>
      <w:r>
        <w:rPr>
          <w:sz w:val="20"/>
          <w:szCs w:val="20"/>
        </w:rPr>
        <w:t xml:space="preserve">ics.” January 22, 2008. Accessed January 19, 2021. </w:t>
      </w:r>
      <w:hyperlink r:id="rId9">
        <w:r>
          <w:rPr>
            <w:color w:val="1155CC"/>
            <w:sz w:val="20"/>
            <w:szCs w:val="20"/>
            <w:u w:val="single"/>
          </w:rPr>
          <w:t>http://www.ala.org/tools/ethics</w:t>
        </w:r>
      </w:hyperlink>
    </w:p>
    <w:p w14:paraId="0000003E" w14:textId="77777777" w:rsidR="00113069" w:rsidRDefault="00113069">
      <w:pPr>
        <w:spacing w:line="240" w:lineRule="auto"/>
        <w:rPr>
          <w:sz w:val="20"/>
          <w:szCs w:val="20"/>
        </w:rPr>
      </w:pPr>
    </w:p>
  </w:footnote>
  <w:footnote w:id="10">
    <w:p w14:paraId="0000003F" w14:textId="77777777" w:rsidR="00113069" w:rsidRDefault="006638E0">
      <w:pPr>
        <w:spacing w:line="240" w:lineRule="auto"/>
        <w:rPr>
          <w:sz w:val="20"/>
          <w:szCs w:val="20"/>
        </w:rPr>
      </w:pPr>
      <w:r>
        <w:rPr>
          <w:vertAlign w:val="superscript"/>
        </w:rPr>
        <w:footnoteRef/>
      </w:r>
      <w:r>
        <w:rPr>
          <w:sz w:val="20"/>
          <w:szCs w:val="20"/>
        </w:rPr>
        <w:t xml:space="preserve"> American Library Association. “Interpretations of the Library Bill of Rights.” Accessed January 19, 2021.  </w:t>
      </w:r>
      <w:hyperlink r:id="rId10">
        <w:r>
          <w:rPr>
            <w:color w:val="1155CC"/>
            <w:sz w:val="20"/>
            <w:szCs w:val="20"/>
            <w:u w:val="single"/>
          </w:rPr>
          <w:t>http://www.ala.org/advocacy/intfreedom/librarybill/interpretations</w:t>
        </w:r>
      </w:hyperlink>
    </w:p>
    <w:p w14:paraId="00000040" w14:textId="77777777" w:rsidR="00113069" w:rsidRDefault="00113069">
      <w:pPr>
        <w:spacing w:line="240" w:lineRule="auto"/>
        <w:rPr>
          <w:sz w:val="20"/>
          <w:szCs w:val="20"/>
        </w:rPr>
      </w:pPr>
    </w:p>
  </w:footnote>
  <w:footnote w:id="11">
    <w:p w14:paraId="00000049" w14:textId="77777777" w:rsidR="00113069" w:rsidRDefault="006638E0">
      <w:pPr>
        <w:spacing w:line="240" w:lineRule="auto"/>
        <w:rPr>
          <w:sz w:val="20"/>
          <w:szCs w:val="20"/>
        </w:rPr>
      </w:pPr>
      <w:r>
        <w:rPr>
          <w:vertAlign w:val="superscript"/>
        </w:rPr>
        <w:footnoteRef/>
      </w:r>
      <w:r>
        <w:rPr>
          <w:sz w:val="20"/>
          <w:szCs w:val="20"/>
        </w:rPr>
        <w:t xml:space="preserve"> American Library </w:t>
      </w:r>
      <w:proofErr w:type="spellStart"/>
      <w:proofErr w:type="gramStart"/>
      <w:r>
        <w:rPr>
          <w:sz w:val="20"/>
          <w:szCs w:val="20"/>
        </w:rPr>
        <w:t>Association.“</w:t>
      </w:r>
      <w:proofErr w:type="gramEnd"/>
      <w:r>
        <w:rPr>
          <w:sz w:val="20"/>
          <w:szCs w:val="20"/>
        </w:rPr>
        <w:t>ALA</w:t>
      </w:r>
      <w:proofErr w:type="spellEnd"/>
      <w:r>
        <w:rPr>
          <w:sz w:val="20"/>
          <w:szCs w:val="20"/>
        </w:rPr>
        <w:t xml:space="preserve"> Takes Responsibility for Past Racism, Pledges a More Equitable Association.” June 26, 2020. Accessed January 19, 2021.  </w:t>
      </w:r>
      <w:hyperlink r:id="rId11">
        <w:r>
          <w:rPr>
            <w:color w:val="1155CC"/>
            <w:sz w:val="20"/>
            <w:szCs w:val="20"/>
            <w:u w:val="single"/>
          </w:rPr>
          <w:t>http://www.ala.org/news/press-releases/2020/06/ala-takes-responsibility-past-racism-pledges-more-equitable-association</w:t>
        </w:r>
      </w:hyperlink>
    </w:p>
    <w:p w14:paraId="0000004A" w14:textId="77777777" w:rsidR="00113069" w:rsidRDefault="00113069">
      <w:pPr>
        <w:spacing w:line="240" w:lineRule="auto"/>
        <w:rPr>
          <w:sz w:val="20"/>
          <w:szCs w:val="20"/>
        </w:rPr>
      </w:pPr>
    </w:p>
  </w:footnote>
  <w:footnote w:id="12">
    <w:p w14:paraId="00000036" w14:textId="77777777" w:rsidR="00113069" w:rsidRDefault="006638E0">
      <w:pPr>
        <w:spacing w:line="240" w:lineRule="auto"/>
        <w:rPr>
          <w:sz w:val="18"/>
          <w:szCs w:val="18"/>
        </w:rPr>
      </w:pPr>
      <w:r>
        <w:rPr>
          <w:vertAlign w:val="superscript"/>
        </w:rPr>
        <w:footnoteRef/>
      </w:r>
      <w:r>
        <w:rPr>
          <w:sz w:val="20"/>
          <w:szCs w:val="20"/>
        </w:rPr>
        <w:t xml:space="preserve"> Burke, Monica. “Moving Beyond the Statements: The Need for Action to Address Structural Racism at Predominantly White Institu</w:t>
      </w:r>
      <w:r>
        <w:rPr>
          <w:sz w:val="20"/>
          <w:szCs w:val="20"/>
        </w:rPr>
        <w:t xml:space="preserve">tions”. </w:t>
      </w:r>
      <w:r>
        <w:rPr>
          <w:i/>
          <w:sz w:val="20"/>
          <w:szCs w:val="20"/>
        </w:rPr>
        <w:t>International Journal of Multidisciplinary Perspectives in Higher Education</w:t>
      </w:r>
      <w:r>
        <w:rPr>
          <w:sz w:val="20"/>
          <w:szCs w:val="20"/>
        </w:rPr>
        <w:t xml:space="preserve"> 5, no. 1: 174–179. August 15, 2020. Accessed January 19, 2021. </w:t>
      </w:r>
      <w:hyperlink r:id="rId12">
        <w:r>
          <w:rPr>
            <w:color w:val="1155CC"/>
            <w:sz w:val="20"/>
            <w:szCs w:val="20"/>
            <w:u w:val="single"/>
          </w:rPr>
          <w:t>https://www.ojed.org/index.php/jim</w:t>
        </w:r>
        <w:r>
          <w:rPr>
            <w:color w:val="1155CC"/>
            <w:sz w:val="20"/>
            <w:szCs w:val="20"/>
            <w:u w:val="single"/>
          </w:rPr>
          <w:t>phe/article/view/2632</w:t>
        </w:r>
      </w:hyperlink>
    </w:p>
    <w:p w14:paraId="00000037" w14:textId="77777777" w:rsidR="00113069" w:rsidRDefault="00113069">
      <w:pPr>
        <w:spacing w:line="240" w:lineRule="auto"/>
        <w:rPr>
          <w:sz w:val="18"/>
          <w:szCs w:val="18"/>
        </w:rPr>
      </w:pPr>
    </w:p>
  </w:footnote>
  <w:footnote w:id="13">
    <w:p w14:paraId="00000038" w14:textId="77777777" w:rsidR="00113069" w:rsidRDefault="006638E0">
      <w:pPr>
        <w:spacing w:line="240" w:lineRule="auto"/>
        <w:rPr>
          <w:color w:val="222222"/>
          <w:sz w:val="20"/>
          <w:szCs w:val="20"/>
          <w:highlight w:val="white"/>
        </w:rPr>
      </w:pPr>
      <w:r>
        <w:rPr>
          <w:vertAlign w:val="superscript"/>
        </w:rPr>
        <w:footnoteRef/>
      </w:r>
      <w:r>
        <w:rPr>
          <w:sz w:val="20"/>
          <w:szCs w:val="20"/>
        </w:rPr>
        <w:t xml:space="preserve"> </w:t>
      </w:r>
      <w:r>
        <w:rPr>
          <w:color w:val="222222"/>
          <w:sz w:val="20"/>
          <w:szCs w:val="20"/>
          <w:highlight w:val="white"/>
        </w:rPr>
        <w:t xml:space="preserve">Beck, Elizabeth. "Transforming Communities: Restorative Justice as a Community Building Strategy." </w:t>
      </w:r>
      <w:r>
        <w:rPr>
          <w:i/>
          <w:color w:val="222222"/>
          <w:sz w:val="20"/>
          <w:szCs w:val="20"/>
          <w:highlight w:val="white"/>
        </w:rPr>
        <w:t>Journal of Community Practice</w:t>
      </w:r>
      <w:r>
        <w:rPr>
          <w:color w:val="222222"/>
          <w:sz w:val="20"/>
          <w:szCs w:val="20"/>
          <w:highlight w:val="white"/>
        </w:rPr>
        <w:t xml:space="preserve"> 20, no. 4: 380-401. December 26, 2012. Accessed January 19, 2021. </w:t>
      </w:r>
      <w:proofErr w:type="spellStart"/>
      <w:r>
        <w:rPr>
          <w:color w:val="222222"/>
          <w:sz w:val="19"/>
          <w:szCs w:val="19"/>
          <w:highlight w:val="white"/>
        </w:rPr>
        <w:t>doi</w:t>
      </w:r>
      <w:proofErr w:type="spellEnd"/>
      <w:r>
        <w:rPr>
          <w:color w:val="222222"/>
          <w:sz w:val="19"/>
          <w:szCs w:val="19"/>
          <w:highlight w:val="white"/>
        </w:rPr>
        <w:t xml:space="preserve">: </w:t>
      </w:r>
      <w:hyperlink r:id="rId13">
        <w:r>
          <w:rPr>
            <w:color w:val="1155CC"/>
            <w:sz w:val="19"/>
            <w:szCs w:val="19"/>
            <w:highlight w:val="white"/>
            <w:u w:val="single"/>
          </w:rPr>
          <w:t>10.1080/10705422.2012.732003</w:t>
        </w:r>
      </w:hyperlink>
    </w:p>
    <w:p w14:paraId="00000039" w14:textId="77777777" w:rsidR="00113069" w:rsidRDefault="00113069">
      <w:pPr>
        <w:spacing w:line="240" w:lineRule="auto"/>
        <w:rPr>
          <w:color w:val="222222"/>
          <w:sz w:val="20"/>
          <w:szCs w:val="20"/>
          <w:highlight w:val="white"/>
        </w:rPr>
      </w:pPr>
    </w:p>
  </w:footnote>
  <w:footnote w:id="14">
    <w:p w14:paraId="0000003B" w14:textId="77777777" w:rsidR="00113069" w:rsidRDefault="006638E0">
      <w:pPr>
        <w:spacing w:line="240" w:lineRule="auto"/>
        <w:rPr>
          <w:sz w:val="20"/>
          <w:szCs w:val="20"/>
        </w:rPr>
      </w:pPr>
      <w:r>
        <w:rPr>
          <w:vertAlign w:val="superscript"/>
        </w:rPr>
        <w:footnoteRef/>
      </w:r>
      <w:r>
        <w:rPr>
          <w:sz w:val="20"/>
          <w:szCs w:val="20"/>
        </w:rPr>
        <w:t xml:space="preserve"> Eco, Umbert</w:t>
      </w:r>
      <w:r>
        <w:rPr>
          <w:sz w:val="20"/>
          <w:szCs w:val="20"/>
        </w:rPr>
        <w:t xml:space="preserve">o. “Ur-Fascism”. </w:t>
      </w:r>
      <w:r>
        <w:rPr>
          <w:i/>
          <w:sz w:val="20"/>
          <w:szCs w:val="20"/>
        </w:rPr>
        <w:t>The New York Review</w:t>
      </w:r>
      <w:r>
        <w:rPr>
          <w:sz w:val="20"/>
          <w:szCs w:val="20"/>
        </w:rPr>
        <w:t xml:space="preserve">. June 22, 1995. Accessed January 19, 2021. </w:t>
      </w:r>
      <w:hyperlink r:id="rId14">
        <w:r>
          <w:rPr>
            <w:color w:val="1155CC"/>
            <w:sz w:val="20"/>
            <w:szCs w:val="20"/>
            <w:u w:val="single"/>
          </w:rPr>
          <w:t>https://www.nybooks.com/articles/1995/06/22/ur-fascism/</w:t>
        </w:r>
      </w:hyperlink>
    </w:p>
    <w:p w14:paraId="0000003C" w14:textId="77777777" w:rsidR="00113069" w:rsidRDefault="00113069">
      <w:pPr>
        <w:spacing w:line="240" w:lineRule="auto"/>
        <w:rPr>
          <w:sz w:val="20"/>
          <w:szCs w:val="20"/>
        </w:rPr>
      </w:pPr>
    </w:p>
  </w:footnote>
  <w:footnote w:id="15">
    <w:p w14:paraId="0000003A" w14:textId="77777777" w:rsidR="00113069" w:rsidRDefault="006638E0">
      <w:pPr>
        <w:spacing w:line="240" w:lineRule="auto"/>
        <w:rPr>
          <w:sz w:val="20"/>
          <w:szCs w:val="20"/>
        </w:rPr>
      </w:pPr>
      <w:r>
        <w:rPr>
          <w:vertAlign w:val="superscript"/>
        </w:rPr>
        <w:footnoteRef/>
      </w:r>
      <w:r>
        <w:rPr>
          <w:sz w:val="20"/>
          <w:szCs w:val="20"/>
        </w:rPr>
        <w:t xml:space="preserve"> United Nations. “The Universal Declaration of Human Rights.” December 10, 1948. Accessed January 19, 2021. </w:t>
      </w:r>
      <w:hyperlink r:id="rId15">
        <w:r>
          <w:rPr>
            <w:color w:val="1155CC"/>
            <w:sz w:val="20"/>
            <w:szCs w:val="20"/>
            <w:u w:val="single"/>
          </w:rPr>
          <w:t>https://www.un.org/en/universal-declaration-human-rights/</w:t>
        </w:r>
      </w:hyperlink>
    </w:p>
  </w:footnote>
  <w:footnote w:id="16">
    <w:p w14:paraId="00000043" w14:textId="77777777" w:rsidR="00113069" w:rsidRDefault="006638E0">
      <w:pPr>
        <w:spacing w:line="240" w:lineRule="auto"/>
        <w:rPr>
          <w:sz w:val="20"/>
          <w:szCs w:val="20"/>
        </w:rPr>
      </w:pPr>
      <w:r>
        <w:rPr>
          <w:vertAlign w:val="superscript"/>
        </w:rPr>
        <w:footnoteRef/>
      </w:r>
      <w:r>
        <w:rPr>
          <w:color w:val="333333"/>
          <w:sz w:val="20"/>
          <w:szCs w:val="20"/>
          <w:highlight w:val="white"/>
        </w:rPr>
        <w:t>Knowl</w:t>
      </w:r>
      <w:r>
        <w:rPr>
          <w:sz w:val="20"/>
          <w:szCs w:val="20"/>
          <w:highlight w:val="white"/>
        </w:rPr>
        <w:t xml:space="preserve">es, </w:t>
      </w:r>
      <w:proofErr w:type="spellStart"/>
      <w:r>
        <w:rPr>
          <w:sz w:val="20"/>
          <w:szCs w:val="20"/>
          <w:highlight w:val="white"/>
        </w:rPr>
        <w:t>Em</w:t>
      </w:r>
      <w:proofErr w:type="spellEnd"/>
      <w:r>
        <w:rPr>
          <w:sz w:val="20"/>
          <w:szCs w:val="20"/>
          <w:highlight w:val="white"/>
        </w:rPr>
        <w:t xml:space="preserve"> Claire. “Can Libraries Be Neutral? Should They St</w:t>
      </w:r>
      <w:r>
        <w:rPr>
          <w:sz w:val="20"/>
          <w:szCs w:val="20"/>
          <w:highlight w:val="white"/>
        </w:rPr>
        <w:t xml:space="preserve">rive </w:t>
      </w:r>
      <w:proofErr w:type="gramStart"/>
      <w:r>
        <w:rPr>
          <w:sz w:val="20"/>
          <w:szCs w:val="20"/>
          <w:highlight w:val="white"/>
        </w:rPr>
        <w:t>To</w:t>
      </w:r>
      <w:proofErr w:type="gramEnd"/>
      <w:r>
        <w:rPr>
          <w:sz w:val="20"/>
          <w:szCs w:val="20"/>
          <w:highlight w:val="white"/>
        </w:rPr>
        <w:t xml:space="preserve"> Be Neutral?”. March 26, 2018. Accessed January 19, 2021. </w:t>
      </w:r>
      <w:hyperlink r:id="rId16">
        <w:r>
          <w:rPr>
            <w:sz w:val="20"/>
            <w:szCs w:val="20"/>
            <w:highlight w:val="white"/>
          </w:rPr>
          <w:t>http://slis.simmons.edu/blogs/emclaireknowl</w:t>
        </w:r>
        <w:r>
          <w:rPr>
            <w:sz w:val="20"/>
            <w:szCs w:val="20"/>
            <w:highlight w:val="white"/>
          </w:rPr>
          <w:t>es-publications/2018/03/26/can-libraries-be-neutral-should-they-strive-to-be-neutral/</w:t>
        </w:r>
      </w:hyperlink>
    </w:p>
    <w:p w14:paraId="00000044" w14:textId="77777777" w:rsidR="00113069" w:rsidRDefault="00113069">
      <w:pPr>
        <w:spacing w:line="240" w:lineRule="auto"/>
        <w:rPr>
          <w:sz w:val="20"/>
          <w:szCs w:val="20"/>
        </w:rPr>
      </w:pPr>
    </w:p>
  </w:footnote>
  <w:footnote w:id="17">
    <w:p w14:paraId="00000045" w14:textId="77777777" w:rsidR="00113069" w:rsidRDefault="006638E0">
      <w:pPr>
        <w:spacing w:line="240" w:lineRule="auto"/>
        <w:rPr>
          <w:sz w:val="20"/>
          <w:szCs w:val="20"/>
          <w:highlight w:val="white"/>
        </w:rPr>
      </w:pPr>
      <w:r>
        <w:rPr>
          <w:vertAlign w:val="superscript"/>
        </w:rPr>
        <w:footnoteRef/>
      </w:r>
      <w:r>
        <w:rPr>
          <w:sz w:val="20"/>
          <w:szCs w:val="20"/>
        </w:rPr>
        <w:t xml:space="preserve"> </w:t>
      </w:r>
      <w:r>
        <w:rPr>
          <w:sz w:val="20"/>
          <w:szCs w:val="20"/>
          <w:highlight w:val="white"/>
        </w:rPr>
        <w:t xml:space="preserve">Scott, Dani and Saunders, Laura. “Neutrality in Public Libraries: How Are We Defining One of our Core Values?”. </w:t>
      </w:r>
      <w:r>
        <w:rPr>
          <w:i/>
          <w:sz w:val="20"/>
          <w:szCs w:val="20"/>
          <w:highlight w:val="white"/>
        </w:rPr>
        <w:t>Journal of Librarianship and Information Science</w:t>
      </w:r>
      <w:r>
        <w:rPr>
          <w:sz w:val="20"/>
          <w:szCs w:val="20"/>
          <w:highlight w:val="white"/>
        </w:rPr>
        <w:t xml:space="preserve">. June </w:t>
      </w:r>
      <w:r>
        <w:rPr>
          <w:sz w:val="20"/>
          <w:szCs w:val="20"/>
          <w:highlight w:val="white"/>
        </w:rPr>
        <w:t xml:space="preserve">30, 2020. Accessed January 19, 2021. </w:t>
      </w:r>
      <w:proofErr w:type="spellStart"/>
      <w:r>
        <w:rPr>
          <w:sz w:val="20"/>
          <w:szCs w:val="20"/>
          <w:highlight w:val="white"/>
        </w:rPr>
        <w:t>doi</w:t>
      </w:r>
      <w:proofErr w:type="spellEnd"/>
      <w:r>
        <w:rPr>
          <w:sz w:val="20"/>
          <w:szCs w:val="20"/>
          <w:highlight w:val="white"/>
        </w:rPr>
        <w:t xml:space="preserve">: </w:t>
      </w:r>
      <w:hyperlink r:id="rId17">
        <w:r>
          <w:rPr>
            <w:sz w:val="20"/>
            <w:szCs w:val="20"/>
            <w:highlight w:val="white"/>
            <w:u w:val="single"/>
          </w:rPr>
          <w:t>10.1177/0961000620935501</w:t>
        </w:r>
      </w:hyperlink>
    </w:p>
    <w:p w14:paraId="00000046" w14:textId="77777777" w:rsidR="00113069" w:rsidRDefault="00113069">
      <w:pPr>
        <w:spacing w:line="240" w:lineRule="auto"/>
        <w:rPr>
          <w:sz w:val="20"/>
          <w:szCs w:val="20"/>
          <w:highlight w:val="white"/>
        </w:rPr>
      </w:pPr>
    </w:p>
  </w:footnote>
  <w:footnote w:id="18">
    <w:p w14:paraId="0000004B" w14:textId="77777777" w:rsidR="00113069" w:rsidRDefault="006638E0">
      <w:pPr>
        <w:spacing w:line="240" w:lineRule="auto"/>
        <w:rPr>
          <w:sz w:val="20"/>
          <w:szCs w:val="20"/>
        </w:rPr>
      </w:pPr>
      <w:r>
        <w:rPr>
          <w:vertAlign w:val="superscript"/>
        </w:rPr>
        <w:footnoteRef/>
      </w:r>
      <w:r>
        <w:rPr>
          <w:sz w:val="20"/>
          <w:szCs w:val="20"/>
        </w:rPr>
        <w:t xml:space="preserve">American Library </w:t>
      </w:r>
      <w:proofErr w:type="spellStart"/>
      <w:proofErr w:type="gramStart"/>
      <w:r>
        <w:rPr>
          <w:sz w:val="20"/>
          <w:szCs w:val="20"/>
        </w:rPr>
        <w:t>Association.“</w:t>
      </w:r>
      <w:proofErr w:type="gramEnd"/>
      <w:r>
        <w:rPr>
          <w:sz w:val="20"/>
          <w:szCs w:val="20"/>
        </w:rPr>
        <w:t>ALA</w:t>
      </w:r>
      <w:proofErr w:type="spellEnd"/>
      <w:r>
        <w:rPr>
          <w:sz w:val="20"/>
          <w:szCs w:val="20"/>
        </w:rPr>
        <w:t xml:space="preserve"> Takes Respo</w:t>
      </w:r>
      <w:r>
        <w:rPr>
          <w:sz w:val="20"/>
          <w:szCs w:val="20"/>
        </w:rPr>
        <w:t xml:space="preserve">nsibility for Past Racism, Pledges a More Equitable Association.” June 26, 2020. Accessed January 19, 2021.  </w:t>
      </w:r>
      <w:hyperlink r:id="rId18">
        <w:r>
          <w:rPr>
            <w:color w:val="1155CC"/>
            <w:sz w:val="20"/>
            <w:szCs w:val="20"/>
            <w:u w:val="single"/>
          </w:rPr>
          <w:t>http://ww</w:t>
        </w:r>
        <w:r>
          <w:rPr>
            <w:color w:val="1155CC"/>
            <w:sz w:val="20"/>
            <w:szCs w:val="20"/>
            <w:u w:val="single"/>
          </w:rPr>
          <w:t>w.ala.org/news/press-releases/2020/06/ala-takes-responsibility-past-racism-pledges-more-equitable-association</w:t>
        </w:r>
      </w:hyperlink>
    </w:p>
    <w:p w14:paraId="0000004C" w14:textId="77777777" w:rsidR="00113069" w:rsidRDefault="00113069">
      <w:pPr>
        <w:spacing w:line="240" w:lineRule="auto"/>
        <w:rPr>
          <w:sz w:val="20"/>
          <w:szCs w:val="20"/>
        </w:rPr>
      </w:pPr>
    </w:p>
  </w:footnote>
  <w:footnote w:id="19">
    <w:p w14:paraId="0000004D" w14:textId="77777777" w:rsidR="00113069" w:rsidRDefault="006638E0">
      <w:pPr>
        <w:spacing w:line="240" w:lineRule="auto"/>
        <w:rPr>
          <w:sz w:val="20"/>
          <w:szCs w:val="20"/>
        </w:rPr>
      </w:pPr>
      <w:r>
        <w:rPr>
          <w:vertAlign w:val="superscript"/>
        </w:rPr>
        <w:footnoteRef/>
      </w:r>
      <w:r>
        <w:rPr>
          <w:sz w:val="20"/>
          <w:szCs w:val="20"/>
        </w:rPr>
        <w:t xml:space="preserve">American Library Association. “Final Report of the ALA Task Force on Equity, Diversity, and Inclusion.” June 2016. Accessed January 19, 2021.  </w:t>
      </w:r>
      <w:hyperlink r:id="rId19">
        <w:r>
          <w:rPr>
            <w:color w:val="1155CC"/>
            <w:sz w:val="20"/>
            <w:szCs w:val="20"/>
            <w:u w:val="single"/>
          </w:rPr>
          <w:t>http://www.ala.org/aboutala/sites/ala.org.aboutala/files/content/TFEDIFinalReport_ALA_CONNECT.pdf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3CC"/>
    <w:multiLevelType w:val="multilevel"/>
    <w:tmpl w:val="09683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526566"/>
    <w:multiLevelType w:val="multilevel"/>
    <w:tmpl w:val="674E9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zc3MDYzMzS0NDdU0lEKTi0uzszPAykwrAUAKPBIjSwAAAA="/>
  </w:docVars>
  <w:rsids>
    <w:rsidRoot w:val="00113069"/>
    <w:rsid w:val="00113069"/>
    <w:rsid w:val="006638E0"/>
    <w:rsid w:val="00DC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3EB"/>
  <w15:docId w15:val="{56A04D23-FC91-4A66-A83C-28F05D5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tools/ethics" TargetMode="External"/><Relationship Id="rId12" Type="http://schemas.openxmlformats.org/officeDocument/2006/relationships/hyperlink" Target="http://www.ala.org/advocacy/intfreedom/core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corevalues" TargetMode="External"/><Relationship Id="rId5" Type="http://schemas.openxmlformats.org/officeDocument/2006/relationships/footnotes" Target="footnotes.xml"/><Relationship Id="rId10" Type="http://schemas.openxmlformats.org/officeDocument/2006/relationships/hyperlink" Target="http://www.ala.org/advocacy/spectrum" TargetMode="External"/><Relationship Id="rId4" Type="http://schemas.openxmlformats.org/officeDocument/2006/relationships/webSettings" Target="webSettings.xml"/><Relationship Id="rId9" Type="http://schemas.openxmlformats.org/officeDocument/2006/relationships/hyperlink" Target="http://www.ala.org/news/press-releases/2020/06/ala-takes-responsibility-past-racism-pledges-more-equitable-associ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thelibrarywiththeleadpipe.org/2016/quest-for-diversity/" TargetMode="External"/><Relationship Id="rId13" Type="http://schemas.openxmlformats.org/officeDocument/2006/relationships/hyperlink" Target="https://doi.org/10.1080/10705422.2012.732003" TargetMode="External"/><Relationship Id="rId18" Type="http://schemas.openxmlformats.org/officeDocument/2006/relationships/hyperlink" Target="http://www.ala.org/news/press-releases/2020/06/ala-takes-responsibility-past-racism-pledges-more-equitable-association" TargetMode="External"/><Relationship Id="rId3" Type="http://schemas.openxmlformats.org/officeDocument/2006/relationships/hyperlink" Target="https://medium.com/@CityThatReads/neutrality-is-hostility-the-impact-of-false-neutrality-in-academic-librarianship-c0755879fb09" TargetMode="External"/><Relationship Id="rId7" Type="http://schemas.openxmlformats.org/officeDocument/2006/relationships/hyperlink" Target="https://doi.org/10.18665/sr.312977" TargetMode="External"/><Relationship Id="rId12" Type="http://schemas.openxmlformats.org/officeDocument/2006/relationships/hyperlink" Target="https://www.ojed.org/index.php/jimphe/article/view/2632" TargetMode="External"/><Relationship Id="rId17" Type="http://schemas.openxmlformats.org/officeDocument/2006/relationships/hyperlink" Target="https://doi.org/10.1177/0961000620935501" TargetMode="External"/><Relationship Id="rId2" Type="http://schemas.openxmlformats.org/officeDocument/2006/relationships/hyperlink" Target="https://journal.radicallibrarianship.org/index.php/journal/article/view/39" TargetMode="External"/><Relationship Id="rId16" Type="http://schemas.openxmlformats.org/officeDocument/2006/relationships/hyperlink" Target="http://slis.simmons.edu/blogs/emclaireknowles-publications/2018/03/26/can-libraries-be-neutral-should-they-strive-to-be-neutral/" TargetMode="External"/><Relationship Id="rId1" Type="http://schemas.openxmlformats.org/officeDocument/2006/relationships/hyperlink" Target="https://escholarship.org/uc/item/4nj0w1mp" TargetMode="External"/><Relationship Id="rId6" Type="http://schemas.openxmlformats.org/officeDocument/2006/relationships/hyperlink" Target="http://www.inthelibrarywiththeleadpipe.org/2015/lis-diversity/" TargetMode="External"/><Relationship Id="rId11" Type="http://schemas.openxmlformats.org/officeDocument/2006/relationships/hyperlink" Target="http://www.ala.org/news/press-releases/2020/06/ala-takes-responsibility-past-racism-pledges-more-equitable-association" TargetMode="External"/><Relationship Id="rId5" Type="http://schemas.openxmlformats.org/officeDocument/2006/relationships/hyperlink" Target="http://lj.libraryjournal.com/2013/02/opinion/editorial/diversity-never-happens-the-story-of-minority-hiring-doesnt-seem-to-change-much/" TargetMode="External"/><Relationship Id="rId15" Type="http://schemas.openxmlformats.org/officeDocument/2006/relationships/hyperlink" Target="https://www.un.org/en/universal-declaration-human-rights/" TargetMode="External"/><Relationship Id="rId10" Type="http://schemas.openxmlformats.org/officeDocument/2006/relationships/hyperlink" Target="http://www.ala.org/advocacy/intfreedom/librarybill/interpretations" TargetMode="External"/><Relationship Id="rId19" Type="http://schemas.openxmlformats.org/officeDocument/2006/relationships/hyperlink" Target="http://www.ala.org/aboutala/sites/ala.org.aboutala/files/content/TFEDIFinalReport_ALA_CONNECT.pdf" TargetMode="External"/><Relationship Id="rId4" Type="http://schemas.openxmlformats.org/officeDocument/2006/relationships/hyperlink" Target="https://vimeo.com/489791999" TargetMode="External"/><Relationship Id="rId9" Type="http://schemas.openxmlformats.org/officeDocument/2006/relationships/hyperlink" Target="http://www.ala.org/tools/ethics" TargetMode="External"/><Relationship Id="rId14" Type="http://schemas.openxmlformats.org/officeDocument/2006/relationships/hyperlink" Target="https://www.nybooks.com/articles/1995/06/22/ur-fas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Cronk, Lindsay</cp:lastModifiedBy>
  <cp:revision>2</cp:revision>
  <dcterms:created xsi:type="dcterms:W3CDTF">2021-01-19T22:09:00Z</dcterms:created>
  <dcterms:modified xsi:type="dcterms:W3CDTF">2021-01-19T22:09:00Z</dcterms:modified>
</cp:coreProperties>
</file>