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i w:val="1"/>
        </w:rPr>
      </w:pPr>
      <w:bookmarkStart w:colFirst="0" w:colLast="0" w:name="_p451qssne69" w:id="0"/>
      <w:bookmarkEnd w:id="0"/>
      <w:r w:rsidDel="00000000" w:rsidR="00000000" w:rsidRPr="00000000">
        <w:rPr>
          <w:rFonts w:ascii="Times New Roman" w:cs="Times New Roman" w:eastAsia="Times New Roman" w:hAnsi="Times New Roman"/>
          <w:rtl w:val="0"/>
        </w:rPr>
        <w:t xml:space="preserve">Draft</w:t>
      </w:r>
      <w:r w:rsidDel="00000000" w:rsidR="00000000" w:rsidRPr="00000000">
        <w:rPr>
          <w:rFonts w:ascii="Times New Roman" w:cs="Times New Roman" w:eastAsia="Times New Roman" w:hAnsi="Times New Roman"/>
          <w:rtl w:val="0"/>
        </w:rPr>
        <w:t xml:space="preserve">: Access to Digital Resources and Services: An Interpretation of the </w:t>
      </w:r>
      <w:r w:rsidDel="00000000" w:rsidR="00000000" w:rsidRPr="00000000">
        <w:rPr>
          <w:rFonts w:ascii="Times New Roman" w:cs="Times New Roman" w:eastAsia="Times New Roman" w:hAnsi="Times New Roman"/>
          <w:i w:val="1"/>
          <w:rtl w:val="0"/>
        </w:rPr>
        <w:t xml:space="preserve">Library Bill of Rights</w:t>
      </w:r>
    </w:p>
    <w:p w:rsidR="00000000" w:rsidDel="00000000" w:rsidP="00000000" w:rsidRDefault="00000000" w:rsidRPr="00000000" w14:paraId="00000002">
      <w:pPr>
        <w:pStyle w:val="Heading3"/>
        <w:rPr/>
      </w:pPr>
      <w:bookmarkStart w:colFirst="0" w:colLast="0" w:name="_ch3wsmlz4fhl" w:id="1"/>
      <w:bookmarkEnd w:id="1"/>
      <w:r w:rsidDel="00000000" w:rsidR="00000000" w:rsidRPr="00000000">
        <w:rPr>
          <w:rtl w:val="0"/>
        </w:rPr>
        <w:tab/>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fundamental mission of libraries is to provide access to information, regardless of content or format, to everyone. Digital resources and services, or resources and services made primarily available online or on digital devices, are integral to libraries’ mission in the twenty-first century. Libraries are important points of access for many digital resources and services including, but not limited to, access to computers and to the internet as well as digital materials and tools. In order to provide access to digital resources and services while upholding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libraries must consider intellectual freedom principles and issues of equity to ensure that access to information is enhanced, not restricted, by digital technology.</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regularly review issues arising from digital creation, distribution, retrieval, and archiving of information. Any review of these issues should consider users’ First Amendment rights, rights to privacy, and the core values of librarianship as expressed in the </w:t>
      </w:r>
      <w:r w:rsidDel="00000000" w:rsidR="00000000" w:rsidRPr="00000000">
        <w:rPr>
          <w:rFonts w:ascii="Times New Roman" w:cs="Times New Roman" w:eastAsia="Times New Roman" w:hAnsi="Times New Roman"/>
          <w:i w:val="1"/>
          <w:sz w:val="24"/>
          <w:szCs w:val="24"/>
          <w:rtl w:val="0"/>
        </w:rPr>
        <w:t xml:space="preserve">Library Bill of Rights </w:t>
      </w: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i w:val="1"/>
          <w:sz w:val="24"/>
          <w:szCs w:val="24"/>
          <w:rtl w:val="0"/>
        </w:rPr>
        <w:t xml:space="preserve">Code of Ethics. </w:t>
      </w:r>
      <w:r w:rsidDel="00000000" w:rsidR="00000000" w:rsidRPr="00000000">
        <w:rPr>
          <w:rFonts w:ascii="Times New Roman" w:cs="Times New Roman" w:eastAsia="Times New Roman" w:hAnsi="Times New Roman"/>
          <w:sz w:val="24"/>
          <w:szCs w:val="24"/>
          <w:rtl w:val="0"/>
        </w:rPr>
        <w:t xml:space="preserve">Despite attempts by individuals, governments, and private entities to censor or limit access to information, many people lack access or the capability to use or create digital resources </w:t>
      </w:r>
      <w:r w:rsidDel="00000000" w:rsidR="00000000" w:rsidRPr="00000000">
        <w:rPr>
          <w:rFonts w:ascii="Times New Roman" w:cs="Times New Roman" w:eastAsia="Times New Roman" w:hAnsi="Times New Roman"/>
          <w:sz w:val="24"/>
          <w:szCs w:val="24"/>
          <w:rtl w:val="0"/>
        </w:rPr>
        <w:t xml:space="preserve">effectively.</w:t>
      </w:r>
      <w:r w:rsidDel="00000000" w:rsidR="00000000" w:rsidRPr="00000000">
        <w:rPr>
          <w:rFonts w:ascii="Times New Roman" w:cs="Times New Roman" w:eastAsia="Times New Roman" w:hAnsi="Times New Roman"/>
          <w:sz w:val="24"/>
          <w:szCs w:val="24"/>
          <w:rtl w:val="0"/>
        </w:rPr>
        <w:t xml:space="preserve"> It is therefore the responsibility of libraries to provide access to digital resources and services, and mitigate all barriers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whether they are economic, educational, or political. </w:t>
      </w:r>
      <w:r w:rsidDel="00000000" w:rsidR="00000000" w:rsidRPr="00000000">
        <w:rPr>
          <w:rFonts w:ascii="Times New Roman" w:cs="Times New Roman" w:eastAsia="Times New Roman" w:hAnsi="Times New Roman"/>
          <w:sz w:val="24"/>
          <w:szCs w:val="24"/>
          <w:rtl w:val="0"/>
        </w:rPr>
        <w:t xml:space="preserve">The provision of access does not imply sponsorship or endorsement by the library.</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making decisions about how to offer access to digital resources, services, tools, physical equipment,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networks, each library should consider intellectual freedom principles in the context of its mission, goals, objectives, cooperative agreements, and the needs of the entire community it serves.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Heading3"/>
        <w:rPr>
          <w:rFonts w:ascii="Times New Roman" w:cs="Times New Roman" w:eastAsia="Times New Roman" w:hAnsi="Times New Roman"/>
        </w:rPr>
      </w:pPr>
      <w:bookmarkStart w:colFirst="0" w:colLast="0" w:name="_1lhee5oirro2" w:id="2"/>
      <w:bookmarkEnd w:id="2"/>
      <w:r w:rsidDel="00000000" w:rsidR="00000000" w:rsidRPr="00000000">
        <w:rPr>
          <w:rFonts w:ascii="Times New Roman" w:cs="Times New Roman" w:eastAsia="Times New Roman" w:hAnsi="Times New Roman"/>
          <w:rtl w:val="0"/>
        </w:rPr>
        <w:t xml:space="preserve">The Rights of Users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library policies, procedures, or regulations relating to digital resources and services should be scrutinized for potential violations of user rights. User policies should be developed according to the policies and guidelines established by the American Library Association.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sz w:val="24"/>
          <w:szCs w:val="24"/>
          <w:rtl w:val="0"/>
        </w:rPr>
        <w:t xml:space="preserve">Users’ access to digital resources and services should not be restricted or denied for expressing, receiving, creating, or participating in constitutionally protected speech. If access is restricted or denied for behavioral or other reasons, users should be provided due process, including, but not limited to, formal notice and a means of appeal.</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retrieved, utilized, or created digitally is constitutionally protected unless determined otherwise by a court of competent jurisdiction. These rights extend to minors as well as adults.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Libraries should use technology to enhance, not deny, digital access. Users have the right to be free of unreasonable limitations or conditions set by libraries, librarians, system administrators, vendors, network service providers, or others. Contracts, agreements, and licenses entered into by libraries on behalf of their users should not violate this right. Libraries should provide library users the training and assistance necessary to find, evaluate, and use information effectively.</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have both the right of confidentiality and the right of </w:t>
      </w:r>
      <w:r w:rsidDel="00000000" w:rsidR="00000000" w:rsidRPr="00000000">
        <w:rPr>
          <w:rFonts w:ascii="Times New Roman" w:cs="Times New Roman" w:eastAsia="Times New Roman" w:hAnsi="Times New Roman"/>
          <w:sz w:val="24"/>
          <w:szCs w:val="24"/>
          <w:rtl w:val="0"/>
        </w:rPr>
        <w:t xml:space="preserve">privacy</w:t>
      </w:r>
      <w:r w:rsidDel="00000000" w:rsidR="00000000" w:rsidRPr="00000000">
        <w:rPr>
          <w:rFonts w:ascii="Times New Roman" w:cs="Times New Roman" w:eastAsia="Times New Roman" w:hAnsi="Times New Roman"/>
          <w:sz w:val="24"/>
          <w:szCs w:val="24"/>
          <w:rtl w:val="0"/>
        </w:rPr>
        <w:t xml:space="preserve">. The library should uphold these rights by policy, procedure, and practice in accordance with Article VII of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shd w:fill="fefefe" w:val="clear"/>
          <w:rtl w:val="0"/>
        </w:rPr>
        <w:t xml:space="preserve">Privacy</w:t>
      </w:r>
      <w:r w:rsidDel="00000000" w:rsidR="00000000" w:rsidRPr="00000000">
        <w:rPr>
          <w:rFonts w:ascii="Times New Roman" w:cs="Times New Roman" w:eastAsia="Times New Roman" w:hAnsi="Times New Roman"/>
          <w:sz w:val="24"/>
          <w:szCs w:val="24"/>
          <w:rtl w:val="0"/>
        </w:rPr>
        <w:t xml:space="preserve">: An Interpretation of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white"/>
          <w:rtl w:val="0"/>
        </w:rPr>
        <w:t xml:space="preserve">he library should regularly maintain their systems and networks in order to protect users’ rights to privacy and confidentiality.</w:t>
      </w:r>
      <w:r w:rsidDel="00000000" w:rsidR="00000000" w:rsidRPr="00000000">
        <w:rPr>
          <w:rFonts w:ascii="Times New Roman" w:cs="Times New Roman" w:eastAsia="Times New Roman" w:hAnsi="Times New Roman"/>
          <w:sz w:val="24"/>
          <w:szCs w:val="24"/>
          <w:rtl w:val="0"/>
        </w:rPr>
        <w:t xml:space="preserve"> As libraries increasingly provide access to digital resources through third-party vendors, libraries have a responsibility to hold vendors accountable for protecting patrons’ privacy.</w:t>
      </w: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Heading3"/>
        <w:rPr>
          <w:rFonts w:ascii="Times New Roman" w:cs="Times New Roman" w:eastAsia="Times New Roman" w:hAnsi="Times New Roman"/>
        </w:rPr>
      </w:pPr>
      <w:bookmarkStart w:colFirst="0" w:colLast="0" w:name="_kezopj3b5fpn" w:id="3"/>
      <w:bookmarkEnd w:id="3"/>
      <w:r w:rsidDel="00000000" w:rsidR="00000000" w:rsidRPr="00000000">
        <w:rPr>
          <w:rFonts w:ascii="Times New Roman" w:cs="Times New Roman" w:eastAsia="Times New Roman" w:hAnsi="Times New Roman"/>
          <w:rtl w:val="0"/>
        </w:rPr>
        <w:t xml:space="preserve">Equity of Access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digital environment provides expanding opportunities for everyone to participate in the information society, but individuals may face serious barriers to access. These barriers, often referred to as the “digital divide,” include a lack of infrastructure for internet connectivity, lack of tools (hardware or software), and/or lack of skills, knowledge, or means necessary to access digital resources.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Libraries should be cognizant of the digital divide and work to minimize it as they provide access to digital resources for their communities.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resources, services, training, and networks provided directly or indirectly by the library should be </w:t>
      </w:r>
      <w:r w:rsidDel="00000000" w:rsidR="00000000" w:rsidRPr="00000000">
        <w:rPr>
          <w:rFonts w:ascii="Times New Roman" w:cs="Times New Roman" w:eastAsia="Times New Roman" w:hAnsi="Times New Roman"/>
          <w:sz w:val="24"/>
          <w:szCs w:val="24"/>
          <w:rtl w:val="0"/>
        </w:rPr>
        <w:t xml:space="preserve">readily and equitably</w:t>
      </w:r>
      <w:r w:rsidDel="00000000" w:rsidR="00000000" w:rsidRPr="00000000">
        <w:rPr>
          <w:rFonts w:ascii="Times New Roman" w:cs="Times New Roman" w:eastAsia="Times New Roman" w:hAnsi="Times New Roman"/>
          <w:sz w:val="24"/>
          <w:szCs w:val="24"/>
          <w:rtl w:val="0"/>
        </w:rPr>
        <w:t xml:space="preserve"> accessible to all library users. American Library Association policies oppose the charging of user fees for the provision of information services by libraries that receive support from public funds.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All libraries should develop policies concerning access to digital resources that are consistent with ALA’s policies and guidelines. When </w:t>
      </w:r>
      <w:r w:rsidDel="00000000" w:rsidR="00000000" w:rsidRPr="00000000">
        <w:rPr>
          <w:rFonts w:ascii="Times New Roman" w:cs="Times New Roman" w:eastAsia="Times New Roman" w:hAnsi="Times New Roman"/>
          <w:sz w:val="24"/>
          <w:szCs w:val="24"/>
          <w:rtl w:val="0"/>
        </w:rPr>
        <w:t xml:space="preserve">new digital resources are </w:t>
      </w:r>
      <w:r w:rsidDel="00000000" w:rsidR="00000000" w:rsidRPr="00000000">
        <w:rPr>
          <w:rFonts w:ascii="Times New Roman" w:cs="Times New Roman" w:eastAsia="Times New Roman" w:hAnsi="Times New Roman"/>
          <w:sz w:val="24"/>
          <w:szCs w:val="24"/>
          <w:rtl w:val="0"/>
        </w:rPr>
        <w:t xml:space="preserve">provided</w:t>
      </w:r>
      <w:r w:rsidDel="00000000" w:rsidR="00000000" w:rsidRPr="00000000">
        <w:rPr>
          <w:rFonts w:ascii="Times New Roman" w:cs="Times New Roman" w:eastAsia="Times New Roman" w:hAnsi="Times New Roman"/>
          <w:sz w:val="24"/>
          <w:szCs w:val="24"/>
          <w:rtl w:val="0"/>
        </w:rPr>
        <w:t xml:space="preserve"> to library users, libraries have an obligation to provide equitable training opportunities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using those new resources  to library users and workers. Training should also address privacy and security issues that accompany the use of digital resources and services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Style w:val="Heading3"/>
        <w:rPr>
          <w:rFonts w:ascii="Times New Roman" w:cs="Times New Roman" w:eastAsia="Times New Roman" w:hAnsi="Times New Roman"/>
        </w:rPr>
      </w:pPr>
      <w:bookmarkStart w:colFirst="0" w:colLast="0" w:name="_ci8t2992w1rn" w:id="4"/>
      <w:bookmarkEnd w:id="4"/>
      <w:r w:rsidDel="00000000" w:rsidR="00000000" w:rsidRPr="00000000">
        <w:rPr>
          <w:rFonts w:ascii="Times New Roman" w:cs="Times New Roman" w:eastAsia="Times New Roman" w:hAnsi="Times New Roman"/>
          <w:rtl w:val="0"/>
        </w:rPr>
        <w:t xml:space="preserve">Information Resources and Access</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acting within their mission and objectives, must support access to information on all subjects that serve the needs or interests of each user, regardless of the user’s age or the content of the material. In order to preserve the cultural record and to prevent the loss of information, libraries may need to expand their selection or collection development policies to ensure preservation, in appropriate formats, of </w:t>
      </w:r>
      <w:r w:rsidDel="00000000" w:rsidR="00000000" w:rsidRPr="00000000">
        <w:rPr>
          <w:rFonts w:ascii="Times New Roman" w:cs="Times New Roman" w:eastAsia="Times New Roman" w:hAnsi="Times New Roman"/>
          <w:sz w:val="24"/>
          <w:szCs w:val="24"/>
          <w:rtl w:val="0"/>
        </w:rPr>
        <w:t xml:space="preserve">information obtained digitally</w:t>
      </w:r>
      <w:r w:rsidDel="00000000" w:rsidR="00000000" w:rsidRPr="00000000">
        <w:rPr>
          <w:rFonts w:ascii="Times New Roman" w:cs="Times New Roman" w:eastAsia="Times New Roman" w:hAnsi="Times New Roman"/>
          <w:sz w:val="24"/>
          <w:szCs w:val="24"/>
          <w:rtl w:val="0"/>
        </w:rPr>
        <w:t xml:space="preserve">. Libraries have an obligation to provide access to government information available in digital format.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connections to global information, services, and networks is not the same as selecting and purchasing materials for a library collection. Some information accessed digitally may not meet a library’s selection or collection development policy.  It is, therefore, left to each user to determine what is appropriate. Libraries and library workers  should not deny or limit access to digital resources because of their allegedly controversial content or because of a library worker’s personal beliefs or fear of confrontation. Furthermore, libraries and library workers should not deny access to digital resources solely on the grounds </w:t>
      </w:r>
      <w:r w:rsidDel="00000000" w:rsidR="00000000" w:rsidRPr="00000000">
        <w:rPr>
          <w:rFonts w:ascii="Times New Roman" w:cs="Times New Roman" w:eastAsia="Times New Roman" w:hAnsi="Times New Roman"/>
          <w:sz w:val="24"/>
          <w:szCs w:val="24"/>
          <w:rtl w:val="0"/>
        </w:rPr>
        <w:t xml:space="preserve">that they are </w:t>
      </w:r>
      <w:r w:rsidDel="00000000" w:rsidR="00000000" w:rsidRPr="00000000">
        <w:rPr>
          <w:rFonts w:ascii="Times New Roman" w:cs="Times New Roman" w:eastAsia="Times New Roman" w:hAnsi="Times New Roman"/>
          <w:sz w:val="24"/>
          <w:szCs w:val="24"/>
          <w:rtl w:val="0"/>
        </w:rPr>
        <w:t xml:space="preserve">perceived to lack value. Parents and legal guardians who are concerned about their children’s use of digital resources should provide guidance to their own children.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Publicly funded libraries have a legal obligation to provide access to constitutionally protected information. Federal, state, county, municipal, local, or library governing bodies sometimes require the use of internet filters or other technological measures that block access to constitutionally protected information, contrary to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a library uses a technological measure that blocks access to information, it should be set at the least restrictive level in order to minimize the blocking of constitutionally protected speech.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Adults retain the right to access all constitutionally protected information and to ask for the technological measure to be disabled in a timely and confidential manner. Minors also retain the right to access constitutionally protected information and, at minimum, have the right to ask the library or librarian to provide access to erroneously blocked information in a timely and confidential manner. </w:t>
      </w:r>
      <w:r w:rsidDel="00000000" w:rsidR="00000000" w:rsidRPr="00000000">
        <w:rPr>
          <w:rFonts w:ascii="Times New Roman" w:cs="Times New Roman" w:eastAsia="Times New Roman" w:hAnsi="Times New Roman"/>
          <w:sz w:val="24"/>
          <w:szCs w:val="24"/>
          <w:rtl w:val="0"/>
        </w:rPr>
        <w:t xml:space="preserve">In order to ensure patron privacy and confidentiality, these requests should </w:t>
      </w:r>
      <w:r w:rsidDel="00000000" w:rsidR="00000000" w:rsidRPr="00000000">
        <w:rPr>
          <w:rFonts w:ascii="Times New Roman" w:cs="Times New Roman" w:eastAsia="Times New Roman" w:hAnsi="Times New Roman"/>
          <w:sz w:val="24"/>
          <w:szCs w:val="24"/>
          <w:rtl w:val="0"/>
        </w:rPr>
        <w:t xml:space="preserve">not be retained. Libraries and librarians have an obligation to inform users of these rights and to provide the means to exercise these rights.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resources and services allow libraries to significantly expand the scope of information available to users. Like all resources and services provided by the library, provision of access to digital resources and services should follow principles outlined in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to ensure equitable access regardless of content or platform.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Guidelines for the Development and Implementation of Policies, Regulations and Procedures Affecting Access to Library Materials, Services and Facilities</w:t>
        </w:r>
      </w:hyperlink>
      <w:r w:rsidDel="00000000" w:rsidR="00000000" w:rsidRPr="00000000">
        <w:rPr>
          <w:sz w:val="20"/>
          <w:szCs w:val="20"/>
          <w:rtl w:val="0"/>
        </w:rPr>
        <w:t xml:space="preserve">," adopted June 28, 1994 by the ALA Intellectual Freedom Committee; revised January 19, 2005; March 29, 2014. </w:t>
      </w:r>
    </w:p>
  </w:footnote>
  <w:footnote w:id="2">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sz w:val="20"/>
            <w:szCs w:val="20"/>
            <w:rtl w:val="0"/>
          </w:rPr>
          <w:t xml:space="preserve">Privacy: An Interpretation of the </w:t>
        </w:r>
      </w:hyperlink>
      <w:hyperlink r:id="rId3">
        <w:r w:rsidDel="00000000" w:rsidR="00000000" w:rsidRPr="00000000">
          <w:rPr>
            <w:i w:val="1"/>
            <w:sz w:val="20"/>
            <w:szCs w:val="20"/>
            <w:rtl w:val="0"/>
          </w:rPr>
          <w:t xml:space="preserve">Library Bill of Rights</w:t>
        </w:r>
      </w:hyperlink>
      <w:r w:rsidDel="00000000" w:rsidR="00000000" w:rsidRPr="00000000">
        <w:rPr>
          <w:sz w:val="20"/>
          <w:szCs w:val="20"/>
          <w:rtl w:val="0"/>
        </w:rPr>
        <w:t xml:space="preserve">,” adopted June 19, 2002, by the ALA Council; amended on July 1, 2014.</w:t>
      </w:r>
    </w:p>
  </w:footnote>
  <w:footnote w:id="4">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sz w:val="20"/>
            <w:szCs w:val="20"/>
            <w:rtl w:val="0"/>
          </w:rPr>
          <w:t xml:space="preserve">Economic Barriers to Information Access: An Interpretation of the</w:t>
        </w:r>
      </w:hyperlink>
      <w:hyperlink r:id="rId5">
        <w:r w:rsidDel="00000000" w:rsidR="00000000" w:rsidRPr="00000000">
          <w:rPr>
            <w:i w:val="1"/>
            <w:sz w:val="20"/>
            <w:szCs w:val="20"/>
            <w:rtl w:val="0"/>
          </w:rPr>
          <w:t xml:space="preserve"> Library Bill of Rights</w:t>
        </w:r>
      </w:hyperlink>
      <w:r w:rsidDel="00000000" w:rsidR="00000000" w:rsidRPr="00000000">
        <w:rPr>
          <w:sz w:val="20"/>
          <w:szCs w:val="20"/>
          <w:rtl w:val="0"/>
        </w:rPr>
        <w:t xml:space="preserve">," adopted June 30, 1993, by the ALA Council. </w:t>
      </w:r>
    </w:p>
  </w:footnote>
  <w:footnote w:id="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Martin Hilbert, “</w:t>
      </w:r>
      <w:r w:rsidDel="00000000" w:rsidR="00000000" w:rsidRPr="00000000">
        <w:rPr>
          <w:sz w:val="20"/>
          <w:szCs w:val="20"/>
          <w:rtl w:val="0"/>
        </w:rPr>
        <w:t xml:space="preserve">The End Justifies the Definition: The Manifold Outlooks on the Digital Divide and Their Practical Usefulness for Policy-Making,” </w:t>
      </w:r>
      <w:r w:rsidDel="00000000" w:rsidR="00000000" w:rsidRPr="00000000">
        <w:rPr>
          <w:i w:val="1"/>
          <w:sz w:val="20"/>
          <w:szCs w:val="20"/>
          <w:rtl w:val="0"/>
        </w:rPr>
        <w:t xml:space="preserve">Telecommunications Policy</w:t>
      </w:r>
      <w:r w:rsidDel="00000000" w:rsidR="00000000" w:rsidRPr="00000000">
        <w:rPr>
          <w:sz w:val="20"/>
          <w:szCs w:val="20"/>
          <w:rtl w:val="0"/>
        </w:rPr>
        <w:t xml:space="preserve"> 35, no. 8 (2011): 715-736. </w:t>
      </w:r>
      <w:hyperlink r:id="rId6">
        <w:r w:rsidDel="00000000" w:rsidR="00000000" w:rsidRPr="00000000">
          <w:rPr>
            <w:color w:val="1155cc"/>
            <w:sz w:val="20"/>
            <w:szCs w:val="20"/>
            <w:u w:val="single"/>
            <w:rtl w:val="0"/>
          </w:rPr>
          <w:t xml:space="preserve">https://doi.org/10.1016/j.telpol.2011.06.012</w:t>
        </w:r>
      </w:hyperlink>
      <w:hyperlink r:id="rId7">
        <w:r w:rsidDel="00000000" w:rsidR="00000000" w:rsidRPr="00000000">
          <w:rPr>
            <w:color w:val="1155cc"/>
            <w:sz w:val="20"/>
            <w:szCs w:val="20"/>
            <w:u w:val="single"/>
            <w:rtl w:val="0"/>
          </w:rPr>
          <w:t xml:space="preserve"> </w:t>
        </w:r>
      </w:hyperlink>
      <w:r w:rsidDel="00000000" w:rsidR="00000000" w:rsidRPr="00000000">
        <w:rPr>
          <w:rtl w:val="0"/>
        </w:rPr>
      </w:r>
    </w:p>
  </w:footnote>
  <w:footnote w:id="5">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sz w:val="20"/>
            <w:szCs w:val="20"/>
            <w:rtl w:val="0"/>
          </w:rPr>
          <w:t xml:space="preserve">Internet Filtering: An Interpretation of the </w:t>
        </w:r>
      </w:hyperlink>
      <w:hyperlink r:id="rId9">
        <w:r w:rsidDel="00000000" w:rsidR="00000000" w:rsidRPr="00000000">
          <w:rPr>
            <w:i w:val="1"/>
            <w:sz w:val="20"/>
            <w:szCs w:val="20"/>
            <w:rtl w:val="0"/>
          </w:rPr>
          <w:t xml:space="preserve">Library Bill of Rights</w:t>
        </w:r>
      </w:hyperlink>
      <w:r w:rsidDel="00000000" w:rsidR="00000000" w:rsidRPr="00000000">
        <w:rPr>
          <w:sz w:val="20"/>
          <w:szCs w:val="20"/>
          <w:rtl w:val="0"/>
        </w:rPr>
        <w:t xml:space="preserve">,” adopted June 30, 2015, by the ALA Council.</w:t>
      </w:r>
    </w:p>
  </w:footnote>
  <w:footnote w:id="1">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Tinker v. Des Moines Independent Community School District</w:t>
      </w:r>
      <w:r w:rsidDel="00000000" w:rsidR="00000000" w:rsidRPr="00000000">
        <w:rPr>
          <w:sz w:val="20"/>
          <w:szCs w:val="20"/>
          <w:rtl w:val="0"/>
        </w:rPr>
        <w:t xml:space="preserve">, 393 U.S. 503 (1969); </w:t>
      </w:r>
      <w:r w:rsidDel="00000000" w:rsidR="00000000" w:rsidRPr="00000000">
        <w:rPr>
          <w:i w:val="1"/>
          <w:sz w:val="20"/>
          <w:szCs w:val="20"/>
          <w:rtl w:val="0"/>
        </w:rPr>
        <w:t xml:space="preserve">Board of Education, Island Trees Union Free School District</w:t>
      </w:r>
      <w:r w:rsidDel="00000000" w:rsidR="00000000" w:rsidRPr="00000000">
        <w:rPr>
          <w:sz w:val="20"/>
          <w:szCs w:val="20"/>
          <w:rtl w:val="0"/>
        </w:rPr>
        <w:t xml:space="preserve"> No. 26 v. Pico, 457 U.S. 853, (1982); </w:t>
      </w:r>
      <w:r w:rsidDel="00000000" w:rsidR="00000000" w:rsidRPr="00000000">
        <w:rPr>
          <w:i w:val="1"/>
          <w:sz w:val="20"/>
          <w:szCs w:val="20"/>
          <w:rtl w:val="0"/>
        </w:rPr>
        <w:t xml:space="preserve">American Amusement Machine Association v. Teri Kendrick</w:t>
      </w:r>
      <w:r w:rsidDel="00000000" w:rsidR="00000000" w:rsidRPr="00000000">
        <w:rPr>
          <w:sz w:val="20"/>
          <w:szCs w:val="20"/>
          <w:rtl w:val="0"/>
        </w:rPr>
        <w:t xml:space="preserve">, 244 F.3d 954 (7th Cir. 2001); cert.denied, 534 U.S. 994 (2001)</w:t>
      </w:r>
    </w:p>
  </w:footnote>
  <w:footnote w:id="6">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some libraries do not have the capacity to unblock specific Web sites or to disable the filter or if it is shown that an adult user’s election to view constitutionally protected Internet material is burdened in some other substantial way, that would be the subject for an as-applied challenge, not the facial challenge made in this case.” </w:t>
      </w:r>
      <w:r w:rsidDel="00000000" w:rsidR="00000000" w:rsidRPr="00000000">
        <w:rPr>
          <w:i w:val="1"/>
          <w:sz w:val="20"/>
          <w:szCs w:val="20"/>
          <w:rtl w:val="0"/>
        </w:rPr>
        <w:t xml:space="preserve">United States, et al. v. American Library Association</w:t>
      </w:r>
      <w:r w:rsidDel="00000000" w:rsidR="00000000" w:rsidRPr="00000000">
        <w:rPr>
          <w:sz w:val="20"/>
          <w:szCs w:val="20"/>
          <w:rtl w:val="0"/>
        </w:rPr>
        <w:t xml:space="preserve">, 539 U.S. 194 (2003) (Justice Kennedy, concurring).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i w:val="1"/>
        <w:sz w:val="20"/>
        <w:szCs w:val="20"/>
      </w:rPr>
    </w:pPr>
    <w:r w:rsidDel="00000000" w:rsidR="00000000" w:rsidRPr="00000000">
      <w:rPr>
        <w:i w:val="1"/>
        <w:sz w:val="20"/>
        <w:szCs w:val="20"/>
        <w:rtl w:val="0"/>
      </w:rPr>
      <w:t xml:space="preserve">Sent to library community: May 23, 2019</w:t>
    </w:r>
  </w:p>
  <w:p w:rsidR="00000000" w:rsidDel="00000000" w:rsidP="00000000" w:rsidRDefault="00000000" w:rsidRPr="00000000" w14:paraId="0000002B">
    <w:pPr>
      <w:jc w:val="right"/>
      <w:rPr>
        <w:i w:val="1"/>
        <w:sz w:val="20"/>
        <w:szCs w:val="20"/>
      </w:rPr>
    </w:pPr>
    <w:r w:rsidDel="00000000" w:rsidR="00000000" w:rsidRPr="00000000">
      <w:rPr>
        <w:i w:val="1"/>
        <w:sz w:val="20"/>
        <w:szCs w:val="20"/>
        <w:rtl w:val="0"/>
      </w:rPr>
      <w:t xml:space="preserve">Deadline for feedback: June 3, 2019</w:t>
    </w:r>
  </w:p>
  <w:p w:rsidR="00000000" w:rsidDel="00000000" w:rsidP="00000000" w:rsidRDefault="00000000" w:rsidRPr="00000000" w14:paraId="0000002C">
    <w:pPr>
      <w:jc w:val="righ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intfreedom/guidelinesforaccesspolicies" TargetMode="External"/><Relationship Id="rId2" Type="http://schemas.openxmlformats.org/officeDocument/2006/relationships/hyperlink" Target="http://www.ala.org/advocacy/intfreedom/librarybill/interpretations/privacy" TargetMode="External"/><Relationship Id="rId3" Type="http://schemas.openxmlformats.org/officeDocument/2006/relationships/hyperlink" Target="http://www.ala.org/advocacy/intfreedom/librarybill/interpretations/privacy" TargetMode="External"/><Relationship Id="rId4" Type="http://schemas.openxmlformats.org/officeDocument/2006/relationships/hyperlink" Target="http://www.ala.org/advocacy/intfreedom/librarybill/interpretations/economicbarriers" TargetMode="External"/><Relationship Id="rId9" Type="http://schemas.openxmlformats.org/officeDocument/2006/relationships/hyperlink" Target="http://www.ala.org/advocacy/intfreedom/librarybill/interpretations/internet-filtering" TargetMode="External"/><Relationship Id="rId5" Type="http://schemas.openxmlformats.org/officeDocument/2006/relationships/hyperlink" Target="http://www.ala.org/advocacy/intfreedom/librarybill/interpretations/economicbarriers" TargetMode="External"/><Relationship Id="rId6" Type="http://schemas.openxmlformats.org/officeDocument/2006/relationships/hyperlink" Target="https://doi.org/10.1016/j.telpol.2011.06.012" TargetMode="External"/><Relationship Id="rId7" Type="http://schemas.openxmlformats.org/officeDocument/2006/relationships/hyperlink" Target="https://doi.org/10.1016/j.telpol.2011.06.012" TargetMode="External"/><Relationship Id="rId8" Type="http://schemas.openxmlformats.org/officeDocument/2006/relationships/hyperlink" Target="http://www.ala.org/advocacy/intfreedom/librarybill/interpretations/internet-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