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112AD" w14:textId="413B7F61" w:rsidR="00143FC2" w:rsidRPr="003A6B40" w:rsidRDefault="00143FC2" w:rsidP="003A6B40">
      <w:pPr>
        <w:numPr>
          <w:ilvl w:val="1"/>
          <w:numId w:val="0"/>
        </w:numPr>
        <w:spacing w:line="240" w:lineRule="auto"/>
        <w:rPr>
          <w:rFonts w:eastAsiaTheme="minorEastAsia" w:cs="Times New Roman"/>
          <w:color w:val="5A5A5A" w:themeColor="text1" w:themeTint="A5"/>
          <w:spacing w:val="15"/>
          <w:sz w:val="24"/>
          <w:szCs w:val="24"/>
        </w:rPr>
      </w:pPr>
      <w:r w:rsidRPr="003A6B40">
        <w:rPr>
          <w:rFonts w:eastAsiaTheme="minorEastAsia" w:cs="Times New Roman"/>
          <w:color w:val="5A5A5A" w:themeColor="text1" w:themeTint="A5"/>
          <w:spacing w:val="15"/>
          <w:sz w:val="24"/>
          <w:szCs w:val="24"/>
        </w:rPr>
        <w:t>TO:</w:t>
      </w:r>
      <w:r w:rsidRPr="003A6B40">
        <w:rPr>
          <w:rFonts w:eastAsiaTheme="minorEastAsia" w:cs="Times New Roman"/>
          <w:color w:val="5A5A5A" w:themeColor="text1" w:themeTint="A5"/>
          <w:spacing w:val="15"/>
          <w:sz w:val="24"/>
          <w:szCs w:val="24"/>
        </w:rPr>
        <w:tab/>
      </w:r>
      <w:r w:rsidRPr="003A6B40">
        <w:rPr>
          <w:rFonts w:eastAsiaTheme="minorEastAsia" w:cs="Times New Roman"/>
          <w:color w:val="5A5A5A" w:themeColor="text1" w:themeTint="A5"/>
          <w:spacing w:val="15"/>
          <w:sz w:val="24"/>
          <w:szCs w:val="24"/>
        </w:rPr>
        <w:tab/>
        <w:t xml:space="preserve">PLA </w:t>
      </w:r>
      <w:r w:rsidR="006F7840">
        <w:rPr>
          <w:rFonts w:eastAsiaTheme="minorEastAsia" w:cs="Times New Roman"/>
          <w:color w:val="5A5A5A" w:themeColor="text1" w:themeTint="A5"/>
          <w:spacing w:val="15"/>
          <w:sz w:val="24"/>
          <w:szCs w:val="24"/>
        </w:rPr>
        <w:t>Board of Directors</w:t>
      </w:r>
    </w:p>
    <w:p w14:paraId="72964D89" w14:textId="77777777" w:rsidR="00143FC2" w:rsidRPr="003A6B40" w:rsidRDefault="00143FC2" w:rsidP="003A6B40">
      <w:pPr>
        <w:spacing w:after="200" w:line="240" w:lineRule="auto"/>
        <w:rPr>
          <w:rFonts w:eastAsiaTheme="minorEastAsia" w:cs="Times New Roman"/>
          <w:sz w:val="24"/>
          <w:szCs w:val="24"/>
        </w:rPr>
      </w:pPr>
      <w:r w:rsidRPr="003A6B40">
        <w:rPr>
          <w:rFonts w:eastAsiaTheme="minorEastAsia" w:cs="Times New Roman"/>
          <w:sz w:val="24"/>
          <w:szCs w:val="24"/>
        </w:rPr>
        <w:t>FROM:</w:t>
      </w:r>
      <w:r w:rsidRPr="003A6B40">
        <w:rPr>
          <w:rFonts w:eastAsiaTheme="minorEastAsia" w:cs="Times New Roman"/>
          <w:sz w:val="24"/>
          <w:szCs w:val="24"/>
        </w:rPr>
        <w:tab/>
      </w:r>
      <w:r w:rsidRPr="003A6B40">
        <w:rPr>
          <w:rFonts w:eastAsiaTheme="minorEastAsia" w:cs="Times New Roman"/>
          <w:sz w:val="24"/>
          <w:szCs w:val="24"/>
        </w:rPr>
        <w:tab/>
        <w:t>Mary Davis Fournier, Executive Director</w:t>
      </w:r>
    </w:p>
    <w:p w14:paraId="0B29870B" w14:textId="5040B542" w:rsidR="00143FC2" w:rsidRPr="003A6B40" w:rsidRDefault="00143FC2" w:rsidP="003A6B40">
      <w:pPr>
        <w:spacing w:after="200" w:line="240" w:lineRule="auto"/>
        <w:rPr>
          <w:rFonts w:eastAsiaTheme="minorEastAsia" w:cs="Times New Roman"/>
          <w:sz w:val="24"/>
          <w:szCs w:val="24"/>
        </w:rPr>
      </w:pPr>
      <w:r w:rsidRPr="003A6B40">
        <w:rPr>
          <w:rFonts w:eastAsiaTheme="minorEastAsia" w:cs="Times New Roman"/>
          <w:sz w:val="24"/>
          <w:szCs w:val="24"/>
        </w:rPr>
        <w:t>RE:</w:t>
      </w:r>
      <w:r w:rsidRPr="003A6B40">
        <w:rPr>
          <w:rFonts w:eastAsiaTheme="minorEastAsia" w:cs="Times New Roman"/>
          <w:sz w:val="24"/>
          <w:szCs w:val="24"/>
        </w:rPr>
        <w:tab/>
      </w:r>
      <w:r w:rsidRPr="003A6B40">
        <w:rPr>
          <w:rFonts w:eastAsiaTheme="minorEastAsia" w:cs="Times New Roman"/>
          <w:sz w:val="24"/>
          <w:szCs w:val="24"/>
        </w:rPr>
        <w:tab/>
        <w:t>FY 2024 Budget</w:t>
      </w:r>
      <w:r w:rsidRPr="003A6B40">
        <w:rPr>
          <w:rFonts w:eastAsiaTheme="minorEastAsia" w:cs="Times New Roman"/>
          <w:sz w:val="24"/>
          <w:szCs w:val="24"/>
        </w:rPr>
        <w:tab/>
      </w:r>
      <w:r w:rsidR="00446163" w:rsidRPr="003A6B40">
        <w:rPr>
          <w:rFonts w:eastAsiaTheme="minorEastAsia" w:cs="Times New Roman"/>
          <w:sz w:val="24"/>
          <w:szCs w:val="24"/>
        </w:rPr>
        <w:t>Revision Narrative</w:t>
      </w:r>
      <w:r w:rsidRPr="003A6B40">
        <w:rPr>
          <w:rFonts w:eastAsiaTheme="minorEastAsia" w:cs="Times New Roman"/>
          <w:sz w:val="24"/>
          <w:szCs w:val="24"/>
        </w:rPr>
        <w:tab/>
      </w:r>
    </w:p>
    <w:p w14:paraId="532E77A7" w14:textId="221339C2" w:rsidR="00143FC2" w:rsidRPr="003A6B40" w:rsidRDefault="00143FC2" w:rsidP="003A6B40">
      <w:pPr>
        <w:spacing w:after="200" w:line="240" w:lineRule="auto"/>
        <w:rPr>
          <w:rFonts w:eastAsiaTheme="minorEastAsia" w:cs="Times New Roman"/>
          <w:sz w:val="24"/>
          <w:szCs w:val="24"/>
        </w:rPr>
      </w:pPr>
      <w:r w:rsidRPr="003A6B40">
        <w:rPr>
          <w:rFonts w:eastAsiaTheme="minorEastAsia" w:cs="Times New Roman"/>
          <w:sz w:val="24"/>
          <w:szCs w:val="24"/>
        </w:rPr>
        <w:t>DATE:</w:t>
      </w:r>
      <w:r w:rsidRPr="003A6B40">
        <w:rPr>
          <w:rFonts w:eastAsiaTheme="minorEastAsia" w:cs="Times New Roman"/>
          <w:sz w:val="24"/>
          <w:szCs w:val="24"/>
        </w:rPr>
        <w:tab/>
      </w:r>
      <w:r w:rsidRPr="003A6B40">
        <w:rPr>
          <w:rFonts w:eastAsiaTheme="minorEastAsia" w:cs="Times New Roman"/>
          <w:sz w:val="24"/>
          <w:szCs w:val="24"/>
        </w:rPr>
        <w:tab/>
      </w:r>
      <w:r w:rsidR="00446163" w:rsidRPr="003A6B40">
        <w:rPr>
          <w:rFonts w:eastAsiaTheme="minorEastAsia" w:cs="Times New Roman"/>
          <w:sz w:val="24"/>
          <w:szCs w:val="24"/>
        </w:rPr>
        <w:t>May 9, 2023</w:t>
      </w:r>
    </w:p>
    <w:p w14:paraId="7F1FA8E2" w14:textId="07032414" w:rsidR="00143FC2" w:rsidRPr="003A6B40" w:rsidRDefault="00EC7019" w:rsidP="00143FC2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3A6B40">
        <w:rPr>
          <w:rFonts w:eastAsiaTheme="minorEastAsia" w:cs="Times New Roman"/>
          <w:sz w:val="24"/>
          <w:szCs w:val="24"/>
        </w:rPr>
        <w:t xml:space="preserve">The following is a summary of </w:t>
      </w:r>
      <w:r w:rsidR="00143FC2" w:rsidRPr="003A6B40">
        <w:rPr>
          <w:rFonts w:eastAsiaTheme="minorEastAsia" w:cs="Times New Roman"/>
          <w:sz w:val="24"/>
          <w:szCs w:val="24"/>
        </w:rPr>
        <w:t xml:space="preserve">considerations for </w:t>
      </w:r>
      <w:r w:rsidR="00446163" w:rsidRPr="003A6B40">
        <w:rPr>
          <w:rFonts w:eastAsiaTheme="minorEastAsia" w:cs="Times New Roman"/>
          <w:sz w:val="24"/>
          <w:szCs w:val="24"/>
        </w:rPr>
        <w:t xml:space="preserve">revisions to </w:t>
      </w:r>
      <w:r w:rsidRPr="003A6B40">
        <w:rPr>
          <w:rFonts w:eastAsiaTheme="minorEastAsia" w:cs="Times New Roman"/>
          <w:sz w:val="24"/>
          <w:szCs w:val="24"/>
        </w:rPr>
        <w:t xml:space="preserve">the </w:t>
      </w:r>
      <w:r w:rsidR="00143FC2" w:rsidRPr="003A6B40">
        <w:rPr>
          <w:rFonts w:eastAsiaTheme="minorEastAsia" w:cs="Times New Roman"/>
          <w:sz w:val="24"/>
          <w:szCs w:val="24"/>
        </w:rPr>
        <w:t>FY2024 (September 1, 2023-August 31, 2024) PLA budget</w:t>
      </w:r>
      <w:r w:rsidR="00240EF6" w:rsidRPr="003A6B40">
        <w:rPr>
          <w:rFonts w:eastAsiaTheme="minorEastAsia" w:cs="Times New Roman"/>
          <w:sz w:val="24"/>
          <w:szCs w:val="24"/>
        </w:rPr>
        <w:t xml:space="preserve">. </w:t>
      </w:r>
      <w:r w:rsidR="00143FC2" w:rsidRPr="003A6B40">
        <w:rPr>
          <w:rFonts w:eastAsiaTheme="minorEastAsia" w:cs="Times New Roman"/>
          <w:sz w:val="24"/>
          <w:szCs w:val="24"/>
        </w:rPr>
        <w:t xml:space="preserve">This budget draft will be </w:t>
      </w:r>
      <w:r w:rsidR="00446163" w:rsidRPr="003A6B40">
        <w:rPr>
          <w:rFonts w:eastAsiaTheme="minorEastAsia" w:cs="Times New Roman"/>
          <w:sz w:val="24"/>
          <w:szCs w:val="24"/>
        </w:rPr>
        <w:t xml:space="preserve">submitted to </w:t>
      </w:r>
      <w:r w:rsidR="00143FC2" w:rsidRPr="003A6B40">
        <w:rPr>
          <w:rFonts w:eastAsiaTheme="minorEastAsia" w:cs="Times New Roman"/>
          <w:sz w:val="24"/>
          <w:szCs w:val="24"/>
        </w:rPr>
        <w:t xml:space="preserve">ALA’s financial system </w:t>
      </w:r>
      <w:r w:rsidR="00446163" w:rsidRPr="003A6B40">
        <w:rPr>
          <w:rFonts w:eastAsiaTheme="minorEastAsia" w:cs="Times New Roman"/>
          <w:sz w:val="24"/>
          <w:szCs w:val="24"/>
        </w:rPr>
        <w:t xml:space="preserve">under the May 19, </w:t>
      </w:r>
      <w:r w:rsidR="00240EF6" w:rsidRPr="003A6B40">
        <w:rPr>
          <w:rFonts w:eastAsiaTheme="minorEastAsia" w:cs="Times New Roman"/>
          <w:sz w:val="24"/>
          <w:szCs w:val="24"/>
        </w:rPr>
        <w:t>2023,</w:t>
      </w:r>
      <w:r w:rsidR="00446163" w:rsidRPr="003A6B40">
        <w:rPr>
          <w:rFonts w:eastAsiaTheme="minorEastAsia" w:cs="Times New Roman"/>
          <w:sz w:val="24"/>
          <w:szCs w:val="24"/>
        </w:rPr>
        <w:t xml:space="preserve"> deadline</w:t>
      </w:r>
      <w:r w:rsidR="00240EF6" w:rsidRPr="003A6B40">
        <w:rPr>
          <w:rFonts w:eastAsiaTheme="minorEastAsia" w:cs="Times New Roman"/>
          <w:sz w:val="24"/>
          <w:szCs w:val="24"/>
        </w:rPr>
        <w:t xml:space="preserve">. </w:t>
      </w:r>
      <w:r w:rsidR="00143FC2" w:rsidRPr="003A6B40">
        <w:rPr>
          <w:rFonts w:eastAsiaTheme="minorEastAsia" w:cs="Times New Roman"/>
          <w:sz w:val="24"/>
          <w:szCs w:val="24"/>
        </w:rPr>
        <w:t xml:space="preserve">This </w:t>
      </w:r>
      <w:r w:rsidR="00446163" w:rsidRPr="003A6B40">
        <w:rPr>
          <w:rFonts w:eastAsiaTheme="minorEastAsia" w:cs="Times New Roman"/>
          <w:sz w:val="24"/>
          <w:szCs w:val="24"/>
        </w:rPr>
        <w:t xml:space="preserve">is the final revision before the </w:t>
      </w:r>
      <w:r w:rsidR="00143FC2" w:rsidRPr="003A6B40">
        <w:rPr>
          <w:rFonts w:eastAsiaTheme="minorEastAsia" w:cs="Times New Roman"/>
          <w:sz w:val="24"/>
          <w:szCs w:val="24"/>
        </w:rPr>
        <w:t>ALA budget is approved by the Executive Board in June 2023.</w:t>
      </w:r>
    </w:p>
    <w:p w14:paraId="7458ECA3" w14:textId="3E9B67D7" w:rsidR="001A2226" w:rsidRPr="003A6B40" w:rsidRDefault="00EC7019" w:rsidP="0012392A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3A6B40">
        <w:rPr>
          <w:rFonts w:eastAsiaTheme="minorEastAsia" w:cs="Times New Roman"/>
          <w:b/>
          <w:bCs/>
          <w:sz w:val="24"/>
          <w:szCs w:val="24"/>
        </w:rPr>
        <w:t xml:space="preserve">Following submission and analysis of all ALA unit budgets, </w:t>
      </w:r>
      <w:r w:rsidR="00446163" w:rsidRPr="003A6B40">
        <w:rPr>
          <w:rFonts w:eastAsiaTheme="minorEastAsia" w:cs="Times New Roman"/>
          <w:b/>
          <w:bCs/>
          <w:sz w:val="24"/>
          <w:szCs w:val="24"/>
        </w:rPr>
        <w:t>ALA has requested a 3% across-the-board cost reduction to all non-salary unit budgets.</w:t>
      </w:r>
      <w:r w:rsidR="00446163" w:rsidRPr="003A6B40">
        <w:rPr>
          <w:rFonts w:eastAsiaTheme="minorEastAsia" w:cs="Times New Roman"/>
          <w:sz w:val="24"/>
          <w:szCs w:val="24"/>
        </w:rPr>
        <w:t xml:space="preserve"> This budget reduction has been implemented across all ALA units</w:t>
      </w:r>
      <w:r w:rsidR="001A2226" w:rsidRPr="003A6B40">
        <w:rPr>
          <w:rFonts w:eastAsiaTheme="minorEastAsia" w:cs="Times New Roman"/>
          <w:sz w:val="24"/>
          <w:szCs w:val="24"/>
        </w:rPr>
        <w:t xml:space="preserve"> with the goal of aligning expenses and revenue across ALA</w:t>
      </w:r>
      <w:r w:rsidR="00446163" w:rsidRPr="003A6B40">
        <w:rPr>
          <w:rFonts w:eastAsiaTheme="minorEastAsia" w:cs="Times New Roman"/>
          <w:sz w:val="24"/>
          <w:szCs w:val="24"/>
        </w:rPr>
        <w:t>.</w:t>
      </w:r>
      <w:r w:rsidR="005E0DB5" w:rsidRPr="003A6B40">
        <w:rPr>
          <w:rFonts w:eastAsiaTheme="minorEastAsia" w:cs="Times New Roman"/>
          <w:sz w:val="24"/>
          <w:szCs w:val="24"/>
        </w:rPr>
        <w:t xml:space="preserve"> For </w:t>
      </w:r>
      <w:r w:rsidR="00240EF6" w:rsidRPr="003A6B40">
        <w:rPr>
          <w:rFonts w:eastAsiaTheme="minorEastAsia" w:cs="Times New Roman"/>
          <w:sz w:val="24"/>
          <w:szCs w:val="24"/>
        </w:rPr>
        <w:t>PLA,</w:t>
      </w:r>
      <w:r w:rsidR="005E0DB5" w:rsidRPr="003A6B40">
        <w:rPr>
          <w:rFonts w:eastAsiaTheme="minorEastAsia" w:cs="Times New Roman"/>
          <w:sz w:val="24"/>
          <w:szCs w:val="24"/>
        </w:rPr>
        <w:t xml:space="preserve"> the </w:t>
      </w:r>
      <w:r w:rsidR="001A2226" w:rsidRPr="003A6B40">
        <w:rPr>
          <w:rFonts w:eastAsiaTheme="minorEastAsia" w:cs="Times New Roman"/>
          <w:sz w:val="24"/>
          <w:szCs w:val="24"/>
        </w:rPr>
        <w:t xml:space="preserve">3% </w:t>
      </w:r>
      <w:r w:rsidR="003B38AC" w:rsidRPr="003A6B40">
        <w:rPr>
          <w:rFonts w:eastAsiaTheme="minorEastAsia" w:cs="Times New Roman"/>
          <w:sz w:val="24"/>
          <w:szCs w:val="24"/>
        </w:rPr>
        <w:t xml:space="preserve">expense </w:t>
      </w:r>
      <w:r w:rsidR="005E0DB5" w:rsidRPr="003A6B40">
        <w:rPr>
          <w:rFonts w:eastAsiaTheme="minorEastAsia" w:cs="Times New Roman"/>
          <w:sz w:val="24"/>
          <w:szCs w:val="24"/>
        </w:rPr>
        <w:t>reduction amount is $7</w:t>
      </w:r>
      <w:r w:rsidR="00E33679" w:rsidRPr="003A6B40">
        <w:rPr>
          <w:rFonts w:eastAsiaTheme="minorEastAsia" w:cs="Times New Roman"/>
          <w:sz w:val="24"/>
          <w:szCs w:val="24"/>
        </w:rPr>
        <w:t>3,027</w:t>
      </w:r>
      <w:r w:rsidR="001A2226" w:rsidRPr="003A6B40">
        <w:rPr>
          <w:rFonts w:eastAsiaTheme="minorEastAsia" w:cs="Times New Roman"/>
          <w:sz w:val="24"/>
          <w:szCs w:val="24"/>
        </w:rPr>
        <w:t xml:space="preserve">, achievable </w:t>
      </w:r>
      <w:r w:rsidR="00BF6A0A" w:rsidRPr="003A6B40">
        <w:rPr>
          <w:rFonts w:eastAsiaTheme="minorEastAsia" w:cs="Times New Roman"/>
          <w:sz w:val="24"/>
          <w:szCs w:val="24"/>
        </w:rPr>
        <w:t xml:space="preserve">through </w:t>
      </w:r>
      <w:r w:rsidR="001A2226" w:rsidRPr="003A6B40">
        <w:rPr>
          <w:rFonts w:eastAsiaTheme="minorEastAsia" w:cs="Times New Roman"/>
          <w:sz w:val="24"/>
          <w:szCs w:val="24"/>
        </w:rPr>
        <w:t xml:space="preserve">a combination of </w:t>
      </w:r>
      <w:r w:rsidR="00BF6A0A" w:rsidRPr="003A6B40">
        <w:rPr>
          <w:rFonts w:eastAsiaTheme="minorEastAsia" w:cs="Times New Roman"/>
          <w:sz w:val="24"/>
          <w:szCs w:val="24"/>
        </w:rPr>
        <w:t xml:space="preserve">added </w:t>
      </w:r>
      <w:r w:rsidR="001A2226" w:rsidRPr="003A6B40">
        <w:rPr>
          <w:rFonts w:eastAsiaTheme="minorEastAsia" w:cs="Times New Roman"/>
          <w:sz w:val="24"/>
          <w:szCs w:val="24"/>
        </w:rPr>
        <w:t xml:space="preserve">revenue and </w:t>
      </w:r>
      <w:r w:rsidR="00BF6A0A" w:rsidRPr="003A6B40">
        <w:rPr>
          <w:rFonts w:eastAsiaTheme="minorEastAsia" w:cs="Times New Roman"/>
          <w:sz w:val="24"/>
          <w:szCs w:val="24"/>
        </w:rPr>
        <w:t xml:space="preserve">cuts to </w:t>
      </w:r>
      <w:r w:rsidR="001A2226" w:rsidRPr="003A6B40">
        <w:rPr>
          <w:rFonts w:eastAsiaTheme="minorEastAsia" w:cs="Times New Roman"/>
          <w:sz w:val="24"/>
          <w:szCs w:val="24"/>
        </w:rPr>
        <w:t>expense</w:t>
      </w:r>
      <w:r w:rsidR="00BF6A0A" w:rsidRPr="003A6B40">
        <w:rPr>
          <w:rFonts w:eastAsiaTheme="minorEastAsia" w:cs="Times New Roman"/>
          <w:sz w:val="24"/>
          <w:szCs w:val="24"/>
        </w:rPr>
        <w:t>s</w:t>
      </w:r>
      <w:r w:rsidR="001A2226" w:rsidRPr="003A6B40">
        <w:rPr>
          <w:rFonts w:eastAsiaTheme="minorEastAsia" w:cs="Times New Roman"/>
          <w:sz w:val="24"/>
          <w:szCs w:val="24"/>
        </w:rPr>
        <w:t>.</w:t>
      </w:r>
      <w:r w:rsidR="005E0DB5" w:rsidRPr="003A6B40">
        <w:rPr>
          <w:rFonts w:eastAsiaTheme="minorEastAsia" w:cs="Times New Roman"/>
          <w:sz w:val="24"/>
          <w:szCs w:val="24"/>
        </w:rPr>
        <w:t xml:space="preserve"> </w:t>
      </w:r>
      <w:r w:rsidR="003B38AC" w:rsidRPr="003A6B40">
        <w:rPr>
          <w:rFonts w:eastAsiaTheme="minorEastAsia" w:cs="Times New Roman"/>
          <w:sz w:val="24"/>
          <w:szCs w:val="24"/>
        </w:rPr>
        <w:t xml:space="preserve">  This budget adjustment request from ALA has provided an opportunity to review </w:t>
      </w:r>
      <w:r w:rsidR="00E33679" w:rsidRPr="003A6B40">
        <w:rPr>
          <w:rFonts w:eastAsiaTheme="minorEastAsia" w:cs="Times New Roman"/>
          <w:sz w:val="24"/>
          <w:szCs w:val="24"/>
        </w:rPr>
        <w:t xml:space="preserve">all budget projections, and </w:t>
      </w:r>
      <w:r w:rsidR="001A2226" w:rsidRPr="003A6B40">
        <w:rPr>
          <w:rFonts w:eastAsiaTheme="minorEastAsia" w:cs="Times New Roman"/>
          <w:sz w:val="24"/>
          <w:szCs w:val="24"/>
        </w:rPr>
        <w:t xml:space="preserve">in particular, </w:t>
      </w:r>
      <w:r w:rsidR="00BF6A0A" w:rsidRPr="003A6B40">
        <w:rPr>
          <w:rFonts w:eastAsiaTheme="minorEastAsia" w:cs="Times New Roman"/>
          <w:sz w:val="24"/>
          <w:szCs w:val="24"/>
        </w:rPr>
        <w:t xml:space="preserve"> our </w:t>
      </w:r>
      <w:r w:rsidR="00A55CA3" w:rsidRPr="003A6B40">
        <w:rPr>
          <w:rFonts w:eastAsiaTheme="minorEastAsia" w:cs="Times New Roman"/>
          <w:sz w:val="24"/>
          <w:szCs w:val="24"/>
        </w:rPr>
        <w:t xml:space="preserve">PLA 2024 </w:t>
      </w:r>
      <w:r w:rsidR="003B38AC" w:rsidRPr="003A6B40">
        <w:rPr>
          <w:rFonts w:eastAsiaTheme="minorEastAsia" w:cs="Times New Roman"/>
          <w:sz w:val="24"/>
          <w:szCs w:val="24"/>
        </w:rPr>
        <w:t>conference projections.</w:t>
      </w:r>
      <w:r w:rsidR="00E33679" w:rsidRPr="003A6B40">
        <w:rPr>
          <w:rFonts w:eastAsiaTheme="minorEastAsia" w:cs="Times New Roman"/>
          <w:sz w:val="24"/>
          <w:szCs w:val="24"/>
        </w:rPr>
        <w:t xml:space="preserve"> </w:t>
      </w:r>
      <w:r w:rsidR="00A55CA3" w:rsidRPr="003A6B40">
        <w:rPr>
          <w:rFonts w:eastAsiaTheme="minorEastAsia" w:cs="Times New Roman"/>
          <w:sz w:val="24"/>
          <w:szCs w:val="24"/>
        </w:rPr>
        <w:t xml:space="preserve"> </w:t>
      </w:r>
    </w:p>
    <w:p w14:paraId="44E01979" w14:textId="24A44758" w:rsidR="00A55CA3" w:rsidRPr="003A6B40" w:rsidRDefault="001A2226" w:rsidP="0012392A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3A6B40">
        <w:rPr>
          <w:rFonts w:eastAsiaTheme="minorEastAsia" w:cs="Times New Roman"/>
          <w:sz w:val="24"/>
          <w:szCs w:val="24"/>
        </w:rPr>
        <w:t xml:space="preserve">The </w:t>
      </w:r>
      <w:r w:rsidR="00A55CA3" w:rsidRPr="003A6B40">
        <w:rPr>
          <w:rFonts w:eastAsiaTheme="minorEastAsia" w:cs="Times New Roman"/>
          <w:sz w:val="24"/>
          <w:szCs w:val="24"/>
        </w:rPr>
        <w:t xml:space="preserve">PLA FY24 </w:t>
      </w:r>
      <w:r w:rsidRPr="003A6B40">
        <w:rPr>
          <w:rFonts w:eastAsiaTheme="minorEastAsia" w:cs="Times New Roman"/>
          <w:sz w:val="24"/>
          <w:szCs w:val="24"/>
        </w:rPr>
        <w:t xml:space="preserve">budget </w:t>
      </w:r>
      <w:r w:rsidR="00A55CA3" w:rsidRPr="003A6B40">
        <w:rPr>
          <w:rFonts w:eastAsiaTheme="minorEastAsia" w:cs="Times New Roman"/>
          <w:sz w:val="24"/>
          <w:szCs w:val="24"/>
        </w:rPr>
        <w:t xml:space="preserve">revision </w:t>
      </w:r>
      <w:r w:rsidRPr="003A6B40">
        <w:rPr>
          <w:rFonts w:eastAsiaTheme="minorEastAsia" w:cs="Times New Roman"/>
          <w:sz w:val="24"/>
          <w:szCs w:val="24"/>
        </w:rPr>
        <w:t xml:space="preserve">reflects </w:t>
      </w:r>
      <w:r w:rsidR="00A55CA3" w:rsidRPr="003A6B40">
        <w:rPr>
          <w:rFonts w:eastAsiaTheme="minorEastAsia" w:cs="Times New Roman"/>
          <w:sz w:val="24"/>
          <w:szCs w:val="24"/>
        </w:rPr>
        <w:t xml:space="preserve">expense reductions of $28,055, as well </w:t>
      </w:r>
      <w:r w:rsidR="00BF6A0A" w:rsidRPr="003A6B40">
        <w:rPr>
          <w:rFonts w:eastAsiaTheme="minorEastAsia" w:cs="Times New Roman"/>
          <w:sz w:val="24"/>
          <w:szCs w:val="24"/>
        </w:rPr>
        <w:t xml:space="preserve">as </w:t>
      </w:r>
      <w:r w:rsidR="00A55CA3" w:rsidRPr="003A6B40">
        <w:rPr>
          <w:rFonts w:eastAsiaTheme="minorEastAsia" w:cs="Times New Roman"/>
          <w:sz w:val="24"/>
          <w:szCs w:val="24"/>
        </w:rPr>
        <w:t xml:space="preserve">$101,082 </w:t>
      </w:r>
      <w:r w:rsidR="00BF6A0A" w:rsidRPr="003A6B40">
        <w:rPr>
          <w:rFonts w:eastAsiaTheme="minorEastAsia" w:cs="Times New Roman"/>
          <w:sz w:val="24"/>
          <w:szCs w:val="24"/>
        </w:rPr>
        <w:t xml:space="preserve">in added revenue, </w:t>
      </w:r>
      <w:r w:rsidR="00A55CA3" w:rsidRPr="003A6B40">
        <w:rPr>
          <w:rFonts w:eastAsiaTheme="minorEastAsia" w:cs="Times New Roman"/>
          <w:sz w:val="24"/>
          <w:szCs w:val="24"/>
        </w:rPr>
        <w:t xml:space="preserve">to achieve the ALA requested net </w:t>
      </w:r>
      <w:r w:rsidR="00BF6A0A" w:rsidRPr="003A6B40">
        <w:rPr>
          <w:rFonts w:eastAsiaTheme="minorEastAsia" w:cs="Times New Roman"/>
          <w:sz w:val="24"/>
          <w:szCs w:val="24"/>
        </w:rPr>
        <w:t xml:space="preserve">budget </w:t>
      </w:r>
      <w:r w:rsidR="00A55CA3" w:rsidRPr="003A6B40">
        <w:rPr>
          <w:rFonts w:eastAsiaTheme="minorEastAsia" w:cs="Times New Roman"/>
          <w:sz w:val="24"/>
          <w:szCs w:val="24"/>
        </w:rPr>
        <w:t>increase of $73,027. Expense reductions includ</w:t>
      </w:r>
      <w:r w:rsidR="00BF6A0A" w:rsidRPr="003A6B40">
        <w:rPr>
          <w:rFonts w:eastAsiaTheme="minorEastAsia" w:cs="Times New Roman"/>
          <w:sz w:val="24"/>
          <w:szCs w:val="24"/>
        </w:rPr>
        <w:t>e</w:t>
      </w:r>
      <w:r w:rsidR="00A55CA3" w:rsidRPr="003A6B40">
        <w:rPr>
          <w:rFonts w:eastAsiaTheme="minorEastAsia" w:cs="Times New Roman"/>
          <w:sz w:val="24"/>
          <w:szCs w:val="24"/>
        </w:rPr>
        <w:t xml:space="preserve"> shifting staff wage/benefit  from the operating budget to the new AT&amp;T grant project and reducing conference catering and speaker honorarium budgets. Advertising and licensing revenues for Public Libraries magazine and Digitallearn.org</w:t>
      </w:r>
      <w:r w:rsidR="00304E5E" w:rsidRPr="003A6B40">
        <w:rPr>
          <w:rFonts w:eastAsiaTheme="minorEastAsia" w:cs="Times New Roman"/>
          <w:sz w:val="24"/>
          <w:szCs w:val="24"/>
        </w:rPr>
        <w:t xml:space="preserve">, </w:t>
      </w:r>
      <w:r w:rsidR="00A55CA3" w:rsidRPr="003A6B40">
        <w:rPr>
          <w:rFonts w:eastAsiaTheme="minorEastAsia" w:cs="Times New Roman"/>
          <w:sz w:val="24"/>
          <w:szCs w:val="24"/>
        </w:rPr>
        <w:t xml:space="preserve">informed by updated forecasting, comprise the non-conference </w:t>
      </w:r>
      <w:r w:rsidR="00BF6A0A" w:rsidRPr="003A6B40">
        <w:rPr>
          <w:rFonts w:eastAsiaTheme="minorEastAsia" w:cs="Times New Roman"/>
          <w:sz w:val="24"/>
          <w:szCs w:val="24"/>
        </w:rPr>
        <w:t xml:space="preserve">related </w:t>
      </w:r>
      <w:r w:rsidR="00A55CA3" w:rsidRPr="003A6B40">
        <w:rPr>
          <w:rFonts w:eastAsiaTheme="minorEastAsia" w:cs="Times New Roman"/>
          <w:sz w:val="24"/>
          <w:szCs w:val="24"/>
        </w:rPr>
        <w:t xml:space="preserve">increase in revenue.  </w:t>
      </w:r>
    </w:p>
    <w:p w14:paraId="77888389" w14:textId="1478F85C" w:rsidR="00335289" w:rsidRPr="003A6B40" w:rsidRDefault="003E0DEF" w:rsidP="00143FC2">
      <w:pPr>
        <w:spacing w:after="200" w:line="276" w:lineRule="auto"/>
        <w:rPr>
          <w:rFonts w:eastAsiaTheme="minorEastAsia" w:cs="Times New Roman"/>
          <w:sz w:val="24"/>
          <w:szCs w:val="24"/>
        </w:rPr>
      </w:pPr>
      <w:r w:rsidRPr="003A6B40">
        <w:rPr>
          <w:rFonts w:eastAsiaTheme="minorEastAsia" w:cs="Times New Roman"/>
          <w:sz w:val="24"/>
          <w:szCs w:val="24"/>
        </w:rPr>
        <w:t>The proposed FY24 budget</w:t>
      </w:r>
      <w:r w:rsidR="00BF6A0A" w:rsidRPr="003A6B40">
        <w:rPr>
          <w:rFonts w:eastAsiaTheme="minorEastAsia" w:cs="Times New Roman"/>
          <w:sz w:val="24"/>
          <w:szCs w:val="24"/>
        </w:rPr>
        <w:t xml:space="preserve">, </w:t>
      </w:r>
      <w:r w:rsidRPr="003A6B40">
        <w:rPr>
          <w:rFonts w:eastAsiaTheme="minorEastAsia" w:cs="Times New Roman"/>
          <w:sz w:val="24"/>
          <w:szCs w:val="24"/>
        </w:rPr>
        <w:t xml:space="preserve">built using 2022 conference revenue as a baseline, </w:t>
      </w:r>
      <w:r w:rsidR="00304E5E" w:rsidRPr="003A6B40">
        <w:rPr>
          <w:rFonts w:eastAsiaTheme="minorEastAsia" w:cs="Times New Roman"/>
          <w:sz w:val="24"/>
          <w:szCs w:val="24"/>
        </w:rPr>
        <w:t>has been updated to reflect the most recent contracted expense information.  The budget projects a</w:t>
      </w:r>
      <w:r w:rsidRPr="003A6B40">
        <w:rPr>
          <w:rFonts w:eastAsiaTheme="minorEastAsia" w:cs="Times New Roman"/>
          <w:sz w:val="24"/>
          <w:szCs w:val="24"/>
        </w:rPr>
        <w:t xml:space="preserve"> </w:t>
      </w:r>
      <w:r w:rsidR="0012392A" w:rsidRPr="003A6B40">
        <w:rPr>
          <w:rFonts w:eastAsiaTheme="minorEastAsia" w:cs="Times New Roman"/>
          <w:sz w:val="24"/>
          <w:szCs w:val="24"/>
        </w:rPr>
        <w:t>5</w:t>
      </w:r>
      <w:r w:rsidRPr="003A6B40">
        <w:rPr>
          <w:rFonts w:eastAsiaTheme="minorEastAsia" w:cs="Times New Roman"/>
          <w:sz w:val="24"/>
          <w:szCs w:val="24"/>
        </w:rPr>
        <w:t xml:space="preserve">% increase in </w:t>
      </w:r>
      <w:r w:rsidR="00304E5E" w:rsidRPr="003A6B40">
        <w:rPr>
          <w:rFonts w:eastAsiaTheme="minorEastAsia" w:cs="Times New Roman"/>
          <w:sz w:val="24"/>
          <w:szCs w:val="24"/>
        </w:rPr>
        <w:t xml:space="preserve">conference </w:t>
      </w:r>
      <w:r w:rsidRPr="003A6B40">
        <w:rPr>
          <w:rFonts w:eastAsiaTheme="minorEastAsia" w:cs="Times New Roman"/>
          <w:sz w:val="24"/>
          <w:szCs w:val="24"/>
        </w:rPr>
        <w:t>expenses</w:t>
      </w:r>
      <w:r w:rsidR="0012392A" w:rsidRPr="003A6B40">
        <w:rPr>
          <w:rFonts w:eastAsiaTheme="minorEastAsia" w:cs="Times New Roman"/>
          <w:sz w:val="24"/>
          <w:szCs w:val="24"/>
        </w:rPr>
        <w:t xml:space="preserve"> over 2022</w:t>
      </w:r>
      <w:r w:rsidRPr="003A6B40">
        <w:rPr>
          <w:rFonts w:eastAsiaTheme="minorEastAsia" w:cs="Times New Roman"/>
          <w:sz w:val="24"/>
          <w:szCs w:val="24"/>
        </w:rPr>
        <w:t xml:space="preserve">, mostly due to inflation-driven factors (labor, venues, meal, and tech expenses). </w:t>
      </w:r>
    </w:p>
    <w:p w14:paraId="78945CB7" w14:textId="52771740" w:rsidR="00304E5E" w:rsidRPr="003A6B40" w:rsidRDefault="00304E5E" w:rsidP="00304E5E">
      <w:pPr>
        <w:spacing w:after="200" w:line="276" w:lineRule="auto"/>
        <w:contextualSpacing/>
        <w:rPr>
          <w:rFonts w:eastAsiaTheme="minorEastAsia" w:cs="Times New Roman"/>
          <w:sz w:val="24"/>
          <w:szCs w:val="24"/>
        </w:rPr>
      </w:pPr>
      <w:r w:rsidRPr="003A6B40">
        <w:rPr>
          <w:rFonts w:eastAsiaTheme="minorEastAsia" w:cs="Times New Roman"/>
          <w:sz w:val="24"/>
          <w:szCs w:val="24"/>
        </w:rPr>
        <w:t xml:space="preserve">The decision to increase conference registration fees by 5% is a move to address rising </w:t>
      </w:r>
      <w:r w:rsidR="00DD553A" w:rsidRPr="003A6B40">
        <w:rPr>
          <w:rFonts w:eastAsiaTheme="minorEastAsia" w:cs="Times New Roman"/>
          <w:sz w:val="24"/>
          <w:szCs w:val="24"/>
        </w:rPr>
        <w:t>costs and</w:t>
      </w:r>
      <w:r w:rsidRPr="003A6B40">
        <w:rPr>
          <w:rFonts w:eastAsiaTheme="minorEastAsia" w:cs="Times New Roman"/>
          <w:sz w:val="24"/>
          <w:szCs w:val="24"/>
        </w:rPr>
        <w:t xml:space="preserve"> align with current market conditions. </w:t>
      </w:r>
    </w:p>
    <w:p w14:paraId="13E4525B" w14:textId="062C9D1F" w:rsidR="00A306E7" w:rsidRPr="003A6B40" w:rsidRDefault="00A306E7" w:rsidP="00304E5E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6B40">
        <w:rPr>
          <w:sz w:val="24"/>
          <w:szCs w:val="24"/>
        </w:rPr>
        <w:t xml:space="preserve">The increase has been determined using the </w:t>
      </w:r>
      <w:hyperlink r:id="rId7" w:history="1">
        <w:r w:rsidRPr="003A6B40">
          <w:rPr>
            <w:color w:val="0563C1" w:themeColor="hyperlink"/>
            <w:sz w:val="24"/>
            <w:szCs w:val="24"/>
            <w:u w:val="single"/>
          </w:rPr>
          <w:t>U.S. Bureau of Labor Statistics</w:t>
        </w:r>
      </w:hyperlink>
      <w:r w:rsidRPr="003A6B40">
        <w:rPr>
          <w:sz w:val="24"/>
          <w:szCs w:val="24"/>
        </w:rPr>
        <w:t xml:space="preserve"> Consumer Price Index (CPI) tracking. As with PLA’s FY24 dues increase, the CPI average of 5% over the past three years is the basis for the increase. </w:t>
      </w:r>
    </w:p>
    <w:p w14:paraId="393839A3" w14:textId="299E7031" w:rsidR="00A306E7" w:rsidRPr="003A6B40" w:rsidRDefault="00A306E7" w:rsidP="00A306E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6B40">
        <w:rPr>
          <w:sz w:val="24"/>
          <w:szCs w:val="24"/>
        </w:rPr>
        <w:t xml:space="preserve">The 5% increase applies across all categories, </w:t>
      </w:r>
      <w:r w:rsidRPr="003A6B40">
        <w:rPr>
          <w:i/>
          <w:iCs/>
          <w:sz w:val="24"/>
          <w:szCs w:val="24"/>
        </w:rPr>
        <w:t>except student registration</w:t>
      </w:r>
      <w:r w:rsidRPr="003A6B40">
        <w:rPr>
          <w:sz w:val="24"/>
          <w:szCs w:val="24"/>
        </w:rPr>
        <w:t>. As with membership dues, we have frozen student registration rates</w:t>
      </w:r>
      <w:r w:rsidR="00240EF6" w:rsidRPr="003A6B40">
        <w:rPr>
          <w:sz w:val="24"/>
          <w:szCs w:val="24"/>
        </w:rPr>
        <w:t xml:space="preserve">. </w:t>
      </w:r>
    </w:p>
    <w:p w14:paraId="3D07EE1E" w14:textId="77777777" w:rsidR="00A306E7" w:rsidRPr="003A6B40" w:rsidRDefault="00A306E7" w:rsidP="00A306E7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A6B40">
        <w:rPr>
          <w:sz w:val="24"/>
          <w:szCs w:val="24"/>
        </w:rPr>
        <w:t>Budgeted registration revenue of $1.4 million has been projected using the 2022 registration revenue total as the baseline with a .05 multiplier.</w:t>
      </w:r>
    </w:p>
    <w:p w14:paraId="40E4043D" w14:textId="1306F81C" w:rsidR="00304E5E" w:rsidRDefault="00304E5E" w:rsidP="003A6B40">
      <w:pPr>
        <w:rPr>
          <w:rFonts w:ascii="Arial" w:hAnsi="Arial" w:cs="Arial"/>
        </w:rPr>
      </w:pPr>
      <w:r w:rsidRPr="003A6B40">
        <w:rPr>
          <w:sz w:val="24"/>
          <w:szCs w:val="24"/>
        </w:rPr>
        <w:t xml:space="preserve">PLA is not alone among </w:t>
      </w:r>
      <w:r w:rsidR="00A306E7" w:rsidRPr="003A6B40">
        <w:rPr>
          <w:sz w:val="24"/>
          <w:szCs w:val="24"/>
        </w:rPr>
        <w:t xml:space="preserve">ALA divisions (ACRL, CORE, ALSC, AASL) </w:t>
      </w:r>
      <w:r w:rsidRPr="003A6B40">
        <w:rPr>
          <w:sz w:val="24"/>
          <w:szCs w:val="24"/>
        </w:rPr>
        <w:t xml:space="preserve">with </w:t>
      </w:r>
      <w:r w:rsidR="00EE4B6F" w:rsidRPr="003A6B40">
        <w:rPr>
          <w:sz w:val="24"/>
          <w:szCs w:val="24"/>
        </w:rPr>
        <w:t xml:space="preserve">increased current and </w:t>
      </w:r>
      <w:r w:rsidR="00A306E7" w:rsidRPr="003A6B40">
        <w:rPr>
          <w:sz w:val="24"/>
          <w:szCs w:val="24"/>
        </w:rPr>
        <w:t xml:space="preserve">upcoming registration fees </w:t>
      </w:r>
      <w:r w:rsidR="00EE4B6F" w:rsidRPr="003A6B40">
        <w:rPr>
          <w:sz w:val="24"/>
          <w:szCs w:val="24"/>
        </w:rPr>
        <w:t xml:space="preserve">of </w:t>
      </w:r>
      <w:r w:rsidR="00A306E7" w:rsidRPr="003A6B40">
        <w:rPr>
          <w:sz w:val="24"/>
          <w:szCs w:val="24"/>
        </w:rPr>
        <w:t>5-10%</w:t>
      </w:r>
      <w:r w:rsidRPr="003A6B40">
        <w:rPr>
          <w:sz w:val="24"/>
          <w:szCs w:val="24"/>
        </w:rPr>
        <w:t>.</w:t>
      </w:r>
      <w:r w:rsidR="00EE4B6F" w:rsidRPr="003A6B40">
        <w:rPr>
          <w:sz w:val="24"/>
          <w:szCs w:val="24"/>
        </w:rPr>
        <w:t xml:space="preserve"> PLA’s increase, which will bring </w:t>
      </w:r>
      <w:r w:rsidRPr="003A6B40">
        <w:rPr>
          <w:sz w:val="24"/>
          <w:szCs w:val="24"/>
        </w:rPr>
        <w:t xml:space="preserve">full conference registration for PLA members to </w:t>
      </w:r>
      <w:r w:rsidRPr="003A6B40">
        <w:rPr>
          <w:sz w:val="24"/>
          <w:szCs w:val="24"/>
        </w:rPr>
        <w:lastRenderedPageBreak/>
        <w:t xml:space="preserve">$394 (advance) </w:t>
      </w:r>
      <w:r w:rsidR="00EE4B6F" w:rsidRPr="003A6B40">
        <w:rPr>
          <w:sz w:val="24"/>
          <w:szCs w:val="24"/>
        </w:rPr>
        <w:t xml:space="preserve">is comparable </w:t>
      </w:r>
      <w:r w:rsidRPr="003A6B40">
        <w:rPr>
          <w:sz w:val="24"/>
          <w:szCs w:val="24"/>
        </w:rPr>
        <w:t xml:space="preserve">to current </w:t>
      </w:r>
      <w:hyperlink r:id="rId8" w:history="1">
        <w:r w:rsidRPr="003A6B40">
          <w:rPr>
            <w:rStyle w:val="Hyperlink"/>
            <w:rFonts w:cstheme="minorBidi"/>
            <w:sz w:val="24"/>
            <w:szCs w:val="24"/>
          </w:rPr>
          <w:t xml:space="preserve">AASL </w:t>
        </w:r>
        <w:r w:rsidR="00DD553A" w:rsidRPr="003A6B40">
          <w:rPr>
            <w:rStyle w:val="Hyperlink"/>
            <w:rFonts w:cstheme="minorBidi"/>
            <w:sz w:val="24"/>
            <w:szCs w:val="24"/>
          </w:rPr>
          <w:t>registration</w:t>
        </w:r>
      </w:hyperlink>
      <w:r w:rsidRPr="003A6B40">
        <w:rPr>
          <w:sz w:val="24"/>
          <w:szCs w:val="24"/>
        </w:rPr>
        <w:t xml:space="preserve"> ($399 </w:t>
      </w:r>
      <w:r w:rsidR="00DD553A" w:rsidRPr="003A6B40">
        <w:rPr>
          <w:sz w:val="24"/>
          <w:szCs w:val="24"/>
        </w:rPr>
        <w:t xml:space="preserve">– member </w:t>
      </w:r>
      <w:r w:rsidRPr="003A6B40">
        <w:rPr>
          <w:sz w:val="24"/>
          <w:szCs w:val="24"/>
        </w:rPr>
        <w:t xml:space="preserve">advance) and </w:t>
      </w:r>
      <w:r w:rsidR="00EE4B6F" w:rsidRPr="003A6B40">
        <w:rPr>
          <w:sz w:val="24"/>
          <w:szCs w:val="24"/>
        </w:rPr>
        <w:t xml:space="preserve">significantly lower than the </w:t>
      </w:r>
      <w:hyperlink r:id="rId9" w:history="1">
        <w:r w:rsidR="00EE4B6F" w:rsidRPr="003A6B40">
          <w:rPr>
            <w:rStyle w:val="Hyperlink"/>
            <w:rFonts w:cstheme="minorBidi"/>
            <w:sz w:val="24"/>
            <w:szCs w:val="24"/>
          </w:rPr>
          <w:t>2023 ACRL</w:t>
        </w:r>
      </w:hyperlink>
      <w:r w:rsidR="00EE4B6F" w:rsidRPr="003A6B40">
        <w:rPr>
          <w:sz w:val="24"/>
          <w:szCs w:val="24"/>
        </w:rPr>
        <w:t xml:space="preserve"> ($469 – </w:t>
      </w:r>
      <w:r w:rsidR="00DD553A" w:rsidRPr="003A6B40">
        <w:rPr>
          <w:sz w:val="24"/>
          <w:szCs w:val="24"/>
        </w:rPr>
        <w:t xml:space="preserve">member </w:t>
      </w:r>
      <w:r w:rsidR="00EE4B6F" w:rsidRPr="003A6B40">
        <w:rPr>
          <w:sz w:val="24"/>
          <w:szCs w:val="24"/>
        </w:rPr>
        <w:t xml:space="preserve">advance) rates. </w:t>
      </w:r>
      <w:r w:rsidR="00A306E7" w:rsidRPr="003A6B40">
        <w:rPr>
          <w:sz w:val="24"/>
          <w:szCs w:val="24"/>
        </w:rPr>
        <w:t xml:space="preserve"> </w:t>
      </w:r>
    </w:p>
    <w:sectPr w:rsidR="00304E5E" w:rsidSect="00AB70A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0CB317" w14:textId="77777777" w:rsidR="00E836E2" w:rsidRDefault="00E836E2">
      <w:pPr>
        <w:spacing w:after="0" w:line="240" w:lineRule="auto"/>
      </w:pPr>
      <w:r>
        <w:separator/>
      </w:r>
    </w:p>
  </w:endnote>
  <w:endnote w:type="continuationSeparator" w:id="0">
    <w:p w14:paraId="69EC07E8" w14:textId="77777777" w:rsidR="00E836E2" w:rsidRDefault="00E8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4D4F9" w14:textId="77777777" w:rsidR="00F72D85" w:rsidRDefault="00F72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B9455" w14:textId="77777777" w:rsidR="00F72D85" w:rsidRDefault="00F72D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8FE15" w14:textId="77777777" w:rsidR="00F72D85" w:rsidRDefault="00F72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8EF9E" w14:textId="77777777" w:rsidR="00E836E2" w:rsidRDefault="00E836E2">
      <w:pPr>
        <w:spacing w:after="0" w:line="240" w:lineRule="auto"/>
      </w:pPr>
      <w:r>
        <w:separator/>
      </w:r>
    </w:p>
  </w:footnote>
  <w:footnote w:type="continuationSeparator" w:id="0">
    <w:p w14:paraId="75950A49" w14:textId="77777777" w:rsidR="00E836E2" w:rsidRDefault="00E83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229E" w14:textId="77777777" w:rsidR="00F72D85" w:rsidRDefault="00F72D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FDAAB" w14:textId="77777777" w:rsidR="00F72D85" w:rsidRDefault="00F72D85" w:rsidP="00F72D85">
    <w:pPr>
      <w:pStyle w:val="Header"/>
      <w:jc w:val="right"/>
    </w:pPr>
    <w:r>
      <w:t>PLA Board of Directors</w:t>
    </w:r>
  </w:p>
  <w:p w14:paraId="0324CE6E" w14:textId="048BE7F5" w:rsidR="00F72D85" w:rsidRDefault="00F72D85" w:rsidP="00F72D85">
    <w:pPr>
      <w:pStyle w:val="Header"/>
      <w:jc w:val="right"/>
    </w:pPr>
    <w:r>
      <w:t>May 18, 2023 Virtual Meeting</w:t>
    </w:r>
  </w:p>
  <w:p w14:paraId="3610128D" w14:textId="049FB377" w:rsidR="00F72D85" w:rsidRDefault="00F72D85" w:rsidP="00F72D85">
    <w:pPr>
      <w:pStyle w:val="Header"/>
      <w:jc w:val="right"/>
    </w:pPr>
    <w:r>
      <w:t>Document no.: 2023.39</w:t>
    </w:r>
  </w:p>
  <w:p w14:paraId="7C70EB11" w14:textId="77777777" w:rsidR="0028307C" w:rsidRPr="00913926" w:rsidRDefault="0028307C" w:rsidP="002830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B111" w14:textId="77777777" w:rsidR="00F72D85" w:rsidRDefault="00F72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E1544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0C4EF9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7355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2033BE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29426B0"/>
    <w:multiLevelType w:val="hybridMultilevel"/>
    <w:tmpl w:val="FFFFFFFF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6F5086"/>
    <w:multiLevelType w:val="hybridMultilevel"/>
    <w:tmpl w:val="C4161AD6"/>
    <w:lvl w:ilvl="0" w:tplc="00F63E8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278D7"/>
    <w:multiLevelType w:val="multilevel"/>
    <w:tmpl w:val="3BE6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061F8C"/>
    <w:multiLevelType w:val="hybridMultilevel"/>
    <w:tmpl w:val="47DE9D5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B4305C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34727">
    <w:abstractNumId w:val="3"/>
  </w:num>
  <w:num w:numId="2" w16cid:durableId="1638801238">
    <w:abstractNumId w:val="2"/>
  </w:num>
  <w:num w:numId="3" w16cid:durableId="2090349623">
    <w:abstractNumId w:val="8"/>
  </w:num>
  <w:num w:numId="4" w16cid:durableId="538707605">
    <w:abstractNumId w:val="1"/>
  </w:num>
  <w:num w:numId="5" w16cid:durableId="1657225868">
    <w:abstractNumId w:val="0"/>
  </w:num>
  <w:num w:numId="6" w16cid:durableId="1695305877">
    <w:abstractNumId w:val="4"/>
  </w:num>
  <w:num w:numId="7" w16cid:durableId="270629844">
    <w:abstractNumId w:val="6"/>
  </w:num>
  <w:num w:numId="8" w16cid:durableId="1782652715">
    <w:abstractNumId w:val="7"/>
  </w:num>
  <w:num w:numId="9" w16cid:durableId="5412839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C2"/>
    <w:rsid w:val="0012392A"/>
    <w:rsid w:val="00143FC2"/>
    <w:rsid w:val="00165B6F"/>
    <w:rsid w:val="001704E7"/>
    <w:rsid w:val="001A2226"/>
    <w:rsid w:val="00240EF6"/>
    <w:rsid w:val="00275098"/>
    <w:rsid w:val="0028307C"/>
    <w:rsid w:val="00304E5E"/>
    <w:rsid w:val="00335289"/>
    <w:rsid w:val="00355939"/>
    <w:rsid w:val="003A6B40"/>
    <w:rsid w:val="003B38AC"/>
    <w:rsid w:val="003E0DEF"/>
    <w:rsid w:val="00446163"/>
    <w:rsid w:val="004F57C9"/>
    <w:rsid w:val="00502C3A"/>
    <w:rsid w:val="00507733"/>
    <w:rsid w:val="005E0DB5"/>
    <w:rsid w:val="00683CED"/>
    <w:rsid w:val="006D4A03"/>
    <w:rsid w:val="006F7840"/>
    <w:rsid w:val="00716C37"/>
    <w:rsid w:val="00771CF8"/>
    <w:rsid w:val="007A3B0E"/>
    <w:rsid w:val="008057BB"/>
    <w:rsid w:val="00A304C3"/>
    <w:rsid w:val="00A306E7"/>
    <w:rsid w:val="00A55CA3"/>
    <w:rsid w:val="00BF46DB"/>
    <w:rsid w:val="00BF6A0A"/>
    <w:rsid w:val="00D01AE5"/>
    <w:rsid w:val="00DD553A"/>
    <w:rsid w:val="00DE5E05"/>
    <w:rsid w:val="00E33679"/>
    <w:rsid w:val="00E67167"/>
    <w:rsid w:val="00E836E2"/>
    <w:rsid w:val="00EC7019"/>
    <w:rsid w:val="00EE4B6F"/>
    <w:rsid w:val="00F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3A9B16E"/>
  <w15:chartTrackingRefBased/>
  <w15:docId w15:val="{A30FC5BA-CADC-4573-9526-63B62DC0F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FC2"/>
    <w:pPr>
      <w:spacing w:after="200" w:line="276" w:lineRule="auto"/>
      <w:ind w:left="720"/>
      <w:contextualSpacing/>
    </w:pPr>
    <w:rPr>
      <w:rFonts w:eastAsiaTheme="minorEastAsia" w:cs="Times New Roman"/>
    </w:rPr>
  </w:style>
  <w:style w:type="paragraph" w:styleId="Header">
    <w:name w:val="header"/>
    <w:basedOn w:val="Normal"/>
    <w:link w:val="HeaderChar"/>
    <w:unhideWhenUsed/>
    <w:rsid w:val="00143FC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HeaderChar">
    <w:name w:val="Header Char"/>
    <w:basedOn w:val="DefaultParagraphFont"/>
    <w:link w:val="Header"/>
    <w:rsid w:val="00143FC2"/>
    <w:rPr>
      <w:rFonts w:eastAsiaTheme="minorEastAsia" w:cs="Times New Roman"/>
    </w:rPr>
  </w:style>
  <w:style w:type="paragraph" w:styleId="Footer">
    <w:name w:val="footer"/>
    <w:basedOn w:val="Normal"/>
    <w:link w:val="FooterChar"/>
    <w:uiPriority w:val="99"/>
    <w:unhideWhenUsed/>
    <w:rsid w:val="00143FC2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43FC2"/>
    <w:rPr>
      <w:rFonts w:eastAsiaTheme="minorEastAsia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FC2"/>
    <w:pPr>
      <w:numPr>
        <w:ilvl w:val="1"/>
      </w:numPr>
      <w:spacing w:line="276" w:lineRule="auto"/>
    </w:pPr>
    <w:rPr>
      <w:rFonts w:eastAsiaTheme="minorEastAsia" w:cs="Times New Roman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43FC2"/>
    <w:rPr>
      <w:rFonts w:eastAsiaTheme="minorEastAsia" w:cs="Times New Roman"/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143FC2"/>
    <w:rPr>
      <w:rFonts w:cs="Times New Roman"/>
      <w:color w:val="0563C1" w:themeColor="hyperlink"/>
      <w:u w:val="single"/>
    </w:rPr>
  </w:style>
  <w:style w:type="paragraph" w:customStyle="1" w:styleId="xmsonormal">
    <w:name w:val="xmsonormal"/>
    <w:basedOn w:val="Normal"/>
    <w:rsid w:val="004461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normal">
    <w:name w:val="xxxmsonormal"/>
    <w:basedOn w:val="Normal"/>
    <w:rsid w:val="004461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customStyle="1" w:styleId="xxxmsolistparagraph">
    <w:name w:val="xxxmsolistparagraph"/>
    <w:basedOn w:val="Normal"/>
    <w:rsid w:val="0044616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DD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9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a.org/aasl/conferences/aasl23/registratio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eb.cvent.com/event/2c47cb63-a540-46a6-b561-c93f75c86d12/websitePage:d7e91f23-c03c-4755-8da8-be8faa0e867d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Davis Fournier</dc:creator>
  <cp:keywords/>
  <dc:description/>
  <cp:lastModifiedBy>Megan Stewart</cp:lastModifiedBy>
  <cp:revision>8</cp:revision>
  <cp:lastPrinted>2023-02-10T19:08:00Z</cp:lastPrinted>
  <dcterms:created xsi:type="dcterms:W3CDTF">2023-05-11T20:22:00Z</dcterms:created>
  <dcterms:modified xsi:type="dcterms:W3CDTF">2023-05-15T20:48:00Z</dcterms:modified>
</cp:coreProperties>
</file>