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Resolution to Achieve Carbon Neutrality for ALA Conferences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Whereas ALA Council adopted Sustainability as an ALA Core Value in January 2019 (ALA CD37, Council Documents 2019 ALA Midwinter Conference)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Whereas it is recognized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that conferences/events generate a substantial carbon footprint for in-person events and generate a technology-based carbon footprint for virtual events;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   Whereas ALA divisions and units are aware of the need to address the carbon impact and other sustainability aspects of conference gatherings but initiatives are inconsistent </w:t>
      </w:r>
      <w:r w:rsidDel="00000000" w:rsidR="00000000" w:rsidRPr="00000000">
        <w:rPr>
          <w:vertAlign w:val="superscript"/>
          <w:rtl w:val="0"/>
        </w:rPr>
        <w:t xml:space="preserve">3,4,5</w:t>
      </w:r>
      <w:r w:rsidDel="00000000" w:rsidR="00000000" w:rsidRPr="00000000">
        <w:rPr>
          <w:rtl w:val="0"/>
        </w:rPr>
        <w:t xml:space="preserve"> ;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Whereas the ALA Executive Board </w:t>
      </w:r>
      <w:r w:rsidDel="00000000" w:rsidR="00000000" w:rsidRPr="00000000">
        <w:rPr>
          <w:rtl w:val="0"/>
        </w:rPr>
        <w:t xml:space="preserve">implemented a voluntary carbon offset fee</w:t>
      </w:r>
      <w:r w:rsidDel="00000000" w:rsidR="00000000" w:rsidRPr="00000000">
        <w:rPr>
          <w:rtl w:val="0"/>
        </w:rPr>
        <w:t xml:space="preserve"> for conference attendance beginning with Midwinter 2020 (in-person);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Whereas ALA Conference Services has purchased carbon offsets for ALA Midwinter and Annual equating to about 50% of estimated carbon footprint generation, beginning with Midwinter 2020;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Whereas continuing ALA’s ongoing voluntary efforts and strengthening these efforts through a measurable goal and supporting policy would be a strong way to demonstrate ALA’s and members’ commitment to sustainability; now therefore be it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Resolved that the American Library Association (ALA) including its Divisions, on behalf of its members: </w:t>
      </w:r>
    </w:p>
    <w:p w:rsidR="00000000" w:rsidDel="00000000" w:rsidP="00000000" w:rsidRDefault="00000000" w:rsidRPr="00000000" w14:paraId="0000000A">
      <w:pPr>
        <w:spacing w:after="240" w:before="240" w:lineRule="auto"/>
        <w:ind w:left="360" w:firstLine="0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shall pursue a goal of carbon neutrality for all ALA conferences by the year 2025 and shall remain carbon neutral for these events thereafter;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shall delegate to the Sustainability </w:t>
      </w:r>
      <w:r w:rsidDel="00000000" w:rsidR="00000000" w:rsidRPr="00000000">
        <w:rPr>
          <w:rtl w:val="0"/>
        </w:rPr>
        <w:t xml:space="preserve">Committee</w:t>
      </w:r>
      <w:r w:rsidDel="00000000" w:rsidR="00000000" w:rsidRPr="00000000">
        <w:rPr>
          <w:rtl w:val="0"/>
        </w:rPr>
        <w:t xml:space="preserve"> to assist and track progress toward this goal; and</w:t>
      </w:r>
    </w:p>
    <w:p w:rsidR="00000000" w:rsidDel="00000000" w:rsidP="00000000" w:rsidRDefault="00000000" w:rsidRPr="00000000" w14:paraId="0000000C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3.   shall encourage all roundtables, chapters, affiliates, and others who work with the Association to consider adopting similar goals to reduce carbon footprint.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Mover: Matthew Bollerman, SustainRT Councilor, (631-678-5480)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Seconder: Ed Garcia, ALA Executive Board, (401-497-8992)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Ray Pun, Councilor at Large, (917-667-6630)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References/Pertinent Background Information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ALA Council, “ALA Council Minutes 2019 ALA Midwinter Meeting Seattle, WA.” American Library Association, January 27, 2019,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http://www.ala.org/aboutala/sites/ala.org.aboutala/files/content/ALA%20CD%202.1%20Midwinter%20Minutes_FINAL_0.pdf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McGee, Regina, ”Meetings and Climate Change,” </w:t>
      </w:r>
      <w:r w:rsidDel="00000000" w:rsidR="00000000" w:rsidRPr="00000000">
        <w:rPr>
          <w:i w:val="1"/>
          <w:rtl w:val="0"/>
        </w:rPr>
        <w:t xml:space="preserve">PCMA Convene </w:t>
      </w:r>
      <w:r w:rsidDel="00000000" w:rsidR="00000000" w:rsidRPr="00000000">
        <w:rPr>
          <w:rtl w:val="0"/>
        </w:rPr>
        <w:t xml:space="preserve">26 Feburary (2016),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https://www.pcmaconvene.org/features/cmp-series/meetings-and-climate-change/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Hall, Tracie. “Updated ALA Carbon Offsets Practices/Protocols Spreadsheet,” May 17, 2021.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“Sustainability,” ACRL 2021, Association of College and Research Libraries, Accessed December 17, 2020,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https://conference.acrl.org/registration/sustainability/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Hutchens, Kate, “Carbon Offsets and RBMS Conference Travel,” RBMS 2019, ACRL Rare Books and Manuscripts Section,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http://conference.rbms.info/2019/2019/04/10/carbon-offsets-and-rbms-conference-travel/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nference.rbms.info/2019/2019/04/10/carbon-offsets-and-rbms-conference-travel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la.org/aboutala/sites/ala.org.aboutala/files/content/ALA%20CD%202.1%20Midwinter%20Minutes_FINAL_0.pdf" TargetMode="External"/><Relationship Id="rId7" Type="http://schemas.openxmlformats.org/officeDocument/2006/relationships/hyperlink" Target="https://www.pcmaconvene.org/features/cmp-series/meetings-and-climate-change/" TargetMode="External"/><Relationship Id="rId8" Type="http://schemas.openxmlformats.org/officeDocument/2006/relationships/hyperlink" Target="https://conference.acrl.org/registration/sustain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