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C0D8" w14:textId="3857FFBD" w:rsidR="00D7709D" w:rsidRPr="008E08EC" w:rsidRDefault="00D7709D" w:rsidP="00D7709D">
      <w:pPr>
        <w:rPr>
          <w:b/>
          <w:bCs/>
        </w:rPr>
      </w:pPr>
      <w:bookmarkStart w:id="0" w:name="_GoBack"/>
      <w:bookmarkEnd w:id="0"/>
      <w:r w:rsidRPr="008E08EC">
        <w:rPr>
          <w:b/>
          <w:bCs/>
        </w:rPr>
        <w:t>Report to SAC from Barbara Bushman</w:t>
      </w:r>
      <w:r w:rsidR="00C33BAC" w:rsidRPr="008E08EC">
        <w:rPr>
          <w:b/>
          <w:bCs/>
        </w:rPr>
        <w:t>,</w:t>
      </w:r>
      <w:r w:rsidRPr="008E08EC">
        <w:rPr>
          <w:b/>
          <w:bCs/>
        </w:rPr>
        <w:t xml:space="preserve"> NLM Liaison</w:t>
      </w:r>
    </w:p>
    <w:p w14:paraId="532F4A22" w14:textId="259D8CCC" w:rsidR="00D7709D" w:rsidRDefault="001D265D" w:rsidP="00D7709D">
      <w:r>
        <w:t xml:space="preserve">January </w:t>
      </w:r>
      <w:r w:rsidR="00D7709D">
        <w:t>202</w:t>
      </w:r>
      <w:r w:rsidR="005D625D">
        <w:t>2</w:t>
      </w:r>
    </w:p>
    <w:p w14:paraId="6175A4FC" w14:textId="77777777" w:rsidR="00B718C4" w:rsidRDefault="00B718C4" w:rsidP="00B718C4">
      <w:pPr>
        <w:pStyle w:val="Heading2"/>
      </w:pPr>
      <w:r w:rsidRPr="00A32740">
        <w:t>COVID-19</w:t>
      </w:r>
    </w:p>
    <w:p w14:paraId="794746AA" w14:textId="27E5F128" w:rsidR="00B718C4" w:rsidRDefault="00B718C4" w:rsidP="00B718C4">
      <w:r w:rsidRPr="00A32740">
        <w:t>Most NLM employees remain in maximum telework as of the issuance of this report.</w:t>
      </w:r>
      <w:r>
        <w:t xml:space="preserve"> </w:t>
      </w:r>
      <w:r w:rsidR="00BC793F">
        <w:t>A few staff</w:t>
      </w:r>
      <w:r w:rsidR="00F31B2D">
        <w:t xml:space="preserve"> </w:t>
      </w:r>
      <w:r w:rsidR="00BC793F">
        <w:t xml:space="preserve">have returned on site to perform </w:t>
      </w:r>
      <w:r w:rsidR="002D292E">
        <w:t>essential</w:t>
      </w:r>
      <w:r w:rsidR="00BC793F">
        <w:t xml:space="preserve"> functions including </w:t>
      </w:r>
      <w:r w:rsidR="008E08EC">
        <w:t>those related to collection management</w:t>
      </w:r>
      <w:r w:rsidR="00BC793F">
        <w:t>.</w:t>
      </w:r>
      <w:r w:rsidR="002D292E">
        <w:t xml:space="preserve">  NLM </w:t>
      </w:r>
      <w:r w:rsidR="00F31B2D">
        <w:t>remains closed</w:t>
      </w:r>
      <w:r w:rsidR="002D292E">
        <w:t xml:space="preserve"> to public visits.</w:t>
      </w:r>
    </w:p>
    <w:p w14:paraId="229A0CE7" w14:textId="2C5613CB" w:rsidR="00B718C4" w:rsidRDefault="006D252D" w:rsidP="006D252D">
      <w:pPr>
        <w:pStyle w:val="Heading2"/>
      </w:pPr>
      <w:r>
        <w:t>Alma Community Zone</w:t>
      </w:r>
      <w:r w:rsidR="001F712A">
        <w:t xml:space="preserve"> Updates</w:t>
      </w:r>
    </w:p>
    <w:p w14:paraId="56F4D297" w14:textId="78DDAA2D" w:rsidR="008357D1" w:rsidRDefault="008357D1" w:rsidP="00A628AE">
      <w:pPr>
        <w:pStyle w:val="Heading2"/>
        <w:rPr>
          <w:sz w:val="22"/>
          <w:szCs w:val="22"/>
        </w:rPr>
      </w:pPr>
      <w:r w:rsidRPr="00A628AE">
        <w:rPr>
          <w:sz w:val="22"/>
          <w:szCs w:val="22"/>
        </w:rPr>
        <w:t>LC</w:t>
      </w:r>
      <w:r w:rsidR="00A628AE" w:rsidRPr="00A628AE">
        <w:rPr>
          <w:sz w:val="22"/>
          <w:szCs w:val="22"/>
        </w:rPr>
        <w:t>NAMES</w:t>
      </w:r>
    </w:p>
    <w:p w14:paraId="6AD676BB" w14:textId="621223CE" w:rsidR="00A628AE" w:rsidRPr="00A628AE" w:rsidRDefault="00C15C08" w:rsidP="00A628AE">
      <w:r>
        <w:t>Through an arrangement with NLM, the LCNAMES (LCNAF) file in the Alma Community zone</w:t>
      </w:r>
      <w:r w:rsidR="00F96288">
        <w:t xml:space="preserve"> (CZ)</w:t>
      </w:r>
      <w:r>
        <w:t xml:space="preserve"> is now updated on daily basis.  Previously the file was updated weekly</w:t>
      </w:r>
      <w:r w:rsidR="001F712A">
        <w:t>.</w:t>
      </w:r>
    </w:p>
    <w:p w14:paraId="2A4092C7" w14:textId="77997978" w:rsidR="008357D1" w:rsidRPr="008357D1" w:rsidRDefault="008357D1" w:rsidP="008357D1">
      <w:pPr>
        <w:pStyle w:val="Heading2"/>
        <w:rPr>
          <w:sz w:val="22"/>
          <w:szCs w:val="22"/>
        </w:rPr>
      </w:pPr>
      <w:r w:rsidRPr="008357D1">
        <w:rPr>
          <w:sz w:val="22"/>
          <w:szCs w:val="22"/>
        </w:rPr>
        <w:t>MeSH</w:t>
      </w:r>
    </w:p>
    <w:p w14:paraId="0DC6095A" w14:textId="01657563" w:rsidR="006D252D" w:rsidRDefault="00BE7C22" w:rsidP="006D252D">
      <w:r>
        <w:t xml:space="preserve">NLM worked with </w:t>
      </w:r>
      <w:proofErr w:type="spellStart"/>
      <w:r>
        <w:t>ExLibris</w:t>
      </w:r>
      <w:proofErr w:type="spellEnd"/>
      <w:r>
        <w:t xml:space="preserve"> to ensure MeSH </w:t>
      </w:r>
      <w:r w:rsidR="00FB0174">
        <w:t xml:space="preserve">in the Community zone </w:t>
      </w:r>
      <w:r>
        <w:t xml:space="preserve">is updated </w:t>
      </w:r>
      <w:r w:rsidR="00FB0174">
        <w:t>on the following schedule:</w:t>
      </w:r>
    </w:p>
    <w:p w14:paraId="2C5516A8" w14:textId="287D4BB9" w:rsidR="00FB0174" w:rsidRDefault="00FB0174" w:rsidP="006D252D">
      <w:r>
        <w:t xml:space="preserve">January – June: </w:t>
      </w:r>
      <w:r w:rsidR="00A67CD5">
        <w:t xml:space="preserve">Loaded into Alma CZ on the </w:t>
      </w:r>
      <w:r>
        <w:t>5</w:t>
      </w:r>
      <w:r w:rsidRPr="00FB0174">
        <w:rPr>
          <w:vertAlign w:val="superscript"/>
        </w:rPr>
        <w:t>th</w:t>
      </w:r>
      <w:r>
        <w:t xml:space="preserve"> of the month</w:t>
      </w:r>
    </w:p>
    <w:p w14:paraId="40FA08B9" w14:textId="77777777" w:rsidR="0039167D" w:rsidRDefault="00A67CD5" w:rsidP="0039167D">
      <w:r>
        <w:t>July, September - December: All loaded on December 5</w:t>
      </w:r>
      <w:r w:rsidRPr="0039167D">
        <w:rPr>
          <w:vertAlign w:val="superscript"/>
        </w:rPr>
        <w:t>t</w:t>
      </w:r>
      <w:r w:rsidR="0039167D" w:rsidRPr="0039167D">
        <w:rPr>
          <w:vertAlign w:val="superscript"/>
        </w:rPr>
        <w:t>h</w:t>
      </w:r>
    </w:p>
    <w:p w14:paraId="148AFF5E" w14:textId="77777777" w:rsidR="003371FE" w:rsidRDefault="0039167D" w:rsidP="0039167D">
      <w:pPr>
        <w:pStyle w:val="ListParagraph"/>
        <w:numPr>
          <w:ilvl w:val="0"/>
          <w:numId w:val="43"/>
        </w:numPr>
      </w:pPr>
      <w:r>
        <w:t xml:space="preserve">The July file </w:t>
      </w:r>
      <w:r w:rsidR="003371FE">
        <w:t>contains the preliminary version of the following year’s vocabulary</w:t>
      </w:r>
    </w:p>
    <w:p w14:paraId="6B20F713" w14:textId="33737518" w:rsidR="00FB0174" w:rsidRDefault="00A67CD5" w:rsidP="0039167D">
      <w:pPr>
        <w:pStyle w:val="ListParagraph"/>
        <w:numPr>
          <w:ilvl w:val="0"/>
          <w:numId w:val="43"/>
        </w:numPr>
      </w:pPr>
      <w:r>
        <w:t>No update file is published in August.</w:t>
      </w:r>
    </w:p>
    <w:p w14:paraId="6F5FD92E" w14:textId="290E3246" w:rsidR="003371FE" w:rsidRDefault="003371FE" w:rsidP="0039167D">
      <w:pPr>
        <w:pStyle w:val="ListParagraph"/>
        <w:numPr>
          <w:ilvl w:val="0"/>
          <w:numId w:val="43"/>
        </w:numPr>
      </w:pPr>
      <w:r>
        <w:t xml:space="preserve">The September, October, November, and December files are updates </w:t>
      </w:r>
      <w:r w:rsidR="001A350B">
        <w:t>which provide the finalized version of the vocabulary for the coming year</w:t>
      </w:r>
    </w:p>
    <w:p w14:paraId="5A42B9A5" w14:textId="17FD07B5" w:rsidR="008159BC" w:rsidRDefault="001B38B3" w:rsidP="008159BC">
      <w:r>
        <w:t>For the 2022 MeSH Vocabulary</w:t>
      </w:r>
      <w:r w:rsidR="00816A28">
        <w:t>, the entire MeSH file was updated to add the 024 containing the MeSH RDF URI.</w:t>
      </w:r>
      <w:r w:rsidR="008159BC">
        <w:t xml:space="preserve">  </w:t>
      </w:r>
      <w:proofErr w:type="spellStart"/>
      <w:r w:rsidR="008159BC">
        <w:t>ExLibris</w:t>
      </w:r>
      <w:proofErr w:type="spellEnd"/>
      <w:r w:rsidR="008159BC">
        <w:t xml:space="preserve"> successfully loaded the 2022 MeSH vocabulary on December 7, 2021.</w:t>
      </w:r>
    </w:p>
    <w:p w14:paraId="28E83994" w14:textId="64C4CD36" w:rsidR="00E20663" w:rsidRDefault="00F07EF5" w:rsidP="00E20663">
      <w:pPr>
        <w:pStyle w:val="Heading2"/>
      </w:pPr>
      <w:r>
        <w:t>MeSH</w:t>
      </w:r>
      <w:r w:rsidR="00765C62">
        <w:t xml:space="preserve"> Update</w:t>
      </w:r>
    </w:p>
    <w:p w14:paraId="6D0181AE" w14:textId="7794CD0F" w:rsidR="00D70FCD" w:rsidRPr="00C502C5" w:rsidRDefault="00D70FCD" w:rsidP="00D70FCD">
      <w:pPr>
        <w:rPr>
          <w:rStyle w:val="Hyperlink"/>
        </w:rPr>
      </w:pPr>
      <w:r>
        <w:t xml:space="preserve">See </w:t>
      </w:r>
      <w:r w:rsidR="00C502C5">
        <w:fldChar w:fldCharType="begin"/>
      </w:r>
      <w:r w:rsidR="00C502C5">
        <w:instrText xml:space="preserve"> HYPERLINK "https://www.nlm.nih.gov/pubs/techbull/nd21/nd21_medline_data_changes_2022.html" </w:instrText>
      </w:r>
      <w:r w:rsidR="00C502C5">
        <w:fldChar w:fldCharType="separate"/>
      </w:r>
      <w:r w:rsidRPr="00C502C5">
        <w:rPr>
          <w:rStyle w:val="Hyperlink"/>
        </w:rPr>
        <w:t>NLM Technical Bulletin November-December 202</w:t>
      </w:r>
      <w:r w:rsidR="00C502C5">
        <w:rPr>
          <w:rStyle w:val="Hyperlink"/>
        </w:rPr>
        <w:t>1</w:t>
      </w:r>
    </w:p>
    <w:p w14:paraId="7BF5C4DF" w14:textId="5E33B811" w:rsidR="00D70FCD" w:rsidRDefault="00C502C5" w:rsidP="00D7709D">
      <w:r>
        <w:fldChar w:fldCharType="end"/>
      </w:r>
      <w:r w:rsidR="00D70FCD">
        <w:t>202</w:t>
      </w:r>
      <w:r w:rsidR="00741B99">
        <w:t>2</w:t>
      </w:r>
      <w:r w:rsidR="00D70FCD">
        <w:t xml:space="preserve"> MeSH was adopted for cataloging on December</w:t>
      </w:r>
      <w:r w:rsidR="00C342BC">
        <w:t xml:space="preserve"> 9</w:t>
      </w:r>
      <w:r w:rsidR="00D70FCD">
        <w:t xml:space="preserve">, </w:t>
      </w:r>
      <w:r w:rsidR="00741B99">
        <w:t>2021,</w:t>
      </w:r>
      <w:r w:rsidR="00D70FCD">
        <w:t xml:space="preserve"> and PubMed was updated on December 1</w:t>
      </w:r>
      <w:r w:rsidR="00C342BC">
        <w:t>6</w:t>
      </w:r>
      <w:r w:rsidR="00D70FCD">
        <w:t xml:space="preserve">. </w:t>
      </w:r>
    </w:p>
    <w:p w14:paraId="24D2E79F" w14:textId="1809AF51" w:rsidR="00D70FCD" w:rsidRDefault="00D70FCD" w:rsidP="00D70FCD">
      <w:pPr>
        <w:pStyle w:val="Heading3"/>
      </w:pPr>
      <w:r>
        <w:t>Changes to MESH Headings</w:t>
      </w:r>
    </w:p>
    <w:p w14:paraId="5641B73B" w14:textId="76025E1F" w:rsidR="00F61FC8" w:rsidRDefault="007857D6" w:rsidP="00D7709D">
      <w:r>
        <w:t>Twenty</w:t>
      </w:r>
      <w:r w:rsidR="00033BB9">
        <w:t>-</w:t>
      </w:r>
      <w:r>
        <w:t>four</w:t>
      </w:r>
      <w:r w:rsidR="00D70FCD">
        <w:t xml:space="preserve"> MeSH headings were either changed or deleted and replaced with up-to-date terminology:</w:t>
      </w:r>
    </w:p>
    <w:tbl>
      <w:tblPr>
        <w:tblW w:w="128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7695"/>
      </w:tblGrid>
      <w:tr w:rsidR="00D70FCD" w:rsidRPr="00D70FCD" w14:paraId="6CFE2B40" w14:textId="77777777" w:rsidTr="00D70FCD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01865" w14:textId="77777777" w:rsidR="00D70FCD" w:rsidRPr="00D70FCD" w:rsidRDefault="00D70FCD" w:rsidP="00D70FCD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D70FCD"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Replaced Term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4A8D7" w14:textId="77777777" w:rsidR="00D70FCD" w:rsidRPr="00D70FCD" w:rsidRDefault="00D70FCD" w:rsidP="00D70FCD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D70FCD"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Replaced-By Term</w:t>
            </w:r>
          </w:p>
        </w:tc>
      </w:tr>
      <w:tr w:rsidR="007A68B1" w:rsidRPr="00D70FCD" w14:paraId="2FBE0C1D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E2CB6" w14:textId="1CB1C9B6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African Continental Ancestry Group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622B4" w14:textId="6B941153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Blacks</w:t>
              </w:r>
            </w:hyperlink>
          </w:p>
        </w:tc>
      </w:tr>
      <w:tr w:rsidR="007A68B1" w:rsidRPr="00D70FCD" w14:paraId="3218BC22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37B45" w14:textId="2A697E90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American Natives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CCB87" w14:textId="2C2912E3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American Indians or Alaska Natives</w:t>
              </w:r>
            </w:hyperlink>
          </w:p>
        </w:tc>
      </w:tr>
      <w:tr w:rsidR="007A68B1" w:rsidRPr="00D70FCD" w14:paraId="5BF89EBC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61FC4" w14:textId="3EC64743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Anabaena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flos-aquae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DA3FA" w14:textId="57A8A30A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proofErr w:type="spellStart"/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Dolichospermum</w:t>
              </w:r>
              <w:proofErr w:type="spellEnd"/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flos-aquae</w:t>
              </w:r>
              <w:proofErr w:type="spellEnd"/>
            </w:hyperlink>
          </w:p>
        </w:tc>
      </w:tr>
      <w:tr w:rsidR="007A68B1" w:rsidRPr="00D70FCD" w14:paraId="6E65D264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E884E" w14:textId="7B839E55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Angiopoietin-like 4 Protein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01BC3" w14:textId="035E0BB5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Angiopoietin-Like Protein 4</w:t>
              </w:r>
            </w:hyperlink>
          </w:p>
        </w:tc>
      </w:tr>
      <w:tr w:rsidR="007A68B1" w:rsidRPr="00D70FCD" w14:paraId="201A6A61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53C44" w14:textId="49F3D6BA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Asian Continental Ancestry Group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5D2F3" w14:textId="2A816B59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Asians</w:t>
              </w:r>
            </w:hyperlink>
          </w:p>
        </w:tc>
      </w:tr>
      <w:tr w:rsidR="007A68B1" w:rsidRPr="00D70FCD" w14:paraId="1B420178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FC443" w14:textId="41FFFDA3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Casein Kinase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Iepsilon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8FA95" w14:textId="14B23AEC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Casein Kinase 1 epsilon</w:t>
              </w:r>
            </w:hyperlink>
          </w:p>
        </w:tc>
      </w:tr>
      <w:tr w:rsidR="007A68B1" w:rsidRPr="00D70FCD" w14:paraId="49CF3F80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F1C2E" w14:textId="148B2802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Cingulata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8E467" w14:textId="398A9803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proofErr w:type="spellStart"/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Xenarthra</w:t>
              </w:r>
              <w:proofErr w:type="spellEnd"/>
            </w:hyperlink>
          </w:p>
        </w:tc>
      </w:tr>
      <w:tr w:rsidR="007A68B1" w:rsidRPr="00D70FCD" w14:paraId="2EB58A8E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3E38C" w14:textId="14F68947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Continental Population Groups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D47BB" w14:textId="50FD28A2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Racial Groups</w:t>
              </w:r>
            </w:hyperlink>
          </w:p>
        </w:tc>
      </w:tr>
      <w:tr w:rsidR="007A68B1" w:rsidRPr="00D70FCD" w14:paraId="2C278A48" w14:textId="77777777" w:rsidTr="007A68B1">
        <w:trPr>
          <w:trHeight w:val="270"/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13737" w14:textId="1B0C9F67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Dental Models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FF35A" w14:textId="4E4BF002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Models, Dental</w:t>
              </w:r>
            </w:hyperlink>
          </w:p>
        </w:tc>
      </w:tr>
      <w:tr w:rsidR="007A68B1" w:rsidRPr="00D70FCD" w14:paraId="1A54D32B" w14:textId="77777777" w:rsidTr="007A68B1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0A3AF" w14:textId="52436267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4148A" w14:textId="7E22F5E9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Tachyglossidae</w:t>
              </w:r>
              <w:proofErr w:type="spellEnd"/>
            </w:hyperlink>
          </w:p>
        </w:tc>
      </w:tr>
      <w:tr w:rsidR="007A68B1" w:rsidRPr="00D70FCD" w14:paraId="2008D2EE" w14:textId="77777777" w:rsidTr="007A68B1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5D4B7" w14:textId="1E40EC73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Environmental DNA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E3DE3" w14:textId="3BBBB48B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DNA, Environmental</w:t>
              </w:r>
            </w:hyperlink>
          </w:p>
        </w:tc>
      </w:tr>
      <w:tr w:rsidR="007A68B1" w:rsidRPr="00D70FCD" w14:paraId="336CCAB0" w14:textId="77777777" w:rsidTr="007A68B1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90C76A" w14:textId="2B0A1E40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Ethnic Groups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ED48D" w14:textId="3E374A5A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Ethnicity</w:t>
              </w:r>
            </w:hyperlink>
          </w:p>
        </w:tc>
      </w:tr>
      <w:tr w:rsidR="007A68B1" w:rsidRPr="00D70FCD" w14:paraId="7763B953" w14:textId="77777777" w:rsidTr="007A68B1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894E1" w14:textId="6A2C3503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European Continental Ancestry Group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47EDD" w14:textId="3CFA9785" w:rsidR="007A68B1" w:rsidRPr="00D70FCD" w:rsidRDefault="00BF198A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Whites</w:t>
              </w:r>
            </w:hyperlink>
          </w:p>
        </w:tc>
      </w:tr>
      <w:tr w:rsidR="007A68B1" w:rsidRPr="00D70FCD" w14:paraId="78FAA4FC" w14:textId="77777777" w:rsidTr="007A68B1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9AB93" w14:textId="7493A494" w:rsidR="007A68B1" w:rsidRPr="00D70FCD" w:rsidRDefault="007A68B1" w:rsidP="007A68B1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Fermented Foods and Beverages 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7FB26" w14:textId="5F9B1A1B" w:rsidR="00000BA7" w:rsidRPr="00D70FCD" w:rsidRDefault="00BF198A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7A68B1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Fermented Foods</w:t>
              </w:r>
            </w:hyperlink>
          </w:p>
        </w:tc>
      </w:tr>
      <w:tr w:rsidR="00000BA7" w14:paraId="38E03FEB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D919A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Genus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Pimenta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789D9" w14:textId="22B94CB2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381DD5">
              <w:rPr>
                <w:rFonts w:ascii="Verdana" w:hAnsi="Verdana"/>
                <w:color w:val="000000"/>
                <w:sz w:val="18"/>
                <w:szCs w:val="18"/>
              </w:rPr>
              <w:t>Pimenta</w:t>
            </w:r>
            <w:proofErr w:type="spellEnd"/>
          </w:p>
        </w:tc>
      </w:tr>
      <w:tr w:rsidR="00000BA7" w14:paraId="60926A67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0FE67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Hispanic Americans 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C7BB3" w14:textId="1A7CE619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Hispanic or Latino</w:t>
            </w:r>
          </w:p>
        </w:tc>
      </w:tr>
      <w:tr w:rsidR="00000BA7" w14:paraId="309D3E59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8CC3B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Housekeeping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FD2F8" w14:textId="00643768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Household Work</w:t>
            </w:r>
          </w:p>
        </w:tc>
      </w:tr>
      <w:tr w:rsidR="00000BA7" w14:paraId="701E4F17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DB666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Immunosuppression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B2744" w14:textId="79136574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Immunosuppression Therapy</w:t>
            </w:r>
          </w:p>
        </w:tc>
      </w:tr>
      <w:tr w:rsidR="00000BA7" w14:paraId="2AD39455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D1B11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Insectivora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442CD" w14:textId="315EAC9D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proofErr w:type="spellStart"/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Eulipotyphla</w:t>
            </w:r>
            <w:proofErr w:type="spellEnd"/>
          </w:p>
        </w:tc>
      </w:tr>
      <w:tr w:rsidR="00000BA7" w14:paraId="38C2FEDC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E3CE6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Kinesin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309FC" w14:textId="5A9747CE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Kinesins</w:t>
            </w:r>
          </w:p>
        </w:tc>
      </w:tr>
      <w:tr w:rsidR="00000BA7" w14:paraId="41FF767A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81092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Oceanic Ancestry Group 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071ED" w14:textId="40621755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Native Hawaiian or Other Pacific Islander</w:t>
            </w:r>
          </w:p>
        </w:tc>
      </w:tr>
      <w:tr w:rsidR="00000BA7" w14:paraId="0B6E1185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0F6F3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Protein-Serine-Threonine Kinases 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E667A" w14:textId="5DCB9324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Protein Serine-Threonine Kinases</w:t>
            </w:r>
          </w:p>
        </w:tc>
      </w:tr>
      <w:tr w:rsidR="00000BA7" w14:paraId="1D0B8FB0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2C6F7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Purpura,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Schoenlein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-Henoch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7B0EF" w14:textId="42E93F7A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IgA Vasculitis</w:t>
            </w:r>
          </w:p>
        </w:tc>
      </w:tr>
      <w:tr w:rsidR="00000BA7" w14:paraId="7E516028" w14:textId="77777777" w:rsidTr="00000BA7">
        <w:trPr>
          <w:tblCellSpacing w:w="15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42069" w14:textId="77777777" w:rsidR="00000BA7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Translational Medical Research 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C554E" w14:textId="4F33E8AC" w:rsidR="00000BA7" w:rsidRPr="00381DD5" w:rsidRDefault="00000BA7" w:rsidP="00000BA7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381DD5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Translational Research, Biomedical</w:t>
            </w:r>
          </w:p>
        </w:tc>
      </w:tr>
    </w:tbl>
    <w:p w14:paraId="08469A6A" w14:textId="060E10C3" w:rsidR="00B601AB" w:rsidRDefault="00B601AB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1ACF912" w14:textId="48914666" w:rsidR="00D70FCD" w:rsidRDefault="00D70FCD" w:rsidP="00D70FCD">
      <w:pPr>
        <w:pStyle w:val="Heading3"/>
      </w:pPr>
      <w:r>
        <w:t>New MeSH Headings and Concepts</w:t>
      </w:r>
    </w:p>
    <w:p w14:paraId="3B584EF0" w14:textId="7DC2016E" w:rsidR="00D70FCD" w:rsidRDefault="00D70FCD" w:rsidP="00D70FCD">
      <w:r>
        <w:t>277 new MeSH headings were added</w:t>
      </w:r>
      <w:r w:rsidR="00577331">
        <w:t xml:space="preserve">. </w:t>
      </w:r>
      <w:r w:rsidR="00577331">
        <w:rPr>
          <w:rFonts w:ascii="Verdana" w:hAnsi="Verdana"/>
          <w:color w:val="000000"/>
          <w:sz w:val="18"/>
          <w:szCs w:val="18"/>
          <w:shd w:val="clear" w:color="auto" w:fill="FFFFFF"/>
        </w:rPr>
        <w:t>A complete list of the new 2022 MeSH headings is available in PDF format; see </w:t>
      </w:r>
      <w:hyperlink r:id="rId20" w:history="1">
        <w:r w:rsidR="00577331" w:rsidRPr="00577331">
          <w:rPr>
            <w:rStyle w:val="Hyperlink"/>
            <w:rFonts w:ascii="Verdana" w:hAnsi="Verdana"/>
            <w:color w:val="4472C4" w:themeColor="accent1"/>
            <w:sz w:val="18"/>
            <w:szCs w:val="18"/>
            <w:bdr w:val="none" w:sz="0" w:space="0" w:color="auto" w:frame="1"/>
            <w:shd w:val="clear" w:color="auto" w:fill="FFFFFF"/>
          </w:rPr>
          <w:t>New Headings with Scope Notes, Annotations and Tree Locations</w:t>
        </w:r>
      </w:hyperlink>
      <w:r w:rsidR="00577331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5A546AE5" w14:textId="162F8E4C" w:rsidR="00D70FCD" w:rsidRDefault="00D70FCD" w:rsidP="00D70FCD">
      <w:pPr>
        <w:pStyle w:val="Heading4"/>
      </w:pPr>
      <w:r>
        <w:t>New MeSH Headings Related to COVID-19 and SARS -CoV-2</w:t>
      </w:r>
    </w:p>
    <w:tbl>
      <w:tblPr>
        <w:tblW w:w="59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D70FCD" w14:paraId="04A9E306" w14:textId="77777777" w:rsidTr="00D70FCD">
        <w:trPr>
          <w:trHeight w:val="270"/>
          <w:tblCellSpacing w:w="15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64DD4" w14:textId="77777777" w:rsidR="00D70FCD" w:rsidRDefault="00D70FCD" w:rsidP="00D70FCD">
            <w:pPr>
              <w:pStyle w:val="NoSpacing"/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MeSH Heading</w:t>
            </w:r>
          </w:p>
        </w:tc>
      </w:tr>
      <w:tr w:rsidR="00B161C7" w14:paraId="5C482C44" w14:textId="77777777" w:rsidTr="00BF23B1">
        <w:trPr>
          <w:trHeight w:val="270"/>
          <w:tblCellSpacing w:w="15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71262" w14:textId="231B79DD" w:rsidR="00B161C7" w:rsidRDefault="00BF198A" w:rsidP="00B161C7">
            <w:pPr>
              <w:pStyle w:val="NoSpacing"/>
            </w:pPr>
            <w:hyperlink r:id="rId21" w:history="1">
              <w:r w:rsidR="00B161C7" w:rsidRPr="00081943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2019-nCoV Vaccine mRNA-1273</w:t>
              </w:r>
            </w:hyperlink>
          </w:p>
        </w:tc>
      </w:tr>
      <w:tr w:rsidR="00B161C7" w14:paraId="6B31C362" w14:textId="77777777" w:rsidTr="00BF23B1">
        <w:trPr>
          <w:trHeight w:val="270"/>
          <w:tblCellSpacing w:w="15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7038B" w14:textId="68ECAACD" w:rsidR="00B161C7" w:rsidRDefault="00BF198A" w:rsidP="00B161C7">
            <w:pPr>
              <w:pStyle w:val="NoSpacing"/>
            </w:pPr>
            <w:hyperlink r:id="rId22" w:history="1">
              <w:r w:rsidR="00B161C7" w:rsidRPr="00081943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BNT162 Vaccine</w:t>
              </w:r>
            </w:hyperlink>
          </w:p>
        </w:tc>
      </w:tr>
      <w:tr w:rsidR="00B161C7" w14:paraId="7403ED44" w14:textId="77777777" w:rsidTr="00BF23B1">
        <w:trPr>
          <w:trHeight w:val="270"/>
          <w:tblCellSpacing w:w="15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16C47" w14:textId="6661AAE6" w:rsidR="00B161C7" w:rsidRDefault="00BF198A" w:rsidP="00B161C7">
            <w:pPr>
              <w:pStyle w:val="NoSpacing"/>
            </w:pPr>
            <w:hyperlink r:id="rId23" w:history="1">
              <w:r w:rsidR="00B161C7" w:rsidRPr="00081943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Ad26COVS1</w:t>
              </w:r>
            </w:hyperlink>
          </w:p>
        </w:tc>
      </w:tr>
      <w:tr w:rsidR="00B161C7" w14:paraId="2736F62C" w14:textId="77777777" w:rsidTr="00BF23B1">
        <w:trPr>
          <w:trHeight w:val="270"/>
          <w:tblCellSpacing w:w="15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B22FAE" w14:textId="59B2DF9D" w:rsidR="00B161C7" w:rsidRDefault="00BF198A" w:rsidP="00B161C7">
            <w:pPr>
              <w:pStyle w:val="NoSpacing"/>
            </w:pPr>
            <w:hyperlink r:id="rId24" w:history="1">
              <w:r w:rsidR="00B161C7" w:rsidRPr="00081943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ChAdOx1 nCoV-19</w:t>
              </w:r>
            </w:hyperlink>
          </w:p>
        </w:tc>
      </w:tr>
    </w:tbl>
    <w:p w14:paraId="329112D6" w14:textId="77777777" w:rsidR="00B601AB" w:rsidRDefault="00B601AB" w:rsidP="00D70FCD">
      <w:pPr>
        <w:pStyle w:val="Heading4"/>
      </w:pPr>
    </w:p>
    <w:p w14:paraId="023FD1AD" w14:textId="727659F6" w:rsidR="00D70FCD" w:rsidRDefault="00887FDD" w:rsidP="00D70FCD">
      <w:pPr>
        <w:pStyle w:val="Heading4"/>
      </w:pPr>
      <w:r>
        <w:t>Entry Combination Revisions</w:t>
      </w:r>
    </w:p>
    <w:tbl>
      <w:tblPr>
        <w:tblW w:w="128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2"/>
        <w:gridCol w:w="6418"/>
      </w:tblGrid>
      <w:tr w:rsidR="00887FDD" w14:paraId="22FCAB5E" w14:textId="77777777" w:rsidTr="00887FDD">
        <w:trPr>
          <w:tblCellSpacing w:w="15" w:type="dxa"/>
        </w:trPr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DD922" w14:textId="77777777" w:rsidR="00887FDD" w:rsidRDefault="00887FDD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Previous MeSH Heading/Subheading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(Entry Combination)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FB9ED" w14:textId="77777777" w:rsidR="00887FDD" w:rsidRDefault="00887FDD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Replaced-by Heading for 2021</w:t>
            </w:r>
          </w:p>
        </w:tc>
      </w:tr>
      <w:tr w:rsidR="00887FDD" w14:paraId="66E5BC63" w14:textId="77777777" w:rsidTr="00887FDD">
        <w:trPr>
          <w:tblCellSpacing w:w="15" w:type="dxa"/>
        </w:trPr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6E8B3" w14:textId="77777777" w:rsidR="00887FDD" w:rsidRDefault="00887FDD">
            <w:pPr>
              <w:pStyle w:val="NormalWeb"/>
              <w:spacing w:before="15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Iron/deficiency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9F3AC" w14:textId="599EE8B7" w:rsidR="00887FDD" w:rsidRDefault="00BF198A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r w:rsidR="00887FD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Iron Deficiencies</w:t>
              </w:r>
            </w:hyperlink>
          </w:p>
        </w:tc>
      </w:tr>
      <w:tr w:rsidR="00887FDD" w14:paraId="20FD140A" w14:textId="77777777" w:rsidTr="00887FDD">
        <w:trPr>
          <w:tblCellSpacing w:w="15" w:type="dxa"/>
        </w:trPr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916EE" w14:textId="580A48C1" w:rsidR="00150F1D" w:rsidRDefault="00887FDD" w:rsidP="00150F1D">
            <w:pPr>
              <w:pStyle w:val="NormalWeb"/>
              <w:spacing w:before="15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Proprotein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Convertase 9/antagonists &amp; inhibitors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170B1" w14:textId="77777777" w:rsidR="00887FDD" w:rsidRDefault="00BF198A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r w:rsidR="00887FD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PCSK9 Inhibitors</w:t>
              </w:r>
            </w:hyperlink>
          </w:p>
        </w:tc>
      </w:tr>
      <w:tr w:rsidR="00887FDD" w14:paraId="58E6F6D9" w14:textId="77777777" w:rsidTr="00887FDD">
        <w:trPr>
          <w:tblCellSpacing w:w="15" w:type="dxa"/>
        </w:trPr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68007" w14:textId="77777777" w:rsidR="00887FDD" w:rsidRDefault="00887FDD">
            <w:pPr>
              <w:pStyle w:val="NormalWeb"/>
              <w:spacing w:before="15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1-Propanol/analogs &amp; derivatives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A4F74" w14:textId="77777777" w:rsidR="00887FDD" w:rsidRDefault="00BF198A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proofErr w:type="spellStart"/>
              <w:r w:rsidR="00887FD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Propanols</w:t>
              </w:r>
              <w:proofErr w:type="spellEnd"/>
            </w:hyperlink>
          </w:p>
        </w:tc>
      </w:tr>
      <w:tr w:rsidR="00887FDD" w14:paraId="1491E3CC" w14:textId="77777777" w:rsidTr="00887FDD">
        <w:trPr>
          <w:tblCellSpacing w:w="15" w:type="dxa"/>
        </w:trPr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8B747" w14:textId="77777777" w:rsidR="00887FDD" w:rsidRDefault="00887FDD">
            <w:pPr>
              <w:pStyle w:val="NormalWeb"/>
              <w:spacing w:before="15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Shoulder Joint/injuries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BED79" w14:textId="77777777" w:rsidR="00887FDD" w:rsidRDefault="00BF198A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history="1">
              <w:r w:rsidR="00887FD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bdr w:val="none" w:sz="0" w:space="0" w:color="auto" w:frame="1"/>
                </w:rPr>
                <w:t>Shoulder Injuries</w:t>
              </w:r>
            </w:hyperlink>
          </w:p>
        </w:tc>
      </w:tr>
    </w:tbl>
    <w:p w14:paraId="2581F7ED" w14:textId="3A92C56F" w:rsidR="00150F1D" w:rsidRDefault="00150F1D" w:rsidP="00D70FCD">
      <w:pPr>
        <w:pStyle w:val="Heading4"/>
      </w:pPr>
    </w:p>
    <w:p w14:paraId="2BAD07B2" w14:textId="77777777" w:rsidR="00150F1D" w:rsidRDefault="00150F1D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120A9214" w14:textId="77777777" w:rsidR="002E468F" w:rsidRDefault="002E468F" w:rsidP="00D70FCD">
      <w:pPr>
        <w:pStyle w:val="Heading4"/>
      </w:pPr>
    </w:p>
    <w:p w14:paraId="1BD44B8E" w14:textId="552FCAC0" w:rsidR="00D70FCD" w:rsidRDefault="00D70FCD" w:rsidP="00D70FCD">
      <w:pPr>
        <w:pStyle w:val="Heading4"/>
      </w:pPr>
      <w:r>
        <w:t>Special MeSH Projects</w:t>
      </w:r>
    </w:p>
    <w:p w14:paraId="746DA181" w14:textId="61A17193" w:rsidR="00D70FCD" w:rsidRPr="00D70FCD" w:rsidRDefault="00D70FCD" w:rsidP="00D70FCD">
      <w:pPr>
        <w:pStyle w:val="Heading5"/>
      </w:pPr>
      <w:r w:rsidRPr="00D70FCD">
        <w:rPr>
          <w:rStyle w:val="Strong"/>
          <w:b w:val="0"/>
          <w:bCs w:val="0"/>
        </w:rPr>
        <w:t xml:space="preserve">New and Updated </w:t>
      </w:r>
      <w:r w:rsidR="002E468F">
        <w:rPr>
          <w:rStyle w:val="Strong"/>
          <w:b w:val="0"/>
          <w:bCs w:val="0"/>
        </w:rPr>
        <w:t>Social Determinants of Health Headings</w:t>
      </w:r>
      <w:r w:rsidRPr="00D70FCD">
        <w:rPr>
          <w:rStyle w:val="Strong"/>
          <w:b w:val="0"/>
          <w:bCs w:val="0"/>
        </w:rPr>
        <w:t>:</w:t>
      </w:r>
    </w:p>
    <w:p w14:paraId="6C8100B5" w14:textId="369EAAAA" w:rsidR="00594705" w:rsidRDefault="00594705" w:rsidP="00D70FCD">
      <w:pPr>
        <w:pStyle w:val="NormalWeb"/>
        <w:shd w:val="clear" w:color="auto" w:fill="FFFFFF"/>
        <w:spacing w:before="15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 a part of ongoing research and study, MeSH added new descriptors and updated concepts as they relate to Social Determinants of Health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SDoH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 with help from</w:t>
      </w:r>
      <w:r w:rsidR="0076286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the NIH Office of Behavioral and Social Sciences Research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other NIH I</w:t>
      </w:r>
      <w:r w:rsidR="00D131FA">
        <w:rPr>
          <w:rFonts w:ascii="Verdana" w:hAnsi="Verdana"/>
          <w:color w:val="000000"/>
          <w:sz w:val="18"/>
          <w:szCs w:val="18"/>
          <w:shd w:val="clear" w:color="auto" w:fill="FFFFFF"/>
        </w:rPr>
        <w:t>nstitutes and Center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s.</w:t>
      </w:r>
    </w:p>
    <w:p w14:paraId="354AC88F" w14:textId="24403F07" w:rsidR="00CB47AD" w:rsidRPr="00D70FCD" w:rsidRDefault="00D70FCD" w:rsidP="00CB47AD">
      <w:pPr>
        <w:pStyle w:val="NormalWeb"/>
        <w:shd w:val="clear" w:color="auto" w:fill="FFFFFF"/>
        <w:spacing w:before="15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70FCD">
        <w:rPr>
          <w:rFonts w:asciiTheme="minorHAnsi" w:hAnsiTheme="minorHAnsi" w:cstheme="minorHAnsi"/>
          <w:color w:val="000000"/>
          <w:sz w:val="22"/>
          <w:szCs w:val="22"/>
        </w:rPr>
        <w:t>For example, new Headings:</w:t>
      </w:r>
    </w:p>
    <w:p w14:paraId="6FDED767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29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Economic Stability</w:t>
        </w:r>
      </w:hyperlink>
    </w:p>
    <w:p w14:paraId="52FA8D51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0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Housing Instability</w:t>
        </w:r>
      </w:hyperlink>
    </w:p>
    <w:p w14:paraId="710C42DA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1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Environmental Justice</w:t>
        </w:r>
      </w:hyperlink>
    </w:p>
    <w:p w14:paraId="7E6D8AA5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2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Community Support</w:t>
        </w:r>
      </w:hyperlink>
    </w:p>
    <w:p w14:paraId="4B6CDA0C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3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Social Vulnerability</w:t>
        </w:r>
      </w:hyperlink>
    </w:p>
    <w:p w14:paraId="29F5CCD0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4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Access to Healthy Foods</w:t>
        </w:r>
      </w:hyperlink>
    </w:p>
    <w:p w14:paraId="55BF01DB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5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Social Structure</w:t>
        </w:r>
      </w:hyperlink>
    </w:p>
    <w:p w14:paraId="1BB7148A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6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Child Poverty</w:t>
        </w:r>
      </w:hyperlink>
    </w:p>
    <w:p w14:paraId="599BADC6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7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Social Deprivation</w:t>
        </w:r>
      </w:hyperlink>
    </w:p>
    <w:p w14:paraId="4466753F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8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Home Environment</w:t>
        </w:r>
      </w:hyperlink>
    </w:p>
    <w:p w14:paraId="29ACD671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39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Neighborhood Characteristics</w:t>
        </w:r>
      </w:hyperlink>
    </w:p>
    <w:p w14:paraId="66AB7DBF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0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Perceived Discrimination</w:t>
        </w:r>
      </w:hyperlink>
    </w:p>
    <w:p w14:paraId="5C03FA47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1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Sociodemographic Factors</w:t>
        </w:r>
      </w:hyperlink>
    </w:p>
    <w:p w14:paraId="1FA5533B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2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Census Tract</w:t>
        </w:r>
      </w:hyperlink>
    </w:p>
    <w:p w14:paraId="2476C551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3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Health Inequities</w:t>
        </w:r>
      </w:hyperlink>
    </w:p>
    <w:p w14:paraId="7B7C87D1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4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Intersectional Framework</w:t>
        </w:r>
      </w:hyperlink>
    </w:p>
    <w:p w14:paraId="7373637F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5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Ostracism</w:t>
        </w:r>
      </w:hyperlink>
    </w:p>
    <w:p w14:paraId="2CBCE1AB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6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Systemic Racism</w:t>
        </w:r>
      </w:hyperlink>
    </w:p>
    <w:p w14:paraId="652A3190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7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Social Status</w:t>
        </w:r>
      </w:hyperlink>
    </w:p>
    <w:p w14:paraId="1EBC565A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8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Ethnic and Racial Minorities</w:t>
        </w:r>
      </w:hyperlink>
    </w:p>
    <w:p w14:paraId="3A4989E5" w14:textId="77777777" w:rsidR="00FD05FF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49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Social Cohesion</w:t>
        </w:r>
      </w:hyperlink>
    </w:p>
    <w:p w14:paraId="525157A4" w14:textId="1D9603E9" w:rsidR="005B44BA" w:rsidRDefault="00BF198A" w:rsidP="00FD05FF">
      <w:pPr>
        <w:numPr>
          <w:ilvl w:val="0"/>
          <w:numId w:val="42"/>
        </w:numPr>
        <w:shd w:val="clear" w:color="auto" w:fill="FFFFFF"/>
        <w:spacing w:after="0" w:line="240" w:lineRule="auto"/>
        <w:ind w:left="1245"/>
        <w:rPr>
          <w:rFonts w:ascii="Verdana" w:hAnsi="Verdana"/>
          <w:color w:val="000000"/>
          <w:sz w:val="18"/>
          <w:szCs w:val="18"/>
        </w:rPr>
      </w:pPr>
      <w:hyperlink r:id="rId50" w:history="1">
        <w:r w:rsidR="00FD05FF">
          <w:rPr>
            <w:rStyle w:val="Hyperlink"/>
            <w:rFonts w:ascii="Verdana" w:hAnsi="Verdana"/>
            <w:color w:val="000000"/>
            <w:sz w:val="18"/>
            <w:szCs w:val="18"/>
            <w:bdr w:val="none" w:sz="0" w:space="0" w:color="auto" w:frame="1"/>
          </w:rPr>
          <w:t>Social Integration</w:t>
        </w:r>
      </w:hyperlink>
    </w:p>
    <w:p w14:paraId="1F20B56C" w14:textId="44DCB76B" w:rsidR="00150F1D" w:rsidRDefault="00150F1D" w:rsidP="00150F1D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62754CC6" w14:textId="77777777" w:rsidR="00150F1D" w:rsidRPr="00FD05FF" w:rsidRDefault="00150F1D" w:rsidP="00150F1D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4E5E4A05" w14:textId="6352F144" w:rsidR="00F07EF5" w:rsidRDefault="00F61FC8" w:rsidP="00BD77AA">
      <w:pPr>
        <w:pStyle w:val="Heading2"/>
      </w:pPr>
      <w:r>
        <w:t>NLM Classification</w:t>
      </w:r>
      <w:r w:rsidR="00765C62">
        <w:t xml:space="preserve"> Update</w:t>
      </w:r>
    </w:p>
    <w:p w14:paraId="263D3EEA" w14:textId="68CB037B" w:rsidR="00B04C37" w:rsidRDefault="00B04C37" w:rsidP="00D70FCD">
      <w:pPr>
        <w:pStyle w:val="Heading3"/>
      </w:pPr>
      <w:r>
        <w:t>Scope of Revision of the 202</w:t>
      </w:r>
      <w:r w:rsidR="00150F1D">
        <w:t>1</w:t>
      </w:r>
      <w:r>
        <w:t xml:space="preserve"> Summer Edition</w:t>
      </w:r>
    </w:p>
    <w:p w14:paraId="5646DE71" w14:textId="77777777" w:rsidR="004134A9" w:rsidRPr="004134A9" w:rsidRDefault="004134A9" w:rsidP="004134A9">
      <w:pPr>
        <w:pStyle w:val="Heading2"/>
        <w:rPr>
          <w:sz w:val="22"/>
          <w:szCs w:val="22"/>
        </w:rPr>
      </w:pPr>
      <w:r w:rsidRPr="004134A9">
        <w:rPr>
          <w:sz w:val="22"/>
          <w:szCs w:val="22"/>
        </w:rPr>
        <w:t>70</w:t>
      </w:r>
      <w:r w:rsidRPr="004134A9">
        <w:rPr>
          <w:sz w:val="22"/>
          <w:szCs w:val="22"/>
          <w:vertAlign w:val="superscript"/>
        </w:rPr>
        <w:t>th</w:t>
      </w:r>
      <w:r w:rsidRPr="004134A9">
        <w:rPr>
          <w:sz w:val="22"/>
          <w:szCs w:val="22"/>
        </w:rPr>
        <w:t> Anniversary of the NLM Classification</w:t>
      </w:r>
    </w:p>
    <w:p w14:paraId="77D07CD3" w14:textId="51A4A347" w:rsidR="004134A9" w:rsidRPr="00252691" w:rsidRDefault="004134A9" w:rsidP="004134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2691">
        <w:rPr>
          <w:rFonts w:asciiTheme="minorHAnsi" w:hAnsiTheme="minorHAnsi" w:cstheme="minorHAnsi"/>
          <w:color w:val="000000"/>
          <w:sz w:val="22"/>
          <w:szCs w:val="22"/>
        </w:rPr>
        <w:t>2021 mark</w:t>
      </w:r>
      <w:r w:rsidR="00D131FA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252691">
        <w:rPr>
          <w:rFonts w:asciiTheme="minorHAnsi" w:hAnsiTheme="minorHAnsi" w:cstheme="minorHAnsi"/>
          <w:color w:val="000000"/>
          <w:sz w:val="22"/>
          <w:szCs w:val="22"/>
        </w:rPr>
        <w:t xml:space="preserve"> the 70</w:t>
      </w:r>
      <w:r w:rsidRPr="002526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52691">
        <w:rPr>
          <w:rFonts w:asciiTheme="minorHAnsi" w:hAnsiTheme="minorHAnsi" w:cstheme="minorHAnsi"/>
          <w:color w:val="000000"/>
          <w:sz w:val="22"/>
          <w:szCs w:val="22"/>
        </w:rPr>
        <w:t> anniversary of the </w:t>
      </w:r>
      <w:hyperlink r:id="rId51" w:history="1">
        <w:r w:rsidRPr="00252691">
          <w:rPr>
            <w:rStyle w:val="Emphasis"/>
            <w:rFonts w:asciiTheme="minorHAnsi" w:hAnsiTheme="minorHAnsi" w:cstheme="minorHAnsi"/>
            <w:color w:val="000000"/>
            <w:sz w:val="22"/>
            <w:szCs w:val="22"/>
            <w:u w:val="single"/>
            <w:bdr w:val="none" w:sz="0" w:space="0" w:color="auto" w:frame="1"/>
          </w:rPr>
          <w:t>NLM Classification</w:t>
        </w:r>
      </w:hyperlink>
      <w:r w:rsidRPr="00252691">
        <w:rPr>
          <w:rFonts w:asciiTheme="minorHAnsi" w:hAnsiTheme="minorHAnsi" w:cstheme="minorHAnsi"/>
          <w:color w:val="000000"/>
          <w:sz w:val="22"/>
          <w:szCs w:val="22"/>
        </w:rPr>
        <w:t>. The first edition of the classification was published in 1951 as the </w:t>
      </w:r>
      <w:hyperlink r:id="rId52" w:history="1">
        <w:r w:rsidRPr="00252691">
          <w:rPr>
            <w:rStyle w:val="Emphasis"/>
            <w:rFonts w:asciiTheme="minorHAnsi" w:hAnsiTheme="minorHAnsi" w:cstheme="minorHAnsi"/>
            <w:color w:val="000000"/>
            <w:sz w:val="22"/>
            <w:szCs w:val="22"/>
            <w:u w:val="single"/>
            <w:bdr w:val="none" w:sz="0" w:space="0" w:color="auto" w:frame="1"/>
          </w:rPr>
          <w:t>U.S. Army Medical Library Classification</w:t>
        </w:r>
      </w:hyperlink>
      <w:r w:rsidRPr="00252691">
        <w:rPr>
          <w:rFonts w:asciiTheme="minorHAnsi" w:hAnsiTheme="minorHAnsi" w:cstheme="minorHAnsi"/>
          <w:color w:val="000000"/>
          <w:sz w:val="22"/>
          <w:szCs w:val="22"/>
        </w:rPr>
        <w:t>. The name changed to the </w:t>
      </w:r>
      <w:r w:rsidRPr="00252691">
        <w:rPr>
          <w:rStyle w:val="Emph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National Library of Medicine Classification</w:t>
      </w:r>
      <w:r w:rsidRPr="00252691">
        <w:rPr>
          <w:rFonts w:asciiTheme="minorHAnsi" w:hAnsiTheme="minorHAnsi" w:cstheme="minorHAnsi"/>
          <w:color w:val="000000"/>
          <w:sz w:val="22"/>
          <w:szCs w:val="22"/>
        </w:rPr>
        <w:t> with the second edition in 1956 to coincide with the library's name change. It is still recognized as a standard classification system for the arrangement of library materials in the field of medicine and related sciences used by health and medical libraries all over the world.</w:t>
      </w:r>
    </w:p>
    <w:p w14:paraId="3622EDFB" w14:textId="77777777" w:rsidR="00FA36CC" w:rsidRPr="00FA36CC" w:rsidRDefault="00FA36CC" w:rsidP="00FA36CC">
      <w:pPr>
        <w:pStyle w:val="Heading2"/>
        <w:rPr>
          <w:sz w:val="22"/>
          <w:szCs w:val="22"/>
        </w:rPr>
      </w:pPr>
    </w:p>
    <w:p w14:paraId="2B410840" w14:textId="77777777" w:rsidR="00FA36CC" w:rsidRPr="00FA36CC" w:rsidRDefault="00FA36CC" w:rsidP="00FA36CC">
      <w:pPr>
        <w:pStyle w:val="Heading2"/>
        <w:rPr>
          <w:sz w:val="22"/>
          <w:szCs w:val="22"/>
        </w:rPr>
      </w:pPr>
      <w:r w:rsidRPr="00FA36CC">
        <w:rPr>
          <w:sz w:val="22"/>
          <w:szCs w:val="22"/>
        </w:rPr>
        <w:t>Systematic Reviews for the 2021 Summer Edition</w:t>
      </w:r>
    </w:p>
    <w:p w14:paraId="42A83118" w14:textId="6A4E6D52" w:rsidR="006745F9" w:rsidRDefault="00252691" w:rsidP="002526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6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major focus of the 2021 summer edition was the systematic review of the following schedules: WU (Dentistry. Oral Surgery) and WV (Otolaryngology). </w:t>
      </w:r>
      <w:r w:rsidR="006745F9" w:rsidRPr="00252691">
        <w:rPr>
          <w:rFonts w:asciiTheme="minorHAnsi" w:hAnsiTheme="minorHAnsi" w:cstheme="minorHAnsi"/>
          <w:sz w:val="22"/>
          <w:szCs w:val="22"/>
        </w:rPr>
        <w:t xml:space="preserve">See </w:t>
      </w:r>
      <w:hyperlink r:id="rId53" w:history="1">
        <w:r w:rsidR="006745F9" w:rsidRPr="00252691">
          <w:rPr>
            <w:rStyle w:val="Hyperlink"/>
            <w:rFonts w:asciiTheme="minorHAnsi" w:hAnsiTheme="minorHAnsi" w:cstheme="minorHAnsi"/>
            <w:sz w:val="22"/>
            <w:szCs w:val="22"/>
          </w:rPr>
          <w:t>NLM Technical Bulletin September-October 202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1</w:t>
        </w:r>
      </w:hyperlink>
      <w:r w:rsidR="006745F9" w:rsidRPr="00252691">
        <w:rPr>
          <w:rFonts w:asciiTheme="minorHAnsi" w:hAnsiTheme="minorHAnsi" w:cstheme="minorHAnsi"/>
          <w:sz w:val="22"/>
          <w:szCs w:val="22"/>
        </w:rPr>
        <w:t>.</w:t>
      </w:r>
    </w:p>
    <w:p w14:paraId="0F4C0EC5" w14:textId="3673159E" w:rsidR="003C7B4B" w:rsidRDefault="003C7B4B">
      <w:pPr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8112EFA" w14:textId="77777777" w:rsidR="00252691" w:rsidRPr="00252691" w:rsidRDefault="00252691" w:rsidP="002526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B656D22" w14:textId="77777777" w:rsidR="001A3F17" w:rsidRPr="001A3F17" w:rsidRDefault="001A3F17" w:rsidP="001A3F17">
      <w:pPr>
        <w:pStyle w:val="Heading2"/>
        <w:rPr>
          <w:sz w:val="22"/>
          <w:szCs w:val="22"/>
        </w:rPr>
      </w:pPr>
      <w:r w:rsidRPr="001A3F17">
        <w:rPr>
          <w:sz w:val="22"/>
          <w:szCs w:val="22"/>
        </w:rPr>
        <w:t>Statistics from the WU (Dentistry. Oral Surgery) Systematic Review</w:t>
      </w:r>
    </w:p>
    <w:p w14:paraId="7126AFE0" w14:textId="77777777" w:rsidR="00B8405E" w:rsidRPr="002A6F17" w:rsidRDefault="00B8405E" w:rsidP="002A6F17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2A6F17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  <w:t>23 WU class numbers added</w:t>
      </w:r>
    </w:p>
    <w:tbl>
      <w:tblPr>
        <w:tblW w:w="1141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9876"/>
      </w:tblGrid>
      <w:tr w:rsidR="00B8405E" w14:paraId="265F27E5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61A6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New Class Number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F2519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Caption</w:t>
            </w:r>
          </w:p>
        </w:tc>
      </w:tr>
      <w:tr w:rsidR="00B8405E" w14:paraId="3A8A1E51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A40A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29.1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0076F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General coverage (Not Table-G)</w:t>
            </w:r>
          </w:p>
        </w:tc>
      </w:tr>
      <w:tr w:rsidR="00B8405E" w14:paraId="2B32FE14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9DFF7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29.3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1FF10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Medical emergencies during dental care</w:t>
            </w:r>
          </w:p>
        </w:tc>
      </w:tr>
      <w:tr w:rsidR="00B8405E" w14:paraId="384434F7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A0314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29.5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510D9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infection control</w:t>
            </w:r>
          </w:p>
        </w:tc>
      </w:tr>
      <w:tr w:rsidR="00B8405E" w14:paraId="50C6D5FE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0C34B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115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0ECB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Oral hygiene</w:t>
            </w:r>
          </w:p>
        </w:tc>
      </w:tr>
      <w:tr w:rsidR="00B8405E" w14:paraId="4292642B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C481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120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76E6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health education</w:t>
            </w:r>
          </w:p>
        </w:tc>
      </w:tr>
      <w:tr w:rsidR="00B8405E" w14:paraId="3C3AF700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992C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140.8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17965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Mouth diseases</w:t>
            </w:r>
          </w:p>
        </w:tc>
      </w:tr>
      <w:tr w:rsidR="00B8405E" w14:paraId="73E1120E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296A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192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9CAAC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cements</w:t>
            </w:r>
          </w:p>
        </w:tc>
      </w:tr>
      <w:tr w:rsidR="00B8405E" w14:paraId="54AF3390" w14:textId="77777777" w:rsidTr="00B8405E">
        <w:trPr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EA0BE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194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96407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porcelain</w:t>
            </w:r>
          </w:p>
        </w:tc>
      </w:tr>
      <w:tr w:rsidR="00B8405E" w14:paraId="6DDB6D0F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9FF0A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195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A19C4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synthetic resins</w:t>
            </w:r>
          </w:p>
        </w:tc>
      </w:tr>
      <w:tr w:rsidR="00B8405E" w14:paraId="6B325785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3D834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215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A1131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Tooth</w:t>
            </w:r>
          </w:p>
        </w:tc>
      </w:tr>
      <w:tr w:rsidR="00B8405E" w14:paraId="3FF65169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4778A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235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AA41B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Tooth root. Root canal therapy</w:t>
            </w:r>
          </w:p>
        </w:tc>
      </w:tr>
      <w:tr w:rsidR="00B8405E" w14:paraId="45C50EF5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E0C6C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240.5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F7EE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Gingiva</w:t>
            </w:r>
          </w:p>
        </w:tc>
      </w:tr>
      <w:tr w:rsidR="00B8405E" w14:paraId="7A72B683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BA41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241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222EE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Periodontal diseases (General and not elsewhere classified)</w:t>
            </w:r>
          </w:p>
        </w:tc>
      </w:tr>
      <w:tr w:rsidR="00B8405E" w14:paraId="76473F4E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0A65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246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94C76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Tooth diseases (General or not elsewhere classified)</w:t>
            </w:r>
          </w:p>
        </w:tc>
      </w:tr>
      <w:tr w:rsidR="00B8405E" w14:paraId="0A4372FE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47784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247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9D740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Tooth injuries</w:t>
            </w:r>
          </w:p>
        </w:tc>
      </w:tr>
      <w:tr w:rsidR="00B8405E" w14:paraId="0908FC20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F2B5A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260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EF48F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Tooth abnormalities</w:t>
            </w:r>
          </w:p>
        </w:tc>
      </w:tr>
      <w:tr w:rsidR="00B8405E" w14:paraId="08505CA5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D19F0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272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8DC8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Fluoridation. Fluoride treatment</w:t>
            </w:r>
          </w:p>
        </w:tc>
      </w:tr>
      <w:tr w:rsidR="00B8405E" w14:paraId="5D4A138C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ECB4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355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867F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restoration</w:t>
            </w:r>
          </w:p>
        </w:tc>
      </w:tr>
      <w:tr w:rsidR="00B8405E" w14:paraId="7BA2E41D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CDC5E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510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EF25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prosthesis</w:t>
            </w:r>
          </w:p>
        </w:tc>
      </w:tr>
      <w:tr w:rsidR="00B8405E" w14:paraId="478FB769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632CF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511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7F5DB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Crowns</w:t>
            </w:r>
          </w:p>
        </w:tc>
      </w:tr>
      <w:tr w:rsidR="00B8405E" w14:paraId="1C1C2B55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C23D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512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8C4A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Dentures</w:t>
            </w:r>
          </w:p>
        </w:tc>
      </w:tr>
      <w:tr w:rsidR="00B8405E" w14:paraId="023B3B36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7235B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450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46534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Public health dentistry</w:t>
            </w:r>
          </w:p>
        </w:tc>
      </w:tr>
      <w:tr w:rsidR="00B8405E" w14:paraId="19EA2F7B" w14:textId="77777777" w:rsidTr="00B8405E">
        <w:trPr>
          <w:trHeight w:val="270"/>
          <w:tblCellSpacing w:w="15" w:type="dxa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B266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WU 626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C7E69" w14:textId="31FFB46E" w:rsidR="002A6F17" w:rsidRDefault="00B8405E" w:rsidP="002A6F1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Maxillofacial prosthesis</w:t>
            </w:r>
          </w:p>
        </w:tc>
      </w:tr>
    </w:tbl>
    <w:p w14:paraId="2D3AF30D" w14:textId="77777777" w:rsidR="002A6F17" w:rsidRDefault="002A6F17" w:rsidP="002A6F17">
      <w:pPr>
        <w:shd w:val="clear" w:color="auto" w:fill="FFFFFF"/>
        <w:spacing w:after="0" w:line="240" w:lineRule="auto"/>
        <w:ind w:left="1245"/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14:paraId="4D780B54" w14:textId="6934870E" w:rsidR="000D4031" w:rsidRDefault="000D4031">
      <w:pP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  <w:br w:type="page"/>
      </w:r>
    </w:p>
    <w:p w14:paraId="482C310A" w14:textId="38C5A6C9" w:rsidR="00B8405E" w:rsidRPr="002A6F17" w:rsidRDefault="00B8405E" w:rsidP="002A6F17">
      <w:pPr>
        <w:pStyle w:val="ListParagraph"/>
        <w:numPr>
          <w:ilvl w:val="0"/>
          <w:numId w:val="46"/>
        </w:numP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  <w:r w:rsidRPr="002A6F17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  <w:lastRenderedPageBreak/>
        <w:t>7 WU numbers cancelled</w:t>
      </w:r>
    </w:p>
    <w:tbl>
      <w:tblPr>
        <w:tblW w:w="10870" w:type="dxa"/>
        <w:tblInd w:w="-6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717"/>
        <w:gridCol w:w="4718"/>
      </w:tblGrid>
      <w:tr w:rsidR="00B8405E" w14:paraId="7AE0EEDF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21EAD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Deleted Class Number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FCF14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Former Caption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81240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New Instructions for Classification</w:t>
            </w:r>
          </w:p>
        </w:tc>
      </w:tr>
      <w:tr w:rsidR="00B8405E" w14:paraId="4344D65F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8E81C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18.5]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D40D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Education of dental assistants, hygienists, and technicians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CE9DE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Classify works on education of dental auxiliaries in WU 18.</w:t>
            </w:r>
          </w:p>
        </w:tc>
      </w:tr>
      <w:tr w:rsidR="00B8405E" w14:paraId="25DF83F1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E0C391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105]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BB6F56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emergencies (General)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B1208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Classify works on medical emergencies during dental care in WU 29.3.</w:t>
            </w:r>
          </w:p>
        </w:tc>
      </w:tr>
      <w:tr w:rsidR="00B8405E" w14:paraId="21321004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56F86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141.5]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41948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Specific diagnostic methods, A-Z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AC270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Classify specific diagnostic methods in WU 141.</w:t>
            </w:r>
          </w:p>
        </w:tc>
      </w:tr>
      <w:tr w:rsidR="00B8405E" w14:paraId="0D2B6B4B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D2E51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141.5.C3]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68A21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Cephalometry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DF060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Classify works on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cephalometry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in dentistry in WU 141.</w:t>
            </w:r>
          </w:p>
        </w:tc>
      </w:tr>
      <w:tr w:rsidR="00B8405E" w14:paraId="75F5B516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FDC9C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141.5.O2]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F27A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Odontometry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05F5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Classify works on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odontometry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 WU 215.</w:t>
            </w:r>
          </w:p>
        </w:tc>
      </w:tr>
      <w:tr w:rsidR="00B8405E" w14:paraId="6E17C71D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1073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158]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E1341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Oral and dental injuries (General)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59BD2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Classify works on tooth injuries in WU 247. Classify works on mouth injuries in WU 140.8.</w:t>
            </w:r>
          </w:p>
        </w:tc>
      </w:tr>
      <w:tr w:rsidR="00B8405E" w14:paraId="657CB42A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E9F3E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[WU 170]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FE32A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Dental chemistry (General)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AB3B3" w14:textId="77777777" w:rsidR="00B8405E" w:rsidRDefault="00B8405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Classify works on chemistry in LC's QD schedule.</w:t>
            </w:r>
          </w:p>
        </w:tc>
      </w:tr>
      <w:tr w:rsidR="000439F7" w14:paraId="38C7B38F" w14:textId="77777777" w:rsidTr="002A6F17">
        <w:trPr>
          <w:trHeight w:val="2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6786C" w14:textId="77777777" w:rsidR="000439F7" w:rsidRDefault="000439F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690E3" w14:textId="77777777" w:rsidR="000439F7" w:rsidRDefault="000439F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14382" w14:textId="77777777" w:rsidR="000439F7" w:rsidRDefault="000439F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7199F9BC" w14:textId="340A161D" w:rsidR="000D4031" w:rsidRPr="000D4031" w:rsidRDefault="000D4031" w:rsidP="000439F7">
      <w:pPr>
        <w:pStyle w:val="Heading2"/>
        <w:rPr>
          <w:sz w:val="22"/>
          <w:szCs w:val="22"/>
        </w:rPr>
      </w:pPr>
      <w:r w:rsidRPr="000D4031">
        <w:rPr>
          <w:sz w:val="22"/>
          <w:szCs w:val="22"/>
        </w:rPr>
        <w:t>Statistics from the WV (Otolaryngology) Systematic Review</w:t>
      </w:r>
    </w:p>
    <w:p w14:paraId="69058242" w14:textId="77777777" w:rsidR="007B1CBD" w:rsidRPr="007B1CBD" w:rsidRDefault="007B1CBD" w:rsidP="007B1CBD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1CB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4 WV class numbers added</w:t>
      </w:r>
    </w:p>
    <w:tbl>
      <w:tblPr>
        <w:tblW w:w="11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9909"/>
      </w:tblGrid>
      <w:tr w:rsidR="007B1CBD" w:rsidRPr="007B1CBD" w14:paraId="38B579BE" w14:textId="77777777" w:rsidTr="007B1CBD">
        <w:trPr>
          <w:trHeight w:val="27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300E3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New Class Number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5AEF3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Caption</w:t>
            </w:r>
          </w:p>
        </w:tc>
      </w:tr>
      <w:tr w:rsidR="007B1CBD" w:rsidRPr="007B1CBD" w14:paraId="375C7D2C" w14:textId="77777777" w:rsidTr="007B1CBD">
        <w:trPr>
          <w:trHeight w:val="27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C4338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WV 257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B82F9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Vestibular diseases</w:t>
            </w:r>
          </w:p>
        </w:tc>
      </w:tr>
      <w:tr w:rsidR="007B1CBD" w:rsidRPr="007B1CBD" w14:paraId="1AF2947B" w14:textId="77777777" w:rsidTr="007B1CBD">
        <w:trPr>
          <w:trHeight w:val="27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ADE58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WV 268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0BC3F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Vestibulocochlear physiological phenomena. Hearing</w:t>
            </w:r>
          </w:p>
        </w:tc>
      </w:tr>
      <w:tr w:rsidR="007B1CBD" w:rsidRPr="007B1CBD" w14:paraId="73081726" w14:textId="77777777" w:rsidTr="007B1CBD">
        <w:trPr>
          <w:trHeight w:val="27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6F31F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WV 480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9CE31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Larynx</w:t>
            </w:r>
          </w:p>
        </w:tc>
      </w:tr>
      <w:tr w:rsidR="007B1CBD" w:rsidRPr="007B1CBD" w14:paraId="02313BA7" w14:textId="77777777" w:rsidTr="007B1CBD">
        <w:trPr>
          <w:trHeight w:val="27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CF57B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WV 485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124015" w14:textId="1D12DF64" w:rsidR="000439F7" w:rsidRPr="007B1CBD" w:rsidRDefault="007B1CBD" w:rsidP="00043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Laryngeal diseases (General or not elsewhere classified)</w:t>
            </w:r>
          </w:p>
        </w:tc>
      </w:tr>
    </w:tbl>
    <w:p w14:paraId="7731CE45" w14:textId="2BE1E88C" w:rsidR="007B1CBD" w:rsidRDefault="007B1CBD" w:rsidP="007B1C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4A2FD28" w14:textId="77777777" w:rsidR="007B1CBD" w:rsidRPr="007B1CBD" w:rsidRDefault="007B1CBD" w:rsidP="007B1C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5CA16DD" w14:textId="64B10C4D" w:rsidR="007B1CBD" w:rsidRPr="007B1CBD" w:rsidRDefault="007B1CBD" w:rsidP="007B1CB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1CB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5 WV numbers cancelled</w:t>
      </w:r>
    </w:p>
    <w:tbl>
      <w:tblPr>
        <w:tblW w:w="1087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717"/>
        <w:gridCol w:w="4718"/>
      </w:tblGrid>
      <w:tr w:rsidR="007B1CBD" w:rsidRPr="007B1CBD" w14:paraId="7D317F4D" w14:textId="77777777" w:rsidTr="007B1CBD">
        <w:trPr>
          <w:trHeight w:val="24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BE1AC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Deleted Class Number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D559C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Former Caption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9F825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New Instructions for Classification</w:t>
            </w:r>
          </w:p>
        </w:tc>
      </w:tr>
      <w:tr w:rsidR="007B1CBD" w:rsidRPr="007B1CBD" w14:paraId="6D638F33" w14:textId="77777777" w:rsidTr="007B1CBD">
        <w:trPr>
          <w:trHeight w:val="24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DA155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[WV 280]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33D88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Deaf-mutism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C436D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Classify works on mutism associated with deafness in WV 270.</w:t>
            </w:r>
          </w:p>
        </w:tc>
      </w:tr>
      <w:tr w:rsidR="007B1CBD" w:rsidRPr="007B1CBD" w14:paraId="7574F832" w14:textId="77777777" w:rsidTr="007B1CBD">
        <w:trPr>
          <w:trHeight w:val="24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9993B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[WV 310]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83019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External nose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9E362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Classify works on the nose in WV 300-WV 301.</w:t>
            </w:r>
          </w:p>
        </w:tc>
      </w:tr>
      <w:tr w:rsidR="007B1CBD" w:rsidRPr="007B1CBD" w14:paraId="1D8A975D" w14:textId="77777777" w:rsidTr="007B1CBD">
        <w:trPr>
          <w:trHeight w:val="24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28EF3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[WV 400]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2D2A0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General works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70F81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Classify general works on the pharyngeal region in WV 410.</w:t>
            </w:r>
          </w:p>
        </w:tc>
      </w:tr>
      <w:tr w:rsidR="007B1CBD" w:rsidRPr="007B1CBD" w14:paraId="635DA5BA" w14:textId="77777777" w:rsidTr="007B1CBD">
        <w:trPr>
          <w:trHeight w:val="24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DD99E8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[WV 401]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6524B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Anatomy. Physiology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FC823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Classify works on anatomy and physiology of the pharynx in WV 410.</w:t>
            </w:r>
          </w:p>
        </w:tc>
      </w:tr>
      <w:tr w:rsidR="007B1CBD" w:rsidRPr="007B1CBD" w14:paraId="5C2A7687" w14:textId="77777777" w:rsidTr="007B1CBD">
        <w:trPr>
          <w:trHeight w:val="24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BC78F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[WV 510]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37D82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Inflammation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2C5C8" w14:textId="77777777" w:rsidR="007B1CBD" w:rsidRPr="007B1CBD" w:rsidRDefault="007B1CBD" w:rsidP="007B1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1CB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Classify works on laryngitis in WV 485.</w:t>
            </w:r>
          </w:p>
        </w:tc>
      </w:tr>
    </w:tbl>
    <w:p w14:paraId="27DB51FB" w14:textId="77777777" w:rsidR="006745F9" w:rsidRDefault="006745F9" w:rsidP="004842B8"/>
    <w:p w14:paraId="1F49F481" w14:textId="7C10AF92" w:rsidR="005B44BA" w:rsidRPr="001D265D" w:rsidRDefault="005B44BA" w:rsidP="001D265D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5B44BA" w:rsidRPr="001D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4CF"/>
    <w:multiLevelType w:val="hybridMultilevel"/>
    <w:tmpl w:val="0776B712"/>
    <w:lvl w:ilvl="0" w:tplc="AD4A7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2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0A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E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2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C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82412"/>
    <w:multiLevelType w:val="hybridMultilevel"/>
    <w:tmpl w:val="0BA87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E86"/>
    <w:multiLevelType w:val="hybridMultilevel"/>
    <w:tmpl w:val="2916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D67B9"/>
    <w:multiLevelType w:val="hybridMultilevel"/>
    <w:tmpl w:val="EB9094A4"/>
    <w:lvl w:ilvl="0" w:tplc="CEBA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5CA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4E2A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594B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41E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1B2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3BE4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93AF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C82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0A447F95"/>
    <w:multiLevelType w:val="multilevel"/>
    <w:tmpl w:val="81E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A3255"/>
    <w:multiLevelType w:val="multilevel"/>
    <w:tmpl w:val="3F3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924293"/>
    <w:multiLevelType w:val="multilevel"/>
    <w:tmpl w:val="6FD0D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6B3670"/>
    <w:multiLevelType w:val="multilevel"/>
    <w:tmpl w:val="69C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FA5DCA"/>
    <w:multiLevelType w:val="multilevel"/>
    <w:tmpl w:val="B26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D40DF"/>
    <w:multiLevelType w:val="hybridMultilevel"/>
    <w:tmpl w:val="BC7A0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2188E"/>
    <w:multiLevelType w:val="hybridMultilevel"/>
    <w:tmpl w:val="6030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233E"/>
    <w:multiLevelType w:val="multilevel"/>
    <w:tmpl w:val="877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2690B"/>
    <w:multiLevelType w:val="hybridMultilevel"/>
    <w:tmpl w:val="DDC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2607B"/>
    <w:multiLevelType w:val="hybridMultilevel"/>
    <w:tmpl w:val="1DD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6F4"/>
    <w:multiLevelType w:val="multilevel"/>
    <w:tmpl w:val="41E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5D757D"/>
    <w:multiLevelType w:val="multilevel"/>
    <w:tmpl w:val="08AE648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91C8C"/>
    <w:multiLevelType w:val="hybridMultilevel"/>
    <w:tmpl w:val="A428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58A9"/>
    <w:multiLevelType w:val="multilevel"/>
    <w:tmpl w:val="304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476CAB"/>
    <w:multiLevelType w:val="multilevel"/>
    <w:tmpl w:val="6FD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CC5FA7"/>
    <w:multiLevelType w:val="multilevel"/>
    <w:tmpl w:val="854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05971"/>
    <w:multiLevelType w:val="hybridMultilevel"/>
    <w:tmpl w:val="7E28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30F65"/>
    <w:multiLevelType w:val="hybridMultilevel"/>
    <w:tmpl w:val="9CC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97385"/>
    <w:multiLevelType w:val="hybridMultilevel"/>
    <w:tmpl w:val="EE7E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C1215"/>
    <w:multiLevelType w:val="hybridMultilevel"/>
    <w:tmpl w:val="CBCE3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A04F9"/>
    <w:multiLevelType w:val="multilevel"/>
    <w:tmpl w:val="D76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412F0"/>
    <w:multiLevelType w:val="multilevel"/>
    <w:tmpl w:val="58B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F40A2"/>
    <w:multiLevelType w:val="multilevel"/>
    <w:tmpl w:val="75A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7174A9"/>
    <w:multiLevelType w:val="multilevel"/>
    <w:tmpl w:val="987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703F4E"/>
    <w:multiLevelType w:val="multilevel"/>
    <w:tmpl w:val="8EA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E4F5F"/>
    <w:multiLevelType w:val="hybridMultilevel"/>
    <w:tmpl w:val="CF12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351C5"/>
    <w:multiLevelType w:val="multilevel"/>
    <w:tmpl w:val="916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A3633"/>
    <w:multiLevelType w:val="hybridMultilevel"/>
    <w:tmpl w:val="AB8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7ACF"/>
    <w:multiLevelType w:val="multilevel"/>
    <w:tmpl w:val="565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492B83"/>
    <w:multiLevelType w:val="multilevel"/>
    <w:tmpl w:val="0C8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66616E"/>
    <w:multiLevelType w:val="multilevel"/>
    <w:tmpl w:val="FBB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A60032"/>
    <w:multiLevelType w:val="hybridMultilevel"/>
    <w:tmpl w:val="77B0050A"/>
    <w:lvl w:ilvl="0" w:tplc="8FE8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05A9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BA4A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AD0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354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B70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768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36C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894F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6" w15:restartNumberingAfterBreak="0">
    <w:nsid w:val="6A365C8C"/>
    <w:multiLevelType w:val="multilevel"/>
    <w:tmpl w:val="58D4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895787"/>
    <w:multiLevelType w:val="multilevel"/>
    <w:tmpl w:val="622C94AC"/>
    <w:lvl w:ilvl="0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625FCB"/>
    <w:multiLevelType w:val="hybridMultilevel"/>
    <w:tmpl w:val="6DD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068F8"/>
    <w:multiLevelType w:val="multilevel"/>
    <w:tmpl w:val="7ED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80616"/>
    <w:multiLevelType w:val="multilevel"/>
    <w:tmpl w:val="60C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F5C7D"/>
    <w:multiLevelType w:val="multilevel"/>
    <w:tmpl w:val="ED2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669ED"/>
    <w:multiLevelType w:val="multilevel"/>
    <w:tmpl w:val="F4A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FA49F0"/>
    <w:multiLevelType w:val="multilevel"/>
    <w:tmpl w:val="771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71039F"/>
    <w:multiLevelType w:val="multilevel"/>
    <w:tmpl w:val="534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75458"/>
    <w:multiLevelType w:val="multilevel"/>
    <w:tmpl w:val="E68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491EBE"/>
    <w:multiLevelType w:val="hybridMultilevel"/>
    <w:tmpl w:val="4D8A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747"/>
    <w:multiLevelType w:val="hybridMultilevel"/>
    <w:tmpl w:val="082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175B9"/>
    <w:multiLevelType w:val="hybridMultilevel"/>
    <w:tmpl w:val="226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1"/>
  </w:num>
  <w:num w:numId="5">
    <w:abstractNumId w:val="44"/>
  </w:num>
  <w:num w:numId="6">
    <w:abstractNumId w:val="24"/>
  </w:num>
  <w:num w:numId="7">
    <w:abstractNumId w:val="39"/>
  </w:num>
  <w:num w:numId="8">
    <w:abstractNumId w:val="4"/>
  </w:num>
  <w:num w:numId="9">
    <w:abstractNumId w:val="32"/>
  </w:num>
  <w:num w:numId="10">
    <w:abstractNumId w:val="28"/>
  </w:num>
  <w:num w:numId="11">
    <w:abstractNumId w:val="36"/>
  </w:num>
  <w:num w:numId="12">
    <w:abstractNumId w:val="43"/>
  </w:num>
  <w:num w:numId="13">
    <w:abstractNumId w:val="41"/>
  </w:num>
  <w:num w:numId="14">
    <w:abstractNumId w:val="33"/>
  </w:num>
  <w:num w:numId="15">
    <w:abstractNumId w:val="8"/>
  </w:num>
  <w:num w:numId="16">
    <w:abstractNumId w:val="25"/>
  </w:num>
  <w:num w:numId="17">
    <w:abstractNumId w:val="19"/>
  </w:num>
  <w:num w:numId="18">
    <w:abstractNumId w:val="40"/>
  </w:num>
  <w:num w:numId="19">
    <w:abstractNumId w:val="30"/>
  </w:num>
  <w:num w:numId="20">
    <w:abstractNumId w:val="16"/>
  </w:num>
  <w:num w:numId="21">
    <w:abstractNumId w:val="31"/>
  </w:num>
  <w:num w:numId="22">
    <w:abstractNumId w:val="47"/>
  </w:num>
  <w:num w:numId="23">
    <w:abstractNumId w:val="27"/>
  </w:num>
  <w:num w:numId="24">
    <w:abstractNumId w:val="7"/>
  </w:num>
  <w:num w:numId="25">
    <w:abstractNumId w:val="5"/>
  </w:num>
  <w:num w:numId="26">
    <w:abstractNumId w:val="14"/>
  </w:num>
  <w:num w:numId="27">
    <w:abstractNumId w:val="17"/>
  </w:num>
  <w:num w:numId="28">
    <w:abstractNumId w:val="42"/>
  </w:num>
  <w:num w:numId="29">
    <w:abstractNumId w:val="45"/>
  </w:num>
  <w:num w:numId="30">
    <w:abstractNumId w:val="29"/>
  </w:num>
  <w:num w:numId="31">
    <w:abstractNumId w:val="38"/>
  </w:num>
  <w:num w:numId="32">
    <w:abstractNumId w:val="12"/>
  </w:num>
  <w:num w:numId="33">
    <w:abstractNumId w:val="13"/>
  </w:num>
  <w:num w:numId="34">
    <w:abstractNumId w:val="1"/>
  </w:num>
  <w:num w:numId="35">
    <w:abstractNumId w:val="21"/>
  </w:num>
  <w:num w:numId="36">
    <w:abstractNumId w:val="20"/>
  </w:num>
  <w:num w:numId="37">
    <w:abstractNumId w:val="22"/>
  </w:num>
  <w:num w:numId="38">
    <w:abstractNumId w:val="48"/>
  </w:num>
  <w:num w:numId="39">
    <w:abstractNumId w:val="9"/>
  </w:num>
  <w:num w:numId="40">
    <w:abstractNumId w:val="10"/>
  </w:num>
  <w:num w:numId="41">
    <w:abstractNumId w:val="46"/>
  </w:num>
  <w:num w:numId="42">
    <w:abstractNumId w:val="26"/>
  </w:num>
  <w:num w:numId="43">
    <w:abstractNumId w:val="23"/>
  </w:num>
  <w:num w:numId="44">
    <w:abstractNumId w:val="37"/>
  </w:num>
  <w:num w:numId="45">
    <w:abstractNumId w:val="34"/>
  </w:num>
  <w:num w:numId="46">
    <w:abstractNumId w:val="2"/>
  </w:num>
  <w:num w:numId="47">
    <w:abstractNumId w:val="15"/>
  </w:num>
  <w:num w:numId="48">
    <w:abstractNumId w:val="1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D"/>
    <w:rsid w:val="00000BA7"/>
    <w:rsid w:val="00033BB9"/>
    <w:rsid w:val="000439F7"/>
    <w:rsid w:val="00045810"/>
    <w:rsid w:val="000D4031"/>
    <w:rsid w:val="00150F1D"/>
    <w:rsid w:val="001A350B"/>
    <w:rsid w:val="001A3F17"/>
    <w:rsid w:val="001B38B3"/>
    <w:rsid w:val="001D265D"/>
    <w:rsid w:val="001F712A"/>
    <w:rsid w:val="002014E1"/>
    <w:rsid w:val="00252691"/>
    <w:rsid w:val="002A6F17"/>
    <w:rsid w:val="002D292E"/>
    <w:rsid w:val="002E468F"/>
    <w:rsid w:val="003371FE"/>
    <w:rsid w:val="00381DD5"/>
    <w:rsid w:val="0039167D"/>
    <w:rsid w:val="003C7B4B"/>
    <w:rsid w:val="004001AB"/>
    <w:rsid w:val="004134A9"/>
    <w:rsid w:val="004842B8"/>
    <w:rsid w:val="004F5D2F"/>
    <w:rsid w:val="0054450D"/>
    <w:rsid w:val="00577313"/>
    <w:rsid w:val="00577331"/>
    <w:rsid w:val="00594705"/>
    <w:rsid w:val="005A1727"/>
    <w:rsid w:val="005A4B20"/>
    <w:rsid w:val="005B44BA"/>
    <w:rsid w:val="005D625D"/>
    <w:rsid w:val="005F3B65"/>
    <w:rsid w:val="006745F9"/>
    <w:rsid w:val="00680691"/>
    <w:rsid w:val="006D252D"/>
    <w:rsid w:val="007172AC"/>
    <w:rsid w:val="00741B99"/>
    <w:rsid w:val="007532B8"/>
    <w:rsid w:val="0076286D"/>
    <w:rsid w:val="00765C62"/>
    <w:rsid w:val="007857D6"/>
    <w:rsid w:val="007A68B1"/>
    <w:rsid w:val="007B1CBD"/>
    <w:rsid w:val="007C73C3"/>
    <w:rsid w:val="007E0C72"/>
    <w:rsid w:val="008159BC"/>
    <w:rsid w:val="00816A28"/>
    <w:rsid w:val="00830AEC"/>
    <w:rsid w:val="008357D1"/>
    <w:rsid w:val="00887FDD"/>
    <w:rsid w:val="008E08EC"/>
    <w:rsid w:val="008E7B88"/>
    <w:rsid w:val="00937533"/>
    <w:rsid w:val="009D47CC"/>
    <w:rsid w:val="009E4CF8"/>
    <w:rsid w:val="00A628AE"/>
    <w:rsid w:val="00A67CD5"/>
    <w:rsid w:val="00AF75AE"/>
    <w:rsid w:val="00B04C37"/>
    <w:rsid w:val="00B161C7"/>
    <w:rsid w:val="00B56F33"/>
    <w:rsid w:val="00B601AB"/>
    <w:rsid w:val="00B718C4"/>
    <w:rsid w:val="00B8405E"/>
    <w:rsid w:val="00BB5C3B"/>
    <w:rsid w:val="00BC793F"/>
    <w:rsid w:val="00BD77AA"/>
    <w:rsid w:val="00BE7C22"/>
    <w:rsid w:val="00BF198A"/>
    <w:rsid w:val="00BF27C6"/>
    <w:rsid w:val="00C15C08"/>
    <w:rsid w:val="00C33BAC"/>
    <w:rsid w:val="00C342BC"/>
    <w:rsid w:val="00C502C5"/>
    <w:rsid w:val="00CA0891"/>
    <w:rsid w:val="00CB47AD"/>
    <w:rsid w:val="00D131FA"/>
    <w:rsid w:val="00D70FCD"/>
    <w:rsid w:val="00D7709D"/>
    <w:rsid w:val="00DC535B"/>
    <w:rsid w:val="00DD083B"/>
    <w:rsid w:val="00E15667"/>
    <w:rsid w:val="00E20663"/>
    <w:rsid w:val="00EE4168"/>
    <w:rsid w:val="00F07EF5"/>
    <w:rsid w:val="00F31B2D"/>
    <w:rsid w:val="00F342ED"/>
    <w:rsid w:val="00F56B75"/>
    <w:rsid w:val="00F57EF3"/>
    <w:rsid w:val="00F61FC8"/>
    <w:rsid w:val="00F96288"/>
    <w:rsid w:val="00FA1AEA"/>
    <w:rsid w:val="00FA36CC"/>
    <w:rsid w:val="00FB0174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4969"/>
  <w15:chartTrackingRefBased/>
  <w15:docId w15:val="{E3227DD4-4530-4CAD-812D-950BFCD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7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C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42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0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0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0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70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9D"/>
    <w:rPr>
      <w:b/>
      <w:bCs/>
    </w:rPr>
  </w:style>
  <w:style w:type="character" w:styleId="Emphasis">
    <w:name w:val="Emphasis"/>
    <w:basedOn w:val="DefaultParagraphFont"/>
    <w:uiPriority w:val="20"/>
    <w:qFormat/>
    <w:rsid w:val="00D7709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07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4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04C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842B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D70FCD"/>
    <w:pPr>
      <w:spacing w:after="0" w:line="240" w:lineRule="auto"/>
    </w:pPr>
  </w:style>
  <w:style w:type="character" w:customStyle="1" w:styleId="font-weight-bold">
    <w:name w:val="font-weight-bold"/>
    <w:basedOn w:val="DefaultParagraphFont"/>
    <w:rsid w:val="00F5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28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99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521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594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487">
          <w:marLeft w:val="4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213">
          <w:marLeft w:val="4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824">
          <w:marLeft w:val="4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87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768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246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820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shb.nlm.nih.gov/record/ui?ui=D044469" TargetMode="External"/><Relationship Id="rId18" Type="http://schemas.openxmlformats.org/officeDocument/2006/relationships/hyperlink" Target="https://meshb.nlm.nih.gov/record/ui?ui=D044465" TargetMode="External"/><Relationship Id="rId26" Type="http://schemas.openxmlformats.org/officeDocument/2006/relationships/hyperlink" Target="https://meshb.nlm.nih.gov/record/ui?ui=D000091362" TargetMode="External"/><Relationship Id="rId39" Type="http://schemas.openxmlformats.org/officeDocument/2006/relationships/hyperlink" Target="https://meshb.nlm.nih.gov/record/ui?ui=D000091542" TargetMode="External"/><Relationship Id="rId21" Type="http://schemas.openxmlformats.org/officeDocument/2006/relationships/hyperlink" Target="https://meshb.nlm.nih.gov/record/ui?ui=D000090983" TargetMode="External"/><Relationship Id="rId34" Type="http://schemas.openxmlformats.org/officeDocument/2006/relationships/hyperlink" Target="https://meshb.nlm.nih.gov/record/ui?ui=D000091483" TargetMode="External"/><Relationship Id="rId42" Type="http://schemas.openxmlformats.org/officeDocument/2006/relationships/hyperlink" Target="https://meshb.nlm.nih.gov/record/ui?ui=D000091368" TargetMode="External"/><Relationship Id="rId47" Type="http://schemas.openxmlformats.org/officeDocument/2006/relationships/hyperlink" Target="https://meshb.nlm.nih.gov/record/ui?ui=D000091743" TargetMode="External"/><Relationship Id="rId50" Type="http://schemas.openxmlformats.org/officeDocument/2006/relationships/hyperlink" Target="https://meshb.nlm.nih.gov/record/ui?ui=D00008044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shb.nlm.nih.gov/record/ui?ui=D000086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shb.nlm.nih.gov/record/ui?ui=D000080309" TargetMode="External"/><Relationship Id="rId29" Type="http://schemas.openxmlformats.org/officeDocument/2006/relationships/hyperlink" Target="https://meshb.nlm.nih.gov/record/ui?ui=D000091002" TargetMode="External"/><Relationship Id="rId11" Type="http://schemas.openxmlformats.org/officeDocument/2006/relationships/hyperlink" Target="https://meshb.nlm.nih.gov/record/ui?ui=D048149" TargetMode="External"/><Relationship Id="rId24" Type="http://schemas.openxmlformats.org/officeDocument/2006/relationships/hyperlink" Target="https://meshb.nlm.nih.gov/record/ui?ui=D000090985" TargetMode="External"/><Relationship Id="rId32" Type="http://schemas.openxmlformats.org/officeDocument/2006/relationships/hyperlink" Target="https://meshb.nlm.nih.gov/record/ui?ui=D000091443" TargetMode="External"/><Relationship Id="rId37" Type="http://schemas.openxmlformats.org/officeDocument/2006/relationships/hyperlink" Target="https://meshb.nlm.nih.gov/record/ui?ui=D000091489" TargetMode="External"/><Relationship Id="rId40" Type="http://schemas.openxmlformats.org/officeDocument/2006/relationships/hyperlink" Target="https://meshb.nlm.nih.gov/record/ui?ui=D000091563" TargetMode="External"/><Relationship Id="rId45" Type="http://schemas.openxmlformats.org/officeDocument/2006/relationships/hyperlink" Target="https://meshb.nlm.nih.gov/record/ui?ui=D000091488" TargetMode="External"/><Relationship Id="rId53" Type="http://schemas.openxmlformats.org/officeDocument/2006/relationships/hyperlink" Target="https://www.nlm.nih.gov/pubs/techbull/so21/so21_nlm_classification_summer_20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shb.nlm.nih.gov/record/ui?ui=D044466" TargetMode="External"/><Relationship Id="rId19" Type="http://schemas.openxmlformats.org/officeDocument/2006/relationships/hyperlink" Target="https://meshb.nlm.nih.gov/record/ui?ui=D000074421" TargetMode="External"/><Relationship Id="rId31" Type="http://schemas.openxmlformats.org/officeDocument/2006/relationships/hyperlink" Target="https://meshb.nlm.nih.gov/record/ui?ui=D000091383" TargetMode="External"/><Relationship Id="rId44" Type="http://schemas.openxmlformats.org/officeDocument/2006/relationships/hyperlink" Target="https://meshb.nlm.nih.gov/record/ui?ui=D000091702" TargetMode="External"/><Relationship Id="rId52" Type="http://schemas.openxmlformats.org/officeDocument/2006/relationships/hyperlink" Target="https://collections.nlm.nih.gov/catalog/nlm:nlmuid-101587919-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hb.nlm.nih.gov/record/ui?ui=D000075803" TargetMode="External"/><Relationship Id="rId14" Type="http://schemas.openxmlformats.org/officeDocument/2006/relationships/hyperlink" Target="https://meshb.nlm.nih.gov/record/ui?ui=D003765" TargetMode="External"/><Relationship Id="rId22" Type="http://schemas.openxmlformats.org/officeDocument/2006/relationships/hyperlink" Target="https://meshb.nlm.nih.gov/record/ui?ui=D000090982" TargetMode="External"/><Relationship Id="rId27" Type="http://schemas.openxmlformats.org/officeDocument/2006/relationships/hyperlink" Target="https://meshb.nlm.nih.gov/record/ui?ui=D020005" TargetMode="External"/><Relationship Id="rId30" Type="http://schemas.openxmlformats.org/officeDocument/2006/relationships/hyperlink" Target="https://meshb.nlm.nih.gov/record/ui?ui=D000091003" TargetMode="External"/><Relationship Id="rId35" Type="http://schemas.openxmlformats.org/officeDocument/2006/relationships/hyperlink" Target="https://meshb.nlm.nih.gov/record/ui?ui=D000091485" TargetMode="External"/><Relationship Id="rId43" Type="http://schemas.openxmlformats.org/officeDocument/2006/relationships/hyperlink" Target="https://meshb.nlm.nih.gov/record/ui?ui=D000091682" TargetMode="External"/><Relationship Id="rId48" Type="http://schemas.openxmlformats.org/officeDocument/2006/relationships/hyperlink" Target="https://meshb.nlm.nih.gov/record/ui?ui=D000091762" TargetMode="External"/><Relationship Id="rId8" Type="http://schemas.openxmlformats.org/officeDocument/2006/relationships/hyperlink" Target="https://meshb.nlm.nih.gov/record/ui?ui=D046869" TargetMode="External"/><Relationship Id="rId51" Type="http://schemas.openxmlformats.org/officeDocument/2006/relationships/hyperlink" Target="https://classification.nlm.nih.gov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shb.nlm.nih.gov/record/ui?ui=D004490" TargetMode="External"/><Relationship Id="rId17" Type="http://schemas.openxmlformats.org/officeDocument/2006/relationships/hyperlink" Target="https://meshb.nlm.nih.gov/record/ui?ui=D005006" TargetMode="External"/><Relationship Id="rId25" Type="http://schemas.openxmlformats.org/officeDocument/2006/relationships/hyperlink" Target="https://meshb.nlm.nih.gov/record/ui?ui=D000090463" TargetMode="External"/><Relationship Id="rId33" Type="http://schemas.openxmlformats.org/officeDocument/2006/relationships/hyperlink" Target="https://meshb.nlm.nih.gov/record/ui?ui=D000091482" TargetMode="External"/><Relationship Id="rId38" Type="http://schemas.openxmlformats.org/officeDocument/2006/relationships/hyperlink" Target="https://meshb.nlm.nih.gov/record/ui?ui=D000091502" TargetMode="External"/><Relationship Id="rId46" Type="http://schemas.openxmlformats.org/officeDocument/2006/relationships/hyperlink" Target="https://meshb.nlm.nih.gov/record/ui?ui=D000091722" TargetMode="External"/><Relationship Id="rId20" Type="http://schemas.openxmlformats.org/officeDocument/2006/relationships/hyperlink" Target="https://www.nlm.nih.gov/mesh/2022/download/2022NewheadingsbycategorywithScopeNotes.pdf" TargetMode="External"/><Relationship Id="rId41" Type="http://schemas.openxmlformats.org/officeDocument/2006/relationships/hyperlink" Target="https://meshb.nlm.nih.gov/record/ui?ui=D00009156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shb.nlm.nih.gov/record/ui?ui=D044383" TargetMode="External"/><Relationship Id="rId15" Type="http://schemas.openxmlformats.org/officeDocument/2006/relationships/hyperlink" Target="https://meshb.nlm.nih.gov/record/ui?ui=D004442" TargetMode="External"/><Relationship Id="rId23" Type="http://schemas.openxmlformats.org/officeDocument/2006/relationships/hyperlink" Target="https://meshb.nlm.nih.gov/record/ui?ui=D000090984" TargetMode="External"/><Relationship Id="rId28" Type="http://schemas.openxmlformats.org/officeDocument/2006/relationships/hyperlink" Target="https://meshb.nlm.nih.gov/record/ui?ui=D000070599" TargetMode="External"/><Relationship Id="rId36" Type="http://schemas.openxmlformats.org/officeDocument/2006/relationships/hyperlink" Target="https://meshb.nlm.nih.gov/record/ui?ui=D000091486" TargetMode="External"/><Relationship Id="rId49" Type="http://schemas.openxmlformats.org/officeDocument/2006/relationships/hyperlink" Target="https://meshb.nlm.nih.gov/record/ui?ui=D000091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D51-93C4-4942-AC45-0F6B5E4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Bushman, Barbara (NIH/NLM) [E]</dc:creator>
  <cp:keywords/>
  <dc:description/>
  <cp:lastModifiedBy>Candy Riley</cp:lastModifiedBy>
  <cp:revision>2</cp:revision>
  <dcterms:created xsi:type="dcterms:W3CDTF">2022-01-11T18:23:00Z</dcterms:created>
  <dcterms:modified xsi:type="dcterms:W3CDTF">2022-01-11T18:23:00Z</dcterms:modified>
</cp:coreProperties>
</file>