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B56B423" w:rsidR="009E4E45" w:rsidRPr="00054122" w:rsidRDefault="00192128">
      <w:pPr>
        <w:pStyle w:val="Heading1"/>
        <w:rPr>
          <w:rFonts w:ascii="Times New Roman" w:hAnsi="Times New Roman" w:cs="Times New Roman"/>
          <w:sz w:val="48"/>
          <w:szCs w:val="48"/>
        </w:rPr>
      </w:pPr>
      <w:bookmarkStart w:id="0" w:name="_9xruoj55aqly" w:colFirst="0" w:colLast="0"/>
      <w:bookmarkEnd w:id="0"/>
      <w:r w:rsidRPr="00054122">
        <w:rPr>
          <w:rFonts w:ascii="Times New Roman" w:hAnsi="Times New Roman" w:cs="Times New Roman"/>
          <w:sz w:val="48"/>
          <w:szCs w:val="48"/>
        </w:rPr>
        <w:t xml:space="preserve">DRAFT: Access to Library Resources and Services for Minors: An Interpretation of the </w:t>
      </w:r>
      <w:r w:rsidRPr="00054122">
        <w:rPr>
          <w:rFonts w:ascii="Times New Roman" w:hAnsi="Times New Roman" w:cs="Times New Roman"/>
          <w:i/>
          <w:iCs/>
          <w:sz w:val="48"/>
          <w:szCs w:val="48"/>
        </w:rPr>
        <w:t>Library Bill of Rights</w:t>
      </w:r>
    </w:p>
    <w:p w14:paraId="00000003" w14:textId="77777777" w:rsidR="009E4E45" w:rsidRPr="00192128" w:rsidRDefault="00192128" w:rsidP="00192128">
      <w:pPr>
        <w:spacing w:line="360" w:lineRule="auto"/>
        <w:rPr>
          <w:rFonts w:ascii="Times New Roman" w:hAnsi="Times New Roman" w:cs="Times New Roman"/>
          <w:sz w:val="24"/>
          <w:szCs w:val="24"/>
        </w:rPr>
      </w:pPr>
      <w:r w:rsidRPr="00192128">
        <w:rPr>
          <w:rFonts w:ascii="Times New Roman" w:hAnsi="Times New Roman" w:cs="Times New Roman"/>
          <w:sz w:val="24"/>
          <w:szCs w:val="24"/>
        </w:rPr>
        <w:br/>
      </w:r>
      <w:r w:rsidRPr="00192128">
        <w:rPr>
          <w:rFonts w:ascii="Times New Roman" w:hAnsi="Times New Roman" w:cs="Times New Roman"/>
          <w:sz w:val="24"/>
          <w:szCs w:val="24"/>
          <w:highlight w:val="white"/>
        </w:rPr>
        <w:t xml:space="preserve">The American Library Association supports equal and equitable access to all library resources and services by users of all ages. </w:t>
      </w:r>
      <w:r w:rsidRPr="00192128">
        <w:rPr>
          <w:rFonts w:ascii="Times New Roman" w:hAnsi="Times New Roman" w:cs="Times New Roman"/>
          <w:sz w:val="24"/>
          <w:szCs w:val="24"/>
        </w:rPr>
        <w:t xml:space="preserve">Library policies and procedures that effectively deny minors equal and equitable access to all library resources and services available to other users is in violation of the American Library Association’s </w:t>
      </w:r>
      <w:r w:rsidRPr="00192128">
        <w:rPr>
          <w:rFonts w:ascii="Times New Roman" w:hAnsi="Times New Roman" w:cs="Times New Roman"/>
          <w:i/>
          <w:sz w:val="24"/>
          <w:szCs w:val="24"/>
        </w:rPr>
        <w:t>Library Bill of Rights</w:t>
      </w:r>
      <w:r w:rsidRPr="00192128">
        <w:rPr>
          <w:rFonts w:ascii="Times New Roman" w:hAnsi="Times New Roman" w:cs="Times New Roman"/>
          <w:sz w:val="24"/>
          <w:szCs w:val="24"/>
        </w:rPr>
        <w:t>. The American Library Association opposes all attempts to restrict access to library services, materials, and facilities based on the age of library users.</w:t>
      </w:r>
      <w:r w:rsidRPr="00192128">
        <w:rPr>
          <w:rFonts w:ascii="Times New Roman" w:hAnsi="Times New Roman" w:cs="Times New Roman"/>
          <w:sz w:val="24"/>
          <w:szCs w:val="24"/>
        </w:rPr>
        <w:br/>
      </w:r>
      <w:r w:rsidRPr="00192128">
        <w:rPr>
          <w:rFonts w:ascii="Times New Roman" w:hAnsi="Times New Roman" w:cs="Times New Roman"/>
          <w:sz w:val="24"/>
          <w:szCs w:val="24"/>
        </w:rPr>
        <w:br/>
        <w:t xml:space="preserve">Article V of the </w:t>
      </w:r>
      <w:r w:rsidRPr="00192128">
        <w:rPr>
          <w:rFonts w:ascii="Times New Roman" w:hAnsi="Times New Roman" w:cs="Times New Roman"/>
          <w:i/>
          <w:sz w:val="24"/>
          <w:szCs w:val="24"/>
        </w:rPr>
        <w:t>Library Bill of Rights</w:t>
      </w:r>
      <w:r w:rsidRPr="00192128">
        <w:rPr>
          <w:rFonts w:ascii="Times New Roman" w:hAnsi="Times New Roman" w:cs="Times New Roman"/>
          <w:sz w:val="24"/>
          <w:szCs w:val="24"/>
        </w:rPr>
        <w:t xml:space="preserve"> states, “A person’s right to use a library should not be denied or abridged because of origin, age, background, or views.” The “right to use a library” includes free access to, and unrestricted use of, all the services, materials, and facilities the library has to offer. Every restriction on access to, and use of, library resources, based solely on the chronological age, apparent maturity, educational level, literacy skills, emancipatory or other legal status of users violates Article V. This includes minors who do not have a parent or guardian available to sign a library card application or permission slip. Unaccompanied youth experiencing homelessness should be able to obtain a library card regardless of library policies related to chronological age.</w:t>
      </w:r>
    </w:p>
    <w:p w14:paraId="00000004" w14:textId="77777777" w:rsidR="009E4E45" w:rsidRPr="00192128" w:rsidRDefault="009E4E45" w:rsidP="00192128">
      <w:pPr>
        <w:spacing w:line="360" w:lineRule="auto"/>
        <w:rPr>
          <w:rFonts w:ascii="Times New Roman" w:hAnsi="Times New Roman" w:cs="Times New Roman"/>
          <w:sz w:val="24"/>
          <w:szCs w:val="24"/>
        </w:rPr>
      </w:pPr>
    </w:p>
    <w:p w14:paraId="00000005" w14:textId="77777777" w:rsidR="009E4E45" w:rsidRPr="00192128" w:rsidRDefault="00192128" w:rsidP="00192128">
      <w:pPr>
        <w:spacing w:line="360" w:lineRule="auto"/>
        <w:rPr>
          <w:rFonts w:ascii="Times New Roman" w:hAnsi="Times New Roman" w:cs="Times New Roman"/>
          <w:sz w:val="24"/>
          <w:szCs w:val="24"/>
        </w:rPr>
      </w:pPr>
      <w:r w:rsidRPr="00192128">
        <w:rPr>
          <w:rFonts w:ascii="Times New Roman" w:hAnsi="Times New Roman" w:cs="Times New Roman"/>
          <w:sz w:val="24"/>
          <w:szCs w:val="24"/>
        </w:rPr>
        <w:t>School and public libraries are charged with the mission of providing services and resources to meet the diverse interests and informational needs of the communities they serve. Services, materials, and facilities that fulfill the needs and interests of library users at different stages in their personal development are a necessary part of providing library services and should be determined on an individual basis. Equitable access to all library resources and services should not be abridged based on chronological age, apparent maturity, educational level, literacy skills, legal status, or through restrictive scheduling and use policies.</w:t>
      </w:r>
      <w:r w:rsidRPr="00192128">
        <w:rPr>
          <w:rFonts w:ascii="Times New Roman" w:hAnsi="Times New Roman" w:cs="Times New Roman"/>
          <w:sz w:val="24"/>
          <w:szCs w:val="24"/>
        </w:rPr>
        <w:br/>
      </w:r>
      <w:r w:rsidRPr="00192128">
        <w:rPr>
          <w:rFonts w:ascii="Times New Roman" w:hAnsi="Times New Roman" w:cs="Times New Roman"/>
          <w:sz w:val="24"/>
          <w:szCs w:val="24"/>
        </w:rPr>
        <w:lastRenderedPageBreak/>
        <w:br/>
        <w:t xml:space="preserve">Libraries should not limit the selection and development of library resources simply because minors will have access to them.  A library’s failure to acquire materials on the grounds that minors may be able to access those materials diminishes the credibility of the library in the community and restricts access for all library users. </w:t>
      </w:r>
      <w:r w:rsidRPr="00192128">
        <w:rPr>
          <w:rFonts w:ascii="Times New Roman" w:hAnsi="Times New Roman" w:cs="Times New Roman"/>
          <w:sz w:val="24"/>
          <w:szCs w:val="24"/>
        </w:rPr>
        <w:br/>
      </w:r>
      <w:r w:rsidRPr="00192128">
        <w:rPr>
          <w:rFonts w:ascii="Times New Roman" w:hAnsi="Times New Roman" w:cs="Times New Roman"/>
          <w:sz w:val="24"/>
          <w:szCs w:val="24"/>
        </w:rPr>
        <w:br/>
        <w:t>Children and young adults unquestionably possess First Amendment rights, including the right to receive information through the library in print, sound, images, data, social media, online applications, games, technologies, programming, and other formats.</w:t>
      </w:r>
      <w:r w:rsidRPr="00192128">
        <w:rPr>
          <w:rFonts w:ascii="Times New Roman" w:hAnsi="Times New Roman" w:cs="Times New Roman"/>
          <w:sz w:val="24"/>
          <w:szCs w:val="24"/>
          <w:vertAlign w:val="superscript"/>
        </w:rPr>
        <w:footnoteReference w:id="1"/>
      </w:r>
      <w:r w:rsidRPr="00192128">
        <w:rPr>
          <w:rFonts w:ascii="Times New Roman" w:hAnsi="Times New Roman" w:cs="Times New Roman"/>
          <w:sz w:val="24"/>
          <w:szCs w:val="24"/>
        </w:rPr>
        <w:t xml:space="preserve"> Constitutionally protected speech cannot be suppressed solely to protect children or young adults from ideas or images a legislative body believes to be unsuitable for them.</w:t>
      </w:r>
      <w:r w:rsidRPr="00192128">
        <w:rPr>
          <w:rFonts w:ascii="Times New Roman" w:hAnsi="Times New Roman" w:cs="Times New Roman"/>
          <w:sz w:val="24"/>
          <w:szCs w:val="24"/>
          <w:vertAlign w:val="superscript"/>
        </w:rPr>
        <w:footnoteReference w:id="2"/>
      </w:r>
      <w:r w:rsidRPr="00192128">
        <w:rPr>
          <w:rFonts w:ascii="Times New Roman" w:hAnsi="Times New Roman" w:cs="Times New Roman"/>
          <w:sz w:val="24"/>
          <w:szCs w:val="24"/>
        </w:rPr>
        <w:t xml:space="preserve"> Libraries and their library governing bodies should not resort to age restrictions in an effort to avoid actual or anticipated objections, because only a court of law can determine whether or not content is constitutionally protected.</w:t>
      </w:r>
      <w:r w:rsidRPr="00192128">
        <w:rPr>
          <w:rFonts w:ascii="Times New Roman" w:hAnsi="Times New Roman" w:cs="Times New Roman"/>
          <w:sz w:val="24"/>
          <w:szCs w:val="24"/>
        </w:rPr>
        <w:br/>
      </w:r>
      <w:r w:rsidRPr="00192128">
        <w:rPr>
          <w:rFonts w:ascii="Times New Roman" w:hAnsi="Times New Roman" w:cs="Times New Roman"/>
          <w:sz w:val="24"/>
          <w:szCs w:val="24"/>
        </w:rPr>
        <w:br/>
        <w:t xml:space="preserve">Article VII of the </w:t>
      </w:r>
      <w:r w:rsidRPr="00192128">
        <w:rPr>
          <w:rFonts w:ascii="Times New Roman" w:hAnsi="Times New Roman" w:cs="Times New Roman"/>
          <w:i/>
          <w:sz w:val="24"/>
          <w:szCs w:val="24"/>
        </w:rPr>
        <w:t>Library Bill of Rights</w:t>
      </w:r>
      <w:r w:rsidRPr="00192128">
        <w:rPr>
          <w:rFonts w:ascii="Times New Roman" w:hAnsi="Times New Roman" w:cs="Times New Roman"/>
          <w:sz w:val="24"/>
          <w:szCs w:val="24"/>
        </w:rPr>
        <w:t xml:space="preserve"> states, “All people, regardless of origin, age, background, or views, possess a right to privacy and confidentiality in their library use.” This includes students and minors, who have a right to be free from any unreasonable intrusion into or surveillance of their lawful library use.</w:t>
      </w:r>
      <w:r w:rsidRPr="00192128">
        <w:rPr>
          <w:rFonts w:ascii="Times New Roman" w:hAnsi="Times New Roman" w:cs="Times New Roman"/>
          <w:sz w:val="24"/>
          <w:szCs w:val="24"/>
          <w:vertAlign w:val="superscript"/>
        </w:rPr>
        <w:footnoteReference w:id="3"/>
      </w:r>
      <w:r w:rsidRPr="00192128">
        <w:rPr>
          <w:rFonts w:ascii="Times New Roman" w:hAnsi="Times New Roman" w:cs="Times New Roman"/>
          <w:sz w:val="24"/>
          <w:szCs w:val="24"/>
        </w:rPr>
        <w:br/>
      </w:r>
    </w:p>
    <w:p w14:paraId="00000006" w14:textId="77777777" w:rsidR="009E4E45" w:rsidRPr="00192128" w:rsidRDefault="00192128" w:rsidP="00192128">
      <w:pPr>
        <w:spacing w:line="360" w:lineRule="auto"/>
        <w:rPr>
          <w:rFonts w:ascii="Times New Roman" w:hAnsi="Times New Roman" w:cs="Times New Roman"/>
          <w:sz w:val="24"/>
          <w:szCs w:val="24"/>
        </w:rPr>
      </w:pPr>
      <w:r w:rsidRPr="00192128">
        <w:rPr>
          <w:rFonts w:ascii="Times New Roman" w:hAnsi="Times New Roman" w:cs="Times New Roman"/>
          <w:sz w:val="24"/>
          <w:szCs w:val="24"/>
        </w:rPr>
        <w:t>The mission, goals, and objectives of libraries cannot authorize libraries and their governing bodies to assume, abrogate, or overrule the rights and responsibilities of parents and guardians. As “Libraries: An American Value” states, “We affirm the responsibility and the right of all parents and guardians to guide their own children’s use of the library and its resources and services.”</w:t>
      </w:r>
      <w:r w:rsidRPr="00192128">
        <w:rPr>
          <w:rFonts w:ascii="Times New Roman" w:hAnsi="Times New Roman" w:cs="Times New Roman"/>
          <w:sz w:val="24"/>
          <w:szCs w:val="24"/>
          <w:vertAlign w:val="superscript"/>
        </w:rPr>
        <w:footnoteReference w:id="4"/>
      </w:r>
      <w:r w:rsidRPr="00192128">
        <w:rPr>
          <w:rFonts w:ascii="Times New Roman" w:hAnsi="Times New Roman" w:cs="Times New Roman"/>
          <w:sz w:val="24"/>
          <w:szCs w:val="24"/>
        </w:rPr>
        <w:t xml:space="preserve"> Libraries and their governing bodies cannot assume the role of parents or the </w:t>
      </w:r>
      <w:r w:rsidRPr="00192128">
        <w:rPr>
          <w:rFonts w:ascii="Times New Roman" w:hAnsi="Times New Roman" w:cs="Times New Roman"/>
          <w:sz w:val="24"/>
          <w:szCs w:val="24"/>
        </w:rPr>
        <w:lastRenderedPageBreak/>
        <w:t>functions of parental authority in the private relationship between parent and child. Libraries and their governing bodies shall ensure that only parents and guardians have the right and the responsibility to determine their children’s—and only their children’s—access to library resources. Parents and guardians who do not want their children to have access to specific library services, materials, or facilities should so advise their own children. Libraries and library governing bodies should not use rating systems to inhibit a minor’s access to materials.</w:t>
      </w:r>
      <w:r w:rsidRPr="00192128">
        <w:rPr>
          <w:rFonts w:ascii="Times New Roman" w:hAnsi="Times New Roman" w:cs="Times New Roman"/>
          <w:sz w:val="24"/>
          <w:szCs w:val="24"/>
          <w:vertAlign w:val="superscript"/>
        </w:rPr>
        <w:footnoteReference w:id="5"/>
      </w:r>
      <w:r w:rsidRPr="00192128">
        <w:rPr>
          <w:rFonts w:ascii="Times New Roman" w:hAnsi="Times New Roman" w:cs="Times New Roman"/>
          <w:sz w:val="24"/>
          <w:szCs w:val="24"/>
        </w:rPr>
        <w:t xml:space="preserve"> </w:t>
      </w:r>
    </w:p>
    <w:p w14:paraId="00000007" w14:textId="77777777" w:rsidR="009E4E45" w:rsidRDefault="00192128" w:rsidP="00192128">
      <w:pPr>
        <w:spacing w:line="360" w:lineRule="auto"/>
      </w:pPr>
      <w:r w:rsidRPr="00192128">
        <w:rPr>
          <w:rFonts w:ascii="Times New Roman" w:hAnsi="Times New Roman" w:cs="Times New Roman"/>
          <w:sz w:val="24"/>
          <w:szCs w:val="24"/>
        </w:rPr>
        <w:br/>
        <w:t>Libraries and their governing bodies have a legal and professional obligation to ensure that all members of the communities they serve have free and equitable access to a diverse range of library resources and services that is inclusive, regardless of content, approach, or format. This principle of library service applies equally to all users, minors as well as adults. Lack of access to information can be harmful to minors. Libraries and their governing bodies must uphold this principle in order to provide adequate and effective service to minors.</w:t>
      </w:r>
      <w:r w:rsidRPr="00192128">
        <w:rPr>
          <w:rFonts w:ascii="Times New Roman" w:hAnsi="Times New Roman" w:cs="Times New Roman"/>
          <w:sz w:val="24"/>
          <w:szCs w:val="24"/>
        </w:rPr>
        <w:br/>
      </w:r>
      <w:r w:rsidRPr="00192128">
        <w:rPr>
          <w:rFonts w:ascii="Times New Roman" w:hAnsi="Times New Roman" w:cs="Times New Roman"/>
          <w:sz w:val="24"/>
          <w:szCs w:val="24"/>
        </w:rPr>
        <w:br/>
      </w:r>
      <w:r w:rsidRPr="00192128">
        <w:rPr>
          <w:rFonts w:ascii="Times New Roman" w:hAnsi="Times New Roman" w:cs="Times New Roman"/>
          <w:sz w:val="24"/>
          <w:szCs w:val="24"/>
        </w:rPr>
        <w:br/>
      </w:r>
      <w:r w:rsidRPr="00192128">
        <w:rPr>
          <w:rFonts w:ascii="Times New Roman" w:hAnsi="Times New Roman" w:cs="Times New Roman"/>
          <w:sz w:val="24"/>
          <w:szCs w:val="24"/>
        </w:rPr>
        <w:br/>
        <w:t>Adopted June 30, 1972, by the ALA Council; amended July 1, 1981; July 3, 1991; June 30, 2004; July 2, 2008 under previous name "Free Access to Libraries for Minors"; and July 1, 2014. Revisions proposed for ALA Annual Conference 20</w:t>
      </w:r>
      <w:r>
        <w:t>19.</w:t>
      </w:r>
    </w:p>
    <w:sectPr w:rsidR="009E4E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F4D14" w14:textId="77777777" w:rsidR="008C0307" w:rsidRDefault="008C0307">
      <w:pPr>
        <w:spacing w:line="240" w:lineRule="auto"/>
      </w:pPr>
      <w:r>
        <w:separator/>
      </w:r>
    </w:p>
  </w:endnote>
  <w:endnote w:type="continuationSeparator" w:id="0">
    <w:p w14:paraId="43697669" w14:textId="77777777" w:rsidR="008C0307" w:rsidRDefault="008C0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21E3" w14:textId="77777777" w:rsidR="007C4E19" w:rsidRDefault="007C4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091BA" w14:textId="77777777" w:rsidR="007C4E19" w:rsidRDefault="007C4E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2F51" w14:textId="77777777" w:rsidR="007C4E19" w:rsidRDefault="007C4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90E9D" w14:textId="77777777" w:rsidR="008C0307" w:rsidRDefault="008C0307">
      <w:pPr>
        <w:spacing w:line="240" w:lineRule="auto"/>
      </w:pPr>
      <w:r>
        <w:separator/>
      </w:r>
    </w:p>
  </w:footnote>
  <w:footnote w:type="continuationSeparator" w:id="0">
    <w:p w14:paraId="5E896AAC" w14:textId="77777777" w:rsidR="008C0307" w:rsidRDefault="008C0307">
      <w:pPr>
        <w:spacing w:line="240" w:lineRule="auto"/>
      </w:pPr>
      <w:r>
        <w:continuationSeparator/>
      </w:r>
    </w:p>
  </w:footnote>
  <w:footnote w:id="1">
    <w:p w14:paraId="00000009" w14:textId="77777777" w:rsidR="009E4E45" w:rsidRDefault="00192128">
      <w:pPr>
        <w:spacing w:line="240" w:lineRule="auto"/>
        <w:rPr>
          <w:sz w:val="20"/>
          <w:szCs w:val="20"/>
        </w:rPr>
      </w:pPr>
      <w:r>
        <w:rPr>
          <w:vertAlign w:val="superscript"/>
        </w:rPr>
        <w:footnoteRef/>
      </w:r>
      <w:r>
        <w:rPr>
          <w:i/>
          <w:sz w:val="20"/>
          <w:szCs w:val="20"/>
        </w:rPr>
        <w:t xml:space="preserve"> Brown v. Entertainment Merchants’  Association, et al</w:t>
      </w:r>
      <w:r>
        <w:rPr>
          <w:sz w:val="20"/>
          <w:szCs w:val="20"/>
        </w:rPr>
        <w:t>. 564 U.S. 08-1448 (2011).</w:t>
      </w:r>
    </w:p>
  </w:footnote>
  <w:footnote w:id="2">
    <w:p w14:paraId="0000000A" w14:textId="77777777" w:rsidR="009E4E45" w:rsidRDefault="00192128">
      <w:pPr>
        <w:spacing w:line="240" w:lineRule="auto"/>
        <w:rPr>
          <w:sz w:val="20"/>
          <w:szCs w:val="20"/>
        </w:rPr>
      </w:pPr>
      <w:r>
        <w:rPr>
          <w:vertAlign w:val="superscript"/>
        </w:rPr>
        <w:footnoteRef/>
      </w:r>
      <w:r>
        <w:rPr>
          <w:sz w:val="20"/>
          <w:szCs w:val="20"/>
        </w:rPr>
        <w:t xml:space="preserve"> </w:t>
      </w:r>
      <w:r>
        <w:rPr>
          <w:i/>
          <w:sz w:val="20"/>
          <w:szCs w:val="20"/>
        </w:rPr>
        <w:t>Erznoznik v. City of Jacksonville</w:t>
      </w:r>
      <w:r>
        <w:rPr>
          <w:sz w:val="20"/>
          <w:szCs w:val="20"/>
        </w:rPr>
        <w:t xml:space="preserve">, 422 U.S. 205 (1975): “Speech that is neither obscene as to youths nor subject to some other legitimate proscription cannot be suppressed solely to protect the young from ideas or images that a legislative body thinks unsuitable for them. In most circumstances, the values protected by the First Amendment are no less applicable when government seeks to control the flow of information to minors.” See also </w:t>
      </w:r>
      <w:r>
        <w:rPr>
          <w:i/>
          <w:sz w:val="20"/>
          <w:szCs w:val="20"/>
        </w:rPr>
        <w:t>Tinker v. Des Moines School Dist</w:t>
      </w:r>
      <w:r>
        <w:rPr>
          <w:sz w:val="20"/>
          <w:szCs w:val="20"/>
        </w:rPr>
        <w:t xml:space="preserve">., 393 U.S.503 (1969); </w:t>
      </w:r>
      <w:r>
        <w:rPr>
          <w:i/>
          <w:sz w:val="20"/>
          <w:szCs w:val="20"/>
        </w:rPr>
        <w:t>West Virginia Bd. of Ed. v. Barnette</w:t>
      </w:r>
      <w:r>
        <w:rPr>
          <w:sz w:val="20"/>
          <w:szCs w:val="20"/>
        </w:rPr>
        <w:t xml:space="preserve">, 319 U.S. 624 (1943); </w:t>
      </w:r>
      <w:r>
        <w:rPr>
          <w:i/>
          <w:sz w:val="20"/>
          <w:szCs w:val="20"/>
        </w:rPr>
        <w:t>AAMA v. Kendrick</w:t>
      </w:r>
      <w:r>
        <w:rPr>
          <w:sz w:val="20"/>
          <w:szCs w:val="20"/>
        </w:rPr>
        <w:t>, 244 F.3d 572 (7th Cir. 2001).</w:t>
      </w:r>
    </w:p>
  </w:footnote>
  <w:footnote w:id="3">
    <w:p w14:paraId="00000011" w14:textId="77777777" w:rsidR="009E4E45" w:rsidRDefault="00192128">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Privacy: An Interpretation of the</w:t>
        </w:r>
      </w:hyperlink>
      <w:hyperlink r:id="rId2">
        <w:r>
          <w:rPr>
            <w:i/>
            <w:color w:val="1155CC"/>
            <w:sz w:val="20"/>
            <w:szCs w:val="20"/>
            <w:u w:val="single"/>
          </w:rPr>
          <w:t xml:space="preserve"> Library Bill of Rights</w:t>
        </w:r>
      </w:hyperlink>
      <w:r>
        <w:rPr>
          <w:sz w:val="20"/>
          <w:szCs w:val="20"/>
        </w:rPr>
        <w:t>,” adopted June 19, 2002, by the ALA Council; amended on July 1, 2014.</w:t>
      </w:r>
    </w:p>
  </w:footnote>
  <w:footnote w:id="4">
    <w:p w14:paraId="0000000B" w14:textId="77777777" w:rsidR="009E4E45" w:rsidRDefault="00192128">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Libraries: An American Value</w:t>
        </w:r>
      </w:hyperlink>
      <w:r>
        <w:rPr>
          <w:sz w:val="20"/>
          <w:szCs w:val="20"/>
        </w:rPr>
        <w:t xml:space="preserve">,” adopted on February 3, 1999, by ALA Council. </w:t>
      </w:r>
    </w:p>
  </w:footnote>
  <w:footnote w:id="5">
    <w:p w14:paraId="00000008" w14:textId="77777777" w:rsidR="009E4E45" w:rsidRDefault="00192128">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Rating Systems: An Interpretation of the</w:t>
        </w:r>
      </w:hyperlink>
      <w:hyperlink r:id="rId5">
        <w:r>
          <w:rPr>
            <w:i/>
            <w:color w:val="1155CC"/>
            <w:sz w:val="20"/>
            <w:szCs w:val="20"/>
            <w:u w:val="single"/>
          </w:rPr>
          <w:t xml:space="preserve"> Library Bill of Rights</w:t>
        </w:r>
      </w:hyperlink>
      <w:r>
        <w:rPr>
          <w:sz w:val="20"/>
          <w:szCs w:val="20"/>
        </w:rPr>
        <w:t>,” adopted on June 30, 2015, by ALA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8203E" w14:textId="77777777" w:rsidR="007C4E19" w:rsidRDefault="007C4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0" w14:textId="45B9A0D5" w:rsidR="009E4E45" w:rsidRDefault="009E4E45">
    <w:pPr>
      <w:jc w:val="right"/>
      <w:rPr>
        <w:i/>
        <w:sz w:val="20"/>
        <w:szCs w:val="20"/>
      </w:rPr>
    </w:pPr>
  </w:p>
  <w:p w14:paraId="4F505196" w14:textId="3170FE42" w:rsidR="00192128" w:rsidRPr="00192128" w:rsidRDefault="007C4E19" w:rsidP="00054122">
    <w:pPr>
      <w:jc w:val="right"/>
      <w:rPr>
        <w:iCs/>
        <w:highlight w:val="yellow"/>
      </w:rPr>
    </w:pPr>
    <w:r>
      <w:rPr>
        <w:iCs/>
        <w:sz w:val="20"/>
        <w:szCs w:val="20"/>
      </w:rPr>
      <w:t xml:space="preserve">DRAFT </w:t>
    </w:r>
    <w:bookmarkStart w:id="1" w:name="_GoBack"/>
    <w:bookmarkEnd w:id="1"/>
    <w:r w:rsidR="00054122">
      <w:rPr>
        <w:iCs/>
        <w:sz w:val="20"/>
        <w:szCs w:val="20"/>
      </w:rPr>
      <w:t>Exhibit XII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C4920" w14:textId="77777777" w:rsidR="007C4E19" w:rsidRDefault="007C4E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45"/>
    <w:rsid w:val="00054122"/>
    <w:rsid w:val="00192128"/>
    <w:rsid w:val="00391616"/>
    <w:rsid w:val="007C4E19"/>
    <w:rsid w:val="008C0307"/>
    <w:rsid w:val="009E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3F35"/>
  <w15:docId w15:val="{45B503DE-B96A-4583-9193-4C244A11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92128"/>
    <w:pPr>
      <w:tabs>
        <w:tab w:val="center" w:pos="4680"/>
        <w:tab w:val="right" w:pos="9360"/>
      </w:tabs>
      <w:spacing w:line="240" w:lineRule="auto"/>
    </w:pPr>
  </w:style>
  <w:style w:type="character" w:customStyle="1" w:styleId="HeaderChar">
    <w:name w:val="Header Char"/>
    <w:basedOn w:val="DefaultParagraphFont"/>
    <w:link w:val="Header"/>
    <w:uiPriority w:val="99"/>
    <w:rsid w:val="00192128"/>
  </w:style>
  <w:style w:type="paragraph" w:styleId="Footer">
    <w:name w:val="footer"/>
    <w:basedOn w:val="Normal"/>
    <w:link w:val="FooterChar"/>
    <w:uiPriority w:val="99"/>
    <w:unhideWhenUsed/>
    <w:rsid w:val="00192128"/>
    <w:pPr>
      <w:tabs>
        <w:tab w:val="center" w:pos="4680"/>
        <w:tab w:val="right" w:pos="9360"/>
      </w:tabs>
      <w:spacing w:line="240" w:lineRule="auto"/>
    </w:pPr>
  </w:style>
  <w:style w:type="character" w:customStyle="1" w:styleId="FooterChar">
    <w:name w:val="Footer Char"/>
    <w:basedOn w:val="DefaultParagraphFont"/>
    <w:link w:val="Footer"/>
    <w:uiPriority w:val="99"/>
    <w:rsid w:val="00192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la.org/advocacy/intfreedom/americanvalue" TargetMode="External"/><Relationship Id="rId2" Type="http://schemas.openxmlformats.org/officeDocument/2006/relationships/hyperlink" Target="http://www.ala.org/advocacy/intfreedom/librarybill/interpretations/privacy" TargetMode="External"/><Relationship Id="rId1" Type="http://schemas.openxmlformats.org/officeDocument/2006/relationships/hyperlink" Target="http://www.ala.org/advocacy/intfreedom/librarybill/interpretations/privacy" TargetMode="External"/><Relationship Id="rId5" Type="http://schemas.openxmlformats.org/officeDocument/2006/relationships/hyperlink" Target="http://www.ala.org/advocacy/intfreedom/librarybill/interpretations/rating-systems" TargetMode="External"/><Relationship Id="rId4" Type="http://schemas.openxmlformats.org/officeDocument/2006/relationships/hyperlink" Target="http://www.ala.org/advocacy/intfreedom/librarybill/interpretations/rating-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2019-06-10T13:24:00Z</dcterms:created>
  <dcterms:modified xsi:type="dcterms:W3CDTF">2019-06-14T17:05:00Z</dcterms:modified>
</cp:coreProperties>
</file>