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5C9E1" w14:textId="5D979745" w:rsidR="0098115A" w:rsidRPr="007F606A" w:rsidRDefault="0098115A" w:rsidP="0098115A">
      <w:pPr>
        <w:jc w:val="center"/>
        <w:rPr>
          <w:rFonts w:ascii="Calibri" w:hAnsi="Calibri" w:cs="Calibri"/>
          <w:b/>
          <w:bCs/>
          <w:sz w:val="24"/>
          <w:szCs w:val="24"/>
        </w:rPr>
      </w:pPr>
      <w:bookmarkStart w:id="0" w:name="_Hlk103686344"/>
      <w:r w:rsidRPr="007F606A">
        <w:rPr>
          <w:rFonts w:ascii="Calibri" w:hAnsi="Calibri" w:cs="Calibri"/>
          <w:b/>
          <w:bCs/>
          <w:sz w:val="24"/>
          <w:szCs w:val="24"/>
        </w:rPr>
        <w:t xml:space="preserve">Resolution </w:t>
      </w:r>
      <w:r w:rsidR="004B0F54">
        <w:rPr>
          <w:rFonts w:ascii="Calibri" w:hAnsi="Calibri" w:cs="Calibri"/>
          <w:b/>
          <w:bCs/>
          <w:sz w:val="24"/>
          <w:szCs w:val="24"/>
        </w:rPr>
        <w:t xml:space="preserve">in Defense of </w:t>
      </w:r>
      <w:r w:rsidRPr="007F606A">
        <w:rPr>
          <w:rFonts w:ascii="Calibri" w:hAnsi="Calibri" w:cs="Calibri"/>
          <w:b/>
          <w:bCs/>
          <w:sz w:val="24"/>
          <w:szCs w:val="24"/>
        </w:rPr>
        <w:t xml:space="preserve">the Right to </w:t>
      </w:r>
      <w:r w:rsidR="004214D1">
        <w:rPr>
          <w:rFonts w:ascii="Calibri" w:hAnsi="Calibri" w:cs="Calibri"/>
          <w:b/>
          <w:bCs/>
          <w:sz w:val="24"/>
          <w:szCs w:val="24"/>
        </w:rPr>
        <w:t xml:space="preserve">Engage in Political </w:t>
      </w:r>
      <w:r w:rsidRPr="007F606A">
        <w:rPr>
          <w:rFonts w:ascii="Calibri" w:hAnsi="Calibri" w:cs="Calibri"/>
          <w:b/>
          <w:bCs/>
          <w:sz w:val="24"/>
          <w:szCs w:val="24"/>
        </w:rPr>
        <w:t>Boycott</w:t>
      </w:r>
      <w:r w:rsidR="004214D1">
        <w:rPr>
          <w:rFonts w:ascii="Calibri" w:hAnsi="Calibri" w:cs="Calibri"/>
          <w:b/>
          <w:bCs/>
          <w:sz w:val="24"/>
          <w:szCs w:val="24"/>
        </w:rPr>
        <w:t>s</w:t>
      </w:r>
    </w:p>
    <w:bookmarkEnd w:id="0"/>
    <w:p w14:paraId="07062602" w14:textId="5CB7D5E0" w:rsidR="00F71F8A" w:rsidRPr="007F606A" w:rsidRDefault="00DE37D7" w:rsidP="00F71F8A">
      <w:pPr>
        <w:rPr>
          <w:rFonts w:ascii="Calibri" w:hAnsi="Calibri" w:cs="Calibri"/>
          <w:sz w:val="24"/>
          <w:szCs w:val="24"/>
        </w:rPr>
      </w:pPr>
      <w:r>
        <w:rPr>
          <w:rFonts w:ascii="Calibri" w:hAnsi="Calibri" w:cs="Calibri"/>
          <w:sz w:val="24"/>
          <w:szCs w:val="24"/>
        </w:rPr>
        <w:t xml:space="preserve">Whereas </w:t>
      </w:r>
      <w:r w:rsidR="00302848" w:rsidRPr="007F606A">
        <w:rPr>
          <w:rFonts w:ascii="Calibri" w:hAnsi="Calibri" w:cs="Calibri"/>
          <w:sz w:val="24"/>
          <w:szCs w:val="24"/>
        </w:rPr>
        <w:t>the U.S. Supreme Court has determined that political boycotts are protected by the First Amendment;</w:t>
      </w:r>
      <w:r w:rsidR="00302848" w:rsidRPr="007F606A">
        <w:rPr>
          <w:rStyle w:val="EndnoteReference"/>
          <w:rFonts w:ascii="Calibri" w:hAnsi="Calibri" w:cs="Calibri"/>
          <w:sz w:val="24"/>
          <w:szCs w:val="24"/>
        </w:rPr>
        <w:endnoteReference w:id="1"/>
      </w:r>
      <w:r w:rsidR="00302848" w:rsidRPr="007F606A">
        <w:rPr>
          <w:rFonts w:ascii="Calibri" w:hAnsi="Calibri" w:cs="Calibri"/>
          <w:sz w:val="24"/>
          <w:szCs w:val="24"/>
        </w:rPr>
        <w:t xml:space="preserve"> </w:t>
      </w:r>
    </w:p>
    <w:p w14:paraId="67023B7F" w14:textId="4DE6F19A" w:rsidR="00302848" w:rsidRPr="007F606A" w:rsidRDefault="00DE37D7" w:rsidP="00302848">
      <w:pPr>
        <w:rPr>
          <w:rFonts w:ascii="Calibri" w:hAnsi="Calibri" w:cs="Calibri"/>
          <w:sz w:val="24"/>
          <w:szCs w:val="24"/>
        </w:rPr>
      </w:pPr>
      <w:r>
        <w:rPr>
          <w:rFonts w:ascii="Calibri" w:hAnsi="Calibri" w:cs="Calibri"/>
          <w:sz w:val="24"/>
          <w:szCs w:val="24"/>
        </w:rPr>
        <w:t xml:space="preserve">Whereas </w:t>
      </w:r>
      <w:r w:rsidR="00302848" w:rsidRPr="007F606A">
        <w:rPr>
          <w:rFonts w:ascii="Calibri" w:hAnsi="Calibri" w:cs="Calibri"/>
          <w:sz w:val="24"/>
          <w:szCs w:val="24"/>
        </w:rPr>
        <w:t xml:space="preserve">a political boycott was instrumental in the founding of the United States of America; </w:t>
      </w:r>
    </w:p>
    <w:p w14:paraId="13B4D863" w14:textId="453EC759" w:rsidR="000E7C7B" w:rsidRPr="007F606A" w:rsidRDefault="00DE37D7" w:rsidP="000E7C7B">
      <w:pPr>
        <w:rPr>
          <w:rFonts w:eastAsia="Times New Roman"/>
          <w:sz w:val="24"/>
          <w:szCs w:val="24"/>
        </w:rPr>
      </w:pPr>
      <w:r>
        <w:rPr>
          <w:rFonts w:eastAsia="Times New Roman"/>
          <w:sz w:val="24"/>
          <w:szCs w:val="24"/>
        </w:rPr>
        <w:t xml:space="preserve">Whereas </w:t>
      </w:r>
      <w:r w:rsidR="000E7C7B" w:rsidRPr="007F606A">
        <w:rPr>
          <w:rFonts w:eastAsia="Times New Roman"/>
          <w:sz w:val="24"/>
          <w:szCs w:val="24"/>
        </w:rPr>
        <w:t>political boycotts—with some support from the American Library Association (ALA)— were crucial for the successes of such movements as the civil rights movement in the U.S., the international movement against apartheid in South Africa, and the struggle for LGBTQ rights in the United States;</w:t>
      </w:r>
      <w:r w:rsidR="0076454C" w:rsidRPr="007F606A">
        <w:rPr>
          <w:rStyle w:val="EndnoteReference"/>
          <w:rFonts w:eastAsia="Times New Roman"/>
          <w:sz w:val="24"/>
          <w:szCs w:val="24"/>
        </w:rPr>
        <w:endnoteReference w:id="2"/>
      </w:r>
      <w:r w:rsidR="000E7C7B" w:rsidRPr="007F606A">
        <w:rPr>
          <w:rFonts w:eastAsia="Times New Roman"/>
          <w:sz w:val="24"/>
          <w:szCs w:val="24"/>
        </w:rPr>
        <w:t xml:space="preserve"> </w:t>
      </w:r>
    </w:p>
    <w:p w14:paraId="46399F53" w14:textId="0617623B" w:rsidR="005856C3" w:rsidRDefault="00DE37D7" w:rsidP="00F90486">
      <w:pPr>
        <w:spacing w:before="100" w:beforeAutospacing="1" w:after="100" w:afterAutospacing="1"/>
        <w:rPr>
          <w:sz w:val="24"/>
          <w:szCs w:val="24"/>
        </w:rPr>
      </w:pPr>
      <w:bookmarkStart w:id="1" w:name="_Hlk103764120"/>
      <w:r>
        <w:rPr>
          <w:sz w:val="24"/>
          <w:szCs w:val="24"/>
        </w:rPr>
        <w:t xml:space="preserve">Whereas </w:t>
      </w:r>
      <w:r w:rsidR="00F90486" w:rsidRPr="007F606A">
        <w:rPr>
          <w:sz w:val="24"/>
          <w:szCs w:val="24"/>
        </w:rPr>
        <w:t>many states have adopted legislation and many federal bills have been introduced in Congress that would penalize or condone state penalization of individuals, organizations, and companies participating in boycotts of Israel for political change;</w:t>
      </w:r>
      <w:r w:rsidR="00F90486" w:rsidRPr="007F606A">
        <w:rPr>
          <w:rStyle w:val="EndnoteReference"/>
          <w:rFonts w:ascii="Calibri" w:hAnsi="Calibri" w:cs="Calibri"/>
          <w:sz w:val="24"/>
          <w:szCs w:val="24"/>
        </w:rPr>
        <w:endnoteReference w:id="3"/>
      </w:r>
      <w:r w:rsidR="00F90486" w:rsidRPr="007F606A">
        <w:rPr>
          <w:rFonts w:ascii="Calibri" w:hAnsi="Calibri" w:cs="Calibri"/>
          <w:sz w:val="24"/>
          <w:szCs w:val="24"/>
        </w:rPr>
        <w:t xml:space="preserve"> </w:t>
      </w:r>
    </w:p>
    <w:p w14:paraId="0FA1C600" w14:textId="4DD8D474" w:rsidR="005856C3" w:rsidRPr="007F606A" w:rsidRDefault="00DE37D7" w:rsidP="005856C3">
      <w:pPr>
        <w:rPr>
          <w:rFonts w:ascii="Calibri" w:hAnsi="Calibri" w:cs="Calibri"/>
          <w:sz w:val="24"/>
          <w:szCs w:val="24"/>
        </w:rPr>
      </w:pPr>
      <w:r>
        <w:rPr>
          <w:rFonts w:ascii="Calibri" w:hAnsi="Calibri" w:cs="Calibri"/>
          <w:sz w:val="24"/>
          <w:szCs w:val="24"/>
        </w:rPr>
        <w:t xml:space="preserve">Whereas </w:t>
      </w:r>
      <w:r w:rsidR="005856C3" w:rsidRPr="007F606A">
        <w:rPr>
          <w:rFonts w:ascii="Calibri" w:hAnsi="Calibri" w:cs="Calibri"/>
          <w:sz w:val="24"/>
          <w:szCs w:val="24"/>
        </w:rPr>
        <w:t xml:space="preserve">Texas has passed copycat legislation that prohibits governmental entities from contracting with </w:t>
      </w:r>
      <w:r w:rsidR="005856C3">
        <w:rPr>
          <w:rFonts w:ascii="Calibri" w:hAnsi="Calibri" w:cs="Calibri"/>
          <w:sz w:val="24"/>
          <w:szCs w:val="24"/>
        </w:rPr>
        <w:t xml:space="preserve">companies </w:t>
      </w:r>
      <w:r w:rsidR="005856C3" w:rsidRPr="007F606A">
        <w:rPr>
          <w:rFonts w:ascii="Calibri" w:hAnsi="Calibri" w:cs="Calibri"/>
          <w:sz w:val="24"/>
          <w:szCs w:val="24"/>
        </w:rPr>
        <w:t xml:space="preserve">that boycott </w:t>
      </w:r>
      <w:r w:rsidR="005856C3">
        <w:rPr>
          <w:rFonts w:ascii="Calibri" w:hAnsi="Calibri" w:cs="Calibri"/>
          <w:sz w:val="24"/>
          <w:szCs w:val="24"/>
        </w:rPr>
        <w:t xml:space="preserve">energy </w:t>
      </w:r>
      <w:r w:rsidR="005856C3" w:rsidRPr="007F606A">
        <w:rPr>
          <w:rFonts w:ascii="Calibri" w:hAnsi="Calibri" w:cs="Calibri"/>
          <w:sz w:val="24"/>
          <w:szCs w:val="24"/>
        </w:rPr>
        <w:t>companies, and similar copycat legislation has been introduced in other states;</w:t>
      </w:r>
      <w:r w:rsidR="005856C3" w:rsidRPr="007F606A">
        <w:rPr>
          <w:rStyle w:val="EndnoteReference"/>
          <w:rFonts w:ascii="Calibri" w:hAnsi="Calibri" w:cs="Calibri"/>
          <w:sz w:val="24"/>
          <w:szCs w:val="24"/>
        </w:rPr>
        <w:endnoteReference w:id="4"/>
      </w:r>
      <w:r w:rsidR="005856C3" w:rsidRPr="007F606A">
        <w:rPr>
          <w:rFonts w:ascii="Calibri" w:hAnsi="Calibri" w:cs="Calibri"/>
          <w:sz w:val="24"/>
          <w:szCs w:val="24"/>
          <w:shd w:val="clear" w:color="auto" w:fill="FFFFFF"/>
        </w:rPr>
        <w:t xml:space="preserve"> </w:t>
      </w:r>
    </w:p>
    <w:p w14:paraId="07B1F737" w14:textId="5424F5A9" w:rsidR="005856C3" w:rsidRDefault="00DE37D7" w:rsidP="005856C3">
      <w:pPr>
        <w:spacing w:before="100" w:beforeAutospacing="1" w:after="100" w:afterAutospacing="1"/>
        <w:rPr>
          <w:rFonts w:ascii="Calibri" w:hAnsi="Calibri" w:cs="Calibri"/>
          <w:sz w:val="24"/>
          <w:szCs w:val="24"/>
        </w:rPr>
      </w:pPr>
      <w:r>
        <w:rPr>
          <w:rFonts w:ascii="Calibri" w:hAnsi="Calibri" w:cs="Calibri"/>
          <w:sz w:val="24"/>
          <w:szCs w:val="24"/>
        </w:rPr>
        <w:t xml:space="preserve">Whereas </w:t>
      </w:r>
      <w:r w:rsidR="005856C3" w:rsidRPr="007F606A">
        <w:rPr>
          <w:rFonts w:ascii="Calibri" w:hAnsi="Calibri" w:cs="Calibri"/>
          <w:sz w:val="24"/>
          <w:szCs w:val="24"/>
        </w:rPr>
        <w:t>Texas</w:t>
      </w:r>
      <w:r w:rsidR="005856C3">
        <w:rPr>
          <w:rFonts w:ascii="Calibri" w:hAnsi="Calibri" w:cs="Calibri"/>
          <w:sz w:val="24"/>
          <w:szCs w:val="24"/>
        </w:rPr>
        <w:t xml:space="preserve"> and Oklahoma</w:t>
      </w:r>
      <w:r w:rsidR="005856C3" w:rsidRPr="007F606A">
        <w:rPr>
          <w:rFonts w:ascii="Calibri" w:hAnsi="Calibri" w:cs="Calibri"/>
          <w:sz w:val="24"/>
          <w:szCs w:val="24"/>
        </w:rPr>
        <w:t xml:space="preserve"> have passed copycat legislation that prohibits governmental entities from contracting with any company that “discriminates” against the firearm and ammunition industries</w:t>
      </w:r>
      <w:r w:rsidR="005856C3">
        <w:rPr>
          <w:rFonts w:ascii="Calibri" w:hAnsi="Calibri" w:cs="Calibri"/>
          <w:sz w:val="24"/>
          <w:szCs w:val="24"/>
        </w:rPr>
        <w:t xml:space="preserve">, and similar copycat legislation has been introduced in </w:t>
      </w:r>
      <w:r w:rsidR="00091CC4">
        <w:rPr>
          <w:rFonts w:ascii="Calibri" w:hAnsi="Calibri" w:cs="Calibri"/>
          <w:sz w:val="24"/>
          <w:szCs w:val="24"/>
        </w:rPr>
        <w:t xml:space="preserve">several </w:t>
      </w:r>
      <w:r w:rsidR="005856C3">
        <w:rPr>
          <w:rFonts w:ascii="Calibri" w:hAnsi="Calibri" w:cs="Calibri"/>
          <w:sz w:val="24"/>
          <w:szCs w:val="24"/>
        </w:rPr>
        <w:t>other states</w:t>
      </w:r>
      <w:r w:rsidR="005856C3" w:rsidRPr="007F606A">
        <w:rPr>
          <w:rFonts w:ascii="Calibri" w:hAnsi="Calibri" w:cs="Calibri"/>
          <w:sz w:val="24"/>
          <w:szCs w:val="24"/>
        </w:rPr>
        <w:t>;</w:t>
      </w:r>
      <w:r w:rsidR="005856C3">
        <w:rPr>
          <w:rStyle w:val="EndnoteReference"/>
          <w:rFonts w:ascii="Calibri" w:hAnsi="Calibri" w:cs="Calibri"/>
          <w:sz w:val="24"/>
          <w:szCs w:val="24"/>
        </w:rPr>
        <w:endnoteReference w:id="5"/>
      </w:r>
      <w:r w:rsidR="005856C3" w:rsidRPr="007F606A">
        <w:rPr>
          <w:rFonts w:ascii="Calibri" w:hAnsi="Calibri" w:cs="Calibri"/>
          <w:sz w:val="24"/>
          <w:szCs w:val="24"/>
        </w:rPr>
        <w:t xml:space="preserve"> </w:t>
      </w:r>
    </w:p>
    <w:p w14:paraId="575DF432" w14:textId="4ACEDFB5" w:rsidR="003931B9" w:rsidRDefault="00DE37D7" w:rsidP="005856C3">
      <w:pPr>
        <w:spacing w:before="100" w:beforeAutospacing="1" w:after="100" w:afterAutospacing="1"/>
        <w:rPr>
          <w:sz w:val="24"/>
          <w:szCs w:val="24"/>
        </w:rPr>
      </w:pPr>
      <w:r>
        <w:rPr>
          <w:sz w:val="24"/>
          <w:szCs w:val="24"/>
        </w:rPr>
        <w:t xml:space="preserve">Whereas </w:t>
      </w:r>
      <w:r w:rsidR="00E4545B" w:rsidRPr="00B8718F">
        <w:rPr>
          <w:sz w:val="24"/>
          <w:szCs w:val="24"/>
        </w:rPr>
        <w:t>members of ALA have identified RFPs and/or contracts for over 170 library-related projects that include state-mandated pledges the contractor does not and will not boycott Israel</w:t>
      </w:r>
      <w:r w:rsidR="00476292">
        <w:rPr>
          <w:sz w:val="24"/>
          <w:szCs w:val="24"/>
        </w:rPr>
        <w:t>,</w:t>
      </w:r>
      <w:r w:rsidR="00E4545B" w:rsidRPr="00B8718F">
        <w:rPr>
          <w:sz w:val="24"/>
          <w:szCs w:val="24"/>
        </w:rPr>
        <w:t xml:space="preserve"> as well as </w:t>
      </w:r>
      <w:proofErr w:type="gramStart"/>
      <w:r w:rsidR="00E4545B" w:rsidRPr="00B8718F">
        <w:rPr>
          <w:sz w:val="24"/>
          <w:szCs w:val="24"/>
        </w:rPr>
        <w:t>a number of</w:t>
      </w:r>
      <w:proofErr w:type="gramEnd"/>
      <w:r w:rsidR="00E4545B" w:rsidRPr="00B8718F">
        <w:rPr>
          <w:sz w:val="24"/>
          <w:szCs w:val="24"/>
        </w:rPr>
        <w:t xml:space="preserve"> library-related RFPs that include state-mandated pledges the contractor does not and will not boycott energy companies, a firearm entity, or a firearm trade association;</w:t>
      </w:r>
      <w:r w:rsidR="00E4545B" w:rsidRPr="00BF4D76">
        <w:rPr>
          <w:rStyle w:val="EndnoteReference"/>
          <w:rFonts w:ascii="Calibri" w:hAnsi="Calibri" w:cs="Calibri"/>
          <w:sz w:val="24"/>
          <w:szCs w:val="24"/>
        </w:rPr>
        <w:t xml:space="preserve"> </w:t>
      </w:r>
      <w:r w:rsidR="00E4545B" w:rsidRPr="00BF4D76">
        <w:rPr>
          <w:rStyle w:val="EndnoteReference"/>
          <w:rFonts w:ascii="Calibri" w:hAnsi="Calibri" w:cs="Calibri"/>
          <w:sz w:val="24"/>
          <w:szCs w:val="24"/>
        </w:rPr>
        <w:endnoteReference w:id="6"/>
      </w:r>
      <w:r w:rsidR="00E4545B" w:rsidRPr="00BF4D76">
        <w:rPr>
          <w:rFonts w:ascii="Calibri" w:hAnsi="Calibri" w:cs="Calibri"/>
          <w:sz w:val="24"/>
          <w:szCs w:val="24"/>
        </w:rPr>
        <w:t xml:space="preserve"> </w:t>
      </w:r>
    </w:p>
    <w:p w14:paraId="660B0CFF" w14:textId="3D817DFB" w:rsidR="003931B9" w:rsidRDefault="00DE37D7" w:rsidP="003931B9">
      <w:pPr>
        <w:rPr>
          <w:rFonts w:ascii="Calibri" w:hAnsi="Calibri" w:cs="Calibri"/>
          <w:sz w:val="24"/>
          <w:szCs w:val="24"/>
        </w:rPr>
      </w:pPr>
      <w:r>
        <w:rPr>
          <w:rFonts w:ascii="Calibri" w:hAnsi="Calibri" w:cs="Calibri"/>
          <w:sz w:val="24"/>
          <w:szCs w:val="24"/>
        </w:rPr>
        <w:t xml:space="preserve">Whereas </w:t>
      </w:r>
      <w:r w:rsidR="003931B9" w:rsidRPr="007F606A">
        <w:rPr>
          <w:rFonts w:ascii="Calibri" w:hAnsi="Calibri" w:cs="Calibri"/>
          <w:sz w:val="24"/>
          <w:szCs w:val="24"/>
        </w:rPr>
        <w:t>federal courts in several states have ruled that state laws penalizing individuals and companies that participate in boycotts of Israel for political change violate the First Amendmen</w:t>
      </w:r>
      <w:r w:rsidR="003931B9">
        <w:rPr>
          <w:rFonts w:ascii="Calibri" w:hAnsi="Calibri" w:cs="Calibri"/>
          <w:sz w:val="24"/>
          <w:szCs w:val="24"/>
        </w:rPr>
        <w:t>t;</w:t>
      </w:r>
      <w:r w:rsidR="003931B9">
        <w:rPr>
          <w:rStyle w:val="EndnoteReference"/>
          <w:sz w:val="24"/>
          <w:szCs w:val="24"/>
        </w:rPr>
        <w:endnoteReference w:id="7"/>
      </w:r>
      <w:r w:rsidR="003931B9">
        <w:rPr>
          <w:rFonts w:ascii="Calibri" w:hAnsi="Calibri" w:cs="Calibri"/>
          <w:sz w:val="24"/>
          <w:szCs w:val="24"/>
        </w:rPr>
        <w:t xml:space="preserve"> </w:t>
      </w:r>
    </w:p>
    <w:p w14:paraId="14B927EA" w14:textId="2004233C" w:rsidR="003931B9" w:rsidRDefault="00DE37D7" w:rsidP="003931B9">
      <w:pPr>
        <w:rPr>
          <w:rFonts w:ascii="Calibri" w:hAnsi="Calibri" w:cs="Calibri"/>
          <w:sz w:val="24"/>
          <w:szCs w:val="24"/>
        </w:rPr>
      </w:pPr>
      <w:r>
        <w:rPr>
          <w:rFonts w:ascii="Calibri" w:hAnsi="Calibri" w:cs="Calibri"/>
          <w:sz w:val="24"/>
          <w:szCs w:val="24"/>
        </w:rPr>
        <w:t xml:space="preserve">Whereas </w:t>
      </w:r>
      <w:r w:rsidR="003931B9" w:rsidRPr="007F606A">
        <w:rPr>
          <w:rFonts w:ascii="Calibri" w:hAnsi="Calibri" w:cs="Calibri"/>
          <w:sz w:val="24"/>
          <w:szCs w:val="24"/>
        </w:rPr>
        <w:t xml:space="preserve">the anti-boycott legislation described in this resolution represents an assault on free speech; </w:t>
      </w:r>
    </w:p>
    <w:p w14:paraId="27DBE0C7" w14:textId="7ADEB9DF" w:rsidR="00091CC4" w:rsidRDefault="00DE37D7" w:rsidP="003931B9">
      <w:pPr>
        <w:rPr>
          <w:rFonts w:ascii="Calibri" w:hAnsi="Calibri" w:cs="Calibri"/>
          <w:sz w:val="24"/>
          <w:szCs w:val="24"/>
        </w:rPr>
      </w:pPr>
      <w:r>
        <w:rPr>
          <w:rFonts w:ascii="Calibri" w:hAnsi="Calibri" w:cs="Calibri"/>
          <w:sz w:val="24"/>
          <w:szCs w:val="24"/>
        </w:rPr>
        <w:t xml:space="preserve">Whereas </w:t>
      </w:r>
      <w:r w:rsidR="003931B9" w:rsidRPr="007F606A">
        <w:rPr>
          <w:rFonts w:ascii="Calibri" w:hAnsi="Calibri" w:cs="Calibri"/>
          <w:sz w:val="24"/>
          <w:szCs w:val="24"/>
        </w:rPr>
        <w:t>ALA opposes loyalty oaths as a condition of employment;</w:t>
      </w:r>
      <w:r w:rsidR="003931B9">
        <w:rPr>
          <w:rStyle w:val="EndnoteReference"/>
          <w:rFonts w:ascii="Calibri" w:hAnsi="Calibri" w:cs="Calibri"/>
          <w:sz w:val="24"/>
          <w:szCs w:val="24"/>
        </w:rPr>
        <w:endnoteReference w:id="8"/>
      </w:r>
      <w:r w:rsidR="003931B9">
        <w:rPr>
          <w:rFonts w:ascii="Calibri" w:hAnsi="Calibri" w:cs="Calibri"/>
          <w:sz w:val="24"/>
          <w:szCs w:val="24"/>
        </w:rPr>
        <w:t xml:space="preserve"> </w:t>
      </w:r>
    </w:p>
    <w:p w14:paraId="4C92777D" w14:textId="4B9EC2DE" w:rsidR="00DE37D7" w:rsidRDefault="00DE37D7" w:rsidP="003931B9">
      <w:pPr>
        <w:rPr>
          <w:rFonts w:ascii="Calibri" w:hAnsi="Calibri" w:cs="Calibri"/>
          <w:sz w:val="24"/>
          <w:szCs w:val="24"/>
          <w:shd w:val="clear" w:color="auto" w:fill="FEFEFE"/>
        </w:rPr>
      </w:pPr>
      <w:r>
        <w:rPr>
          <w:rFonts w:ascii="Calibri" w:hAnsi="Calibri" w:cs="Calibri"/>
          <w:sz w:val="24"/>
          <w:szCs w:val="24"/>
        </w:rPr>
        <w:t xml:space="preserve">Whereas </w:t>
      </w:r>
      <w:r w:rsidR="00091CC4" w:rsidRPr="007F606A">
        <w:rPr>
          <w:rFonts w:ascii="Calibri" w:hAnsi="Calibri" w:cs="Calibri"/>
          <w:sz w:val="24"/>
          <w:szCs w:val="24"/>
        </w:rPr>
        <w:t xml:space="preserve">ALA does not currently endorse or oppose any of the boycotts targeted by recent and proposed anti-boycott legislation, </w:t>
      </w:r>
      <w:r>
        <w:rPr>
          <w:rFonts w:ascii="Calibri" w:hAnsi="Calibri" w:cs="Calibri"/>
          <w:sz w:val="24"/>
          <w:szCs w:val="24"/>
        </w:rPr>
        <w:t xml:space="preserve">ALA </w:t>
      </w:r>
      <w:r w:rsidR="00091CC4" w:rsidRPr="007F606A">
        <w:rPr>
          <w:rFonts w:ascii="Calibri" w:hAnsi="Calibri" w:cs="Calibri"/>
          <w:sz w:val="24"/>
          <w:szCs w:val="24"/>
        </w:rPr>
        <w:t>“</w:t>
      </w:r>
      <w:r w:rsidR="00091CC4" w:rsidRPr="007F606A">
        <w:rPr>
          <w:rFonts w:ascii="Calibri" w:hAnsi="Calibri" w:cs="Calibri"/>
          <w:sz w:val="24"/>
          <w:szCs w:val="24"/>
          <w:shd w:val="clear" w:color="auto" w:fill="FEFEFE"/>
        </w:rPr>
        <w:t xml:space="preserve">opposes any use of governmental prerogative that leads to intimidation of individuals that prevents them from exercising their rights to hold opinions without interference, and to seek, receive, and impart information and </w:t>
      </w:r>
      <w:proofErr w:type="spellStart"/>
      <w:r w:rsidR="00091CC4" w:rsidRPr="007F606A">
        <w:rPr>
          <w:rFonts w:ascii="Calibri" w:hAnsi="Calibri" w:cs="Calibri"/>
          <w:sz w:val="24"/>
          <w:szCs w:val="24"/>
          <w:shd w:val="clear" w:color="auto" w:fill="FEFEFE"/>
        </w:rPr>
        <w:t>ideas;”</w:t>
      </w:r>
      <w:r>
        <w:rPr>
          <w:rFonts w:ascii="Calibri" w:hAnsi="Calibri" w:cs="Calibri"/>
          <w:sz w:val="24"/>
          <w:szCs w:val="24"/>
          <w:shd w:val="clear" w:color="auto" w:fill="FEFEFE"/>
        </w:rPr>
        <w:t>and</w:t>
      </w:r>
      <w:proofErr w:type="spellEnd"/>
    </w:p>
    <w:p w14:paraId="7B2FC708" w14:textId="6D208F56" w:rsidR="000F651E" w:rsidRDefault="00DE37D7" w:rsidP="003931B9">
      <w:pPr>
        <w:rPr>
          <w:rFonts w:ascii="Calibri" w:hAnsi="Calibri" w:cs="Calibri"/>
          <w:sz w:val="24"/>
          <w:szCs w:val="24"/>
        </w:rPr>
      </w:pPr>
      <w:r>
        <w:rPr>
          <w:rFonts w:ascii="Calibri" w:hAnsi="Calibri" w:cs="Calibri"/>
          <w:sz w:val="24"/>
          <w:szCs w:val="24"/>
          <w:shd w:val="clear" w:color="auto" w:fill="FEFEFE"/>
        </w:rPr>
        <w:lastRenderedPageBreak/>
        <w:t xml:space="preserve">Whereas ALA </w:t>
      </w:r>
      <w:r w:rsidR="00091CC4" w:rsidRPr="007F606A">
        <w:rPr>
          <w:rFonts w:ascii="Calibri" w:hAnsi="Calibri" w:cs="Calibri"/>
          <w:sz w:val="24"/>
          <w:szCs w:val="24"/>
          <w:shd w:val="clear" w:color="auto" w:fill="FEFEFE"/>
        </w:rPr>
        <w:t>urges “libraries and librarians everywhere to resist such abuse of governmental power, and to support those against whom such governmental power has been employed;” it “rejects censorship in any form</w:t>
      </w:r>
      <w:r w:rsidR="001A6CC4">
        <w:rPr>
          <w:rFonts w:ascii="Calibri" w:hAnsi="Calibri" w:cs="Calibri"/>
          <w:sz w:val="24"/>
          <w:szCs w:val="24"/>
          <w:shd w:val="clear" w:color="auto" w:fill="FEFEFE"/>
        </w:rPr>
        <w:t>;</w:t>
      </w:r>
      <w:r w:rsidR="00091CC4" w:rsidRPr="007F606A">
        <w:rPr>
          <w:rFonts w:ascii="Calibri" w:hAnsi="Calibri" w:cs="Calibri"/>
          <w:sz w:val="24"/>
          <w:szCs w:val="24"/>
          <w:shd w:val="clear" w:color="auto" w:fill="FEFEFE"/>
        </w:rPr>
        <w:t>” and it pledges it “will not abrogate these principles</w:t>
      </w:r>
      <w:r w:rsidR="001A6CC4">
        <w:rPr>
          <w:rFonts w:ascii="Calibri" w:hAnsi="Calibri" w:cs="Calibri"/>
          <w:sz w:val="24"/>
          <w:szCs w:val="24"/>
          <w:shd w:val="clear" w:color="auto" w:fill="FEFEFE"/>
        </w:rPr>
        <w:t>;</w:t>
      </w:r>
      <w:r w:rsidR="00091CC4">
        <w:rPr>
          <w:rFonts w:ascii="Calibri" w:hAnsi="Calibri" w:cs="Calibri"/>
          <w:sz w:val="24"/>
          <w:szCs w:val="24"/>
          <w:shd w:val="clear" w:color="auto" w:fill="FEFEFE"/>
        </w:rPr>
        <w:t>”</w:t>
      </w:r>
      <w:r w:rsidR="00091CC4">
        <w:rPr>
          <w:rStyle w:val="EndnoteReference"/>
          <w:rFonts w:ascii="Calibri" w:hAnsi="Calibri" w:cs="Calibri"/>
          <w:sz w:val="24"/>
          <w:szCs w:val="24"/>
        </w:rPr>
        <w:endnoteReference w:id="9"/>
      </w:r>
      <w:r w:rsidR="00091CC4">
        <w:rPr>
          <w:rFonts w:ascii="Calibri" w:hAnsi="Calibri" w:cs="Calibri"/>
          <w:sz w:val="24"/>
          <w:szCs w:val="24"/>
          <w:shd w:val="clear" w:color="auto" w:fill="FEFEFE"/>
        </w:rPr>
        <w:t xml:space="preserve"> </w:t>
      </w:r>
      <w:r w:rsidR="00091CC4">
        <w:rPr>
          <w:rFonts w:ascii="Calibri" w:hAnsi="Calibri" w:cs="Calibri"/>
          <w:sz w:val="24"/>
          <w:szCs w:val="24"/>
        </w:rPr>
        <w:t>now therefore be it</w:t>
      </w:r>
    </w:p>
    <w:p w14:paraId="08CB736E" w14:textId="486E71ED" w:rsidR="003C1060" w:rsidRDefault="003C1060" w:rsidP="0098115A">
      <w:pPr>
        <w:rPr>
          <w:rFonts w:ascii="Calibri" w:hAnsi="Calibri" w:cs="Calibri"/>
          <w:sz w:val="24"/>
          <w:szCs w:val="24"/>
        </w:rPr>
      </w:pPr>
      <w:bookmarkStart w:id="5" w:name="_Hlk105077079"/>
      <w:bookmarkEnd w:id="1"/>
      <w:r w:rsidRPr="007F606A">
        <w:rPr>
          <w:rFonts w:ascii="Calibri" w:hAnsi="Calibri" w:cs="Calibri"/>
          <w:sz w:val="24"/>
          <w:szCs w:val="24"/>
          <w:shd w:val="clear" w:color="auto" w:fill="FEFEFE"/>
        </w:rPr>
        <w:t xml:space="preserve">Resolved, that </w:t>
      </w:r>
      <w:r w:rsidRPr="007F606A">
        <w:rPr>
          <w:rFonts w:ascii="Calibri" w:hAnsi="Calibri" w:cs="Calibri"/>
          <w:sz w:val="24"/>
          <w:szCs w:val="24"/>
        </w:rPr>
        <w:t>the American Library Association on behalf of its members opposes all legislation that</w:t>
      </w:r>
      <w:r w:rsidR="0072226E" w:rsidRPr="007F606A">
        <w:rPr>
          <w:rFonts w:ascii="Calibri" w:hAnsi="Calibri" w:cs="Calibri"/>
          <w:sz w:val="24"/>
          <w:szCs w:val="24"/>
        </w:rPr>
        <w:t xml:space="preserve"> would</w:t>
      </w:r>
      <w:r w:rsidRPr="007F606A">
        <w:rPr>
          <w:rFonts w:ascii="Calibri" w:hAnsi="Calibri" w:cs="Calibri"/>
          <w:sz w:val="24"/>
          <w:szCs w:val="24"/>
        </w:rPr>
        <w:t xml:space="preserve"> penalize </w:t>
      </w:r>
      <w:r w:rsidR="009E10C4" w:rsidRPr="007F606A">
        <w:rPr>
          <w:sz w:val="24"/>
          <w:szCs w:val="24"/>
        </w:rPr>
        <w:t>or condone penalization</w:t>
      </w:r>
      <w:r w:rsidR="009E10C4" w:rsidRPr="007F606A">
        <w:rPr>
          <w:rFonts w:ascii="Calibri" w:hAnsi="Calibri" w:cs="Calibri"/>
          <w:sz w:val="24"/>
          <w:szCs w:val="24"/>
        </w:rPr>
        <w:t xml:space="preserve"> </w:t>
      </w:r>
      <w:r w:rsidR="009E10C4">
        <w:rPr>
          <w:rFonts w:ascii="Calibri" w:hAnsi="Calibri" w:cs="Calibri"/>
          <w:sz w:val="24"/>
          <w:szCs w:val="24"/>
        </w:rPr>
        <w:t xml:space="preserve">of </w:t>
      </w:r>
      <w:r w:rsidRPr="007F606A">
        <w:rPr>
          <w:rFonts w:ascii="Calibri" w:hAnsi="Calibri" w:cs="Calibri"/>
          <w:sz w:val="24"/>
          <w:szCs w:val="24"/>
        </w:rPr>
        <w:t xml:space="preserve">individuals, </w:t>
      </w:r>
      <w:r w:rsidR="001A29EA" w:rsidRPr="007F606A">
        <w:rPr>
          <w:rFonts w:ascii="Calibri" w:hAnsi="Calibri" w:cs="Calibri"/>
          <w:sz w:val="24"/>
          <w:szCs w:val="24"/>
        </w:rPr>
        <w:t>organizations</w:t>
      </w:r>
      <w:r w:rsidRPr="007F606A">
        <w:rPr>
          <w:rFonts w:ascii="Calibri" w:hAnsi="Calibri" w:cs="Calibri"/>
          <w:sz w:val="24"/>
          <w:szCs w:val="24"/>
        </w:rPr>
        <w:t xml:space="preserve">, or companies engaged in </w:t>
      </w:r>
      <w:r w:rsidR="0097494E">
        <w:rPr>
          <w:rFonts w:ascii="Calibri" w:hAnsi="Calibri" w:cs="Calibri"/>
          <w:sz w:val="24"/>
          <w:szCs w:val="24"/>
        </w:rPr>
        <w:t xml:space="preserve">nonviolent </w:t>
      </w:r>
      <w:r w:rsidRPr="007F606A">
        <w:rPr>
          <w:rFonts w:ascii="Calibri" w:hAnsi="Calibri" w:cs="Calibri"/>
          <w:sz w:val="24"/>
          <w:szCs w:val="24"/>
        </w:rPr>
        <w:t>boycotts for political change.</w:t>
      </w:r>
    </w:p>
    <w:bookmarkEnd w:id="5"/>
    <w:p w14:paraId="5E0F2F4A" w14:textId="07962538" w:rsidR="001407D9" w:rsidRDefault="001407D9" w:rsidP="0098115A">
      <w:pPr>
        <w:rPr>
          <w:rFonts w:ascii="Calibri" w:hAnsi="Calibri" w:cs="Calibri"/>
          <w:sz w:val="24"/>
          <w:szCs w:val="24"/>
        </w:rPr>
      </w:pPr>
    </w:p>
    <w:p w14:paraId="261E8812" w14:textId="665AA062" w:rsidR="001407D9" w:rsidRDefault="001407D9" w:rsidP="001407D9">
      <w:pPr>
        <w:spacing w:after="0"/>
        <w:rPr>
          <w:rFonts w:ascii="Calibri" w:hAnsi="Calibri" w:cs="Calibri"/>
          <w:sz w:val="24"/>
          <w:szCs w:val="24"/>
        </w:rPr>
      </w:pPr>
      <w:r>
        <w:rPr>
          <w:rFonts w:ascii="Calibri" w:hAnsi="Calibri" w:cs="Calibri"/>
          <w:sz w:val="24"/>
          <w:szCs w:val="24"/>
        </w:rPr>
        <w:t>Mover: Tom Twiss</w:t>
      </w:r>
      <w:r w:rsidR="00D16C83">
        <w:rPr>
          <w:rFonts w:ascii="Calibri" w:hAnsi="Calibri" w:cs="Calibri"/>
          <w:sz w:val="24"/>
          <w:szCs w:val="24"/>
        </w:rPr>
        <w:t>, ALA Member</w:t>
      </w:r>
    </w:p>
    <w:p w14:paraId="1A2EC3A3" w14:textId="56313C6B" w:rsidR="001407D9" w:rsidRPr="007F606A" w:rsidRDefault="001407D9" w:rsidP="001407D9">
      <w:pPr>
        <w:spacing w:after="0"/>
        <w:rPr>
          <w:rFonts w:ascii="Calibri" w:hAnsi="Calibri" w:cs="Calibri"/>
          <w:sz w:val="24"/>
          <w:szCs w:val="24"/>
        </w:rPr>
      </w:pPr>
      <w:r>
        <w:rPr>
          <w:rFonts w:ascii="Calibri" w:hAnsi="Calibri" w:cs="Calibri"/>
          <w:sz w:val="24"/>
          <w:szCs w:val="24"/>
        </w:rPr>
        <w:t>Seconder: Al Kagan</w:t>
      </w:r>
      <w:r w:rsidR="00D16C83">
        <w:rPr>
          <w:rFonts w:ascii="Calibri" w:hAnsi="Calibri" w:cs="Calibri"/>
          <w:sz w:val="24"/>
          <w:szCs w:val="24"/>
        </w:rPr>
        <w:t>,</w:t>
      </w:r>
      <w:r>
        <w:rPr>
          <w:rFonts w:ascii="Calibri" w:hAnsi="Calibri" w:cs="Calibri"/>
          <w:sz w:val="24"/>
          <w:szCs w:val="24"/>
        </w:rPr>
        <w:t xml:space="preserve"> </w:t>
      </w:r>
      <w:r w:rsidR="00D16C83">
        <w:rPr>
          <w:rFonts w:ascii="Calibri" w:hAnsi="Calibri" w:cs="Calibri"/>
          <w:sz w:val="24"/>
          <w:szCs w:val="24"/>
        </w:rPr>
        <w:t>ALA Member</w:t>
      </w:r>
    </w:p>
    <w:p w14:paraId="7B573181" w14:textId="13697578" w:rsidR="0098115A" w:rsidRDefault="0098115A" w:rsidP="0098115A"/>
    <w:p w14:paraId="4FCC3EC1" w14:textId="04C6AD96" w:rsidR="00A12F91" w:rsidRPr="0098115A" w:rsidRDefault="00A12F91" w:rsidP="0098115A">
      <w:r>
        <w:t>V1.1</w:t>
      </w:r>
      <w:r w:rsidR="00D16C83">
        <w:t>.1</w:t>
      </w:r>
      <w:r>
        <w:t xml:space="preserve"> </w:t>
      </w:r>
      <w:r w:rsidR="007A19D5">
        <w:t xml:space="preserve">@ </w:t>
      </w:r>
      <w:r>
        <w:t>2022.06.0</w:t>
      </w:r>
      <w:r w:rsidR="00D16C83">
        <w:t>8</w:t>
      </w:r>
      <w:r>
        <w:t xml:space="preserve"> @ </w:t>
      </w:r>
      <w:r w:rsidR="00D16C83">
        <w:t>13</w:t>
      </w:r>
      <w:r>
        <w:t>:4</w:t>
      </w:r>
      <w:r w:rsidR="00D16C83">
        <w:t>5</w:t>
      </w:r>
    </w:p>
    <w:sectPr w:rsidR="00A12F91" w:rsidRPr="0098115A">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DCD97" w14:textId="77777777" w:rsidR="00252353" w:rsidRDefault="00252353" w:rsidP="0098115A">
      <w:pPr>
        <w:spacing w:after="0" w:line="240" w:lineRule="auto"/>
      </w:pPr>
      <w:r>
        <w:separator/>
      </w:r>
    </w:p>
  </w:endnote>
  <w:endnote w:type="continuationSeparator" w:id="0">
    <w:p w14:paraId="0EB37267" w14:textId="77777777" w:rsidR="00252353" w:rsidRDefault="00252353" w:rsidP="0098115A">
      <w:pPr>
        <w:spacing w:after="0" w:line="240" w:lineRule="auto"/>
      </w:pPr>
      <w:r>
        <w:continuationSeparator/>
      </w:r>
    </w:p>
  </w:endnote>
  <w:endnote w:id="1">
    <w:p w14:paraId="629DD3A4" w14:textId="61CB34B5" w:rsidR="00302848" w:rsidRPr="002A7D5F" w:rsidRDefault="00302848" w:rsidP="00696953">
      <w:pPr>
        <w:pStyle w:val="Heading1"/>
        <w:spacing w:before="0" w:beforeAutospacing="0" w:after="0" w:afterAutospacing="0"/>
        <w:rPr>
          <w:rFonts w:asciiTheme="minorHAnsi" w:hAnsiTheme="minorHAnsi" w:cstheme="minorHAnsi"/>
          <w:b w:val="0"/>
          <w:bCs w:val="0"/>
          <w:color w:val="423A38"/>
          <w:sz w:val="20"/>
          <w:szCs w:val="20"/>
        </w:rPr>
      </w:pPr>
      <w:r w:rsidRPr="002A7D5F">
        <w:rPr>
          <w:rStyle w:val="EndnoteReference"/>
          <w:rFonts w:asciiTheme="minorHAnsi" w:hAnsiTheme="minorHAnsi" w:cstheme="minorHAnsi"/>
          <w:b w:val="0"/>
          <w:bCs w:val="0"/>
          <w:sz w:val="20"/>
          <w:szCs w:val="20"/>
        </w:rPr>
        <w:endnoteRef/>
      </w:r>
      <w:r w:rsidRPr="002A7D5F">
        <w:rPr>
          <w:rFonts w:asciiTheme="minorHAnsi" w:hAnsiTheme="minorHAnsi" w:cstheme="minorHAnsi"/>
          <w:b w:val="0"/>
          <w:bCs w:val="0"/>
          <w:sz w:val="20"/>
          <w:szCs w:val="20"/>
        </w:rPr>
        <w:t xml:space="preserve"> </w:t>
      </w:r>
      <w:r w:rsidR="00A8373F" w:rsidRPr="002A7D5F">
        <w:rPr>
          <w:rFonts w:asciiTheme="minorHAnsi" w:hAnsiTheme="minorHAnsi" w:cstheme="minorHAnsi"/>
          <w:b w:val="0"/>
          <w:bCs w:val="0"/>
          <w:i/>
          <w:iCs/>
          <w:sz w:val="20"/>
          <w:szCs w:val="20"/>
        </w:rPr>
        <w:t>NAACP v. Clayborne Hardware Co.</w:t>
      </w:r>
      <w:r w:rsidR="00A8373F" w:rsidRPr="002A7D5F">
        <w:rPr>
          <w:rFonts w:asciiTheme="minorHAnsi" w:hAnsiTheme="minorHAnsi" w:cstheme="minorHAnsi"/>
          <w:b w:val="0"/>
          <w:bCs w:val="0"/>
          <w:sz w:val="20"/>
          <w:szCs w:val="20"/>
        </w:rPr>
        <w:t xml:space="preserve"> </w:t>
      </w:r>
      <w:r w:rsidR="003C28C4" w:rsidRPr="002A7D5F">
        <w:rPr>
          <w:rFonts w:asciiTheme="minorHAnsi" w:hAnsiTheme="minorHAnsi" w:cstheme="minorHAnsi"/>
          <w:b w:val="0"/>
          <w:bCs w:val="0"/>
          <w:sz w:val="20"/>
          <w:szCs w:val="20"/>
        </w:rPr>
        <w:t>458 U.S. 886 (198</w:t>
      </w:r>
      <w:r w:rsidR="00BF4D76">
        <w:rPr>
          <w:rFonts w:asciiTheme="minorHAnsi" w:hAnsiTheme="minorHAnsi" w:cstheme="minorHAnsi"/>
          <w:b w:val="0"/>
          <w:bCs w:val="0"/>
          <w:sz w:val="20"/>
          <w:szCs w:val="20"/>
        </w:rPr>
        <w:t>2</w:t>
      </w:r>
      <w:r w:rsidR="003C28C4" w:rsidRPr="002A7D5F">
        <w:rPr>
          <w:rFonts w:asciiTheme="minorHAnsi" w:hAnsiTheme="minorHAnsi" w:cstheme="minorHAnsi"/>
          <w:b w:val="0"/>
          <w:bCs w:val="0"/>
          <w:sz w:val="20"/>
          <w:szCs w:val="20"/>
        </w:rPr>
        <w:t>),</w:t>
      </w:r>
      <w:r w:rsidR="00A8373F" w:rsidRPr="002A7D5F">
        <w:rPr>
          <w:rFonts w:asciiTheme="minorHAnsi" w:hAnsiTheme="minorHAnsi" w:cstheme="minorHAnsi"/>
          <w:b w:val="0"/>
          <w:bCs w:val="0"/>
          <w:sz w:val="20"/>
          <w:szCs w:val="20"/>
        </w:rPr>
        <w:t xml:space="preserve"> </w:t>
      </w:r>
      <w:hyperlink r:id="rId1" w:history="1">
        <w:r w:rsidR="00A8373F" w:rsidRPr="002A7D5F">
          <w:rPr>
            <w:rStyle w:val="Hyperlink"/>
            <w:rFonts w:asciiTheme="minorHAnsi" w:hAnsiTheme="minorHAnsi" w:cstheme="minorHAnsi"/>
            <w:b w:val="0"/>
            <w:bCs w:val="0"/>
            <w:sz w:val="20"/>
            <w:szCs w:val="20"/>
          </w:rPr>
          <w:t>https://tile.loc.gov/storage-services/service/ll/usrep/usrep458/usrep458886/usrep458886.pdf</w:t>
        </w:r>
      </w:hyperlink>
      <w:r w:rsidR="001825F5" w:rsidRPr="002A7D5F">
        <w:rPr>
          <w:rFonts w:asciiTheme="minorHAnsi" w:hAnsiTheme="minorHAnsi" w:cstheme="minorHAnsi"/>
          <w:b w:val="0"/>
          <w:bCs w:val="0"/>
          <w:sz w:val="20"/>
          <w:szCs w:val="20"/>
        </w:rPr>
        <w:t>. S</w:t>
      </w:r>
      <w:r w:rsidR="00A8373F" w:rsidRPr="002A7D5F">
        <w:rPr>
          <w:rFonts w:asciiTheme="minorHAnsi" w:hAnsiTheme="minorHAnsi" w:cstheme="minorHAnsi"/>
          <w:b w:val="0"/>
          <w:bCs w:val="0"/>
          <w:sz w:val="20"/>
          <w:szCs w:val="20"/>
        </w:rPr>
        <w:t xml:space="preserve">ee </w:t>
      </w:r>
      <w:r w:rsidR="00871332" w:rsidRPr="002A7D5F">
        <w:rPr>
          <w:rFonts w:asciiTheme="minorHAnsi" w:hAnsiTheme="minorHAnsi" w:cstheme="minorHAnsi"/>
          <w:b w:val="0"/>
          <w:bCs w:val="0"/>
          <w:sz w:val="20"/>
          <w:szCs w:val="20"/>
        </w:rPr>
        <w:t>a</w:t>
      </w:r>
      <w:r w:rsidR="00A8373F" w:rsidRPr="002A7D5F">
        <w:rPr>
          <w:rFonts w:asciiTheme="minorHAnsi" w:hAnsiTheme="minorHAnsi" w:cstheme="minorHAnsi"/>
          <w:b w:val="0"/>
          <w:bCs w:val="0"/>
          <w:sz w:val="20"/>
          <w:szCs w:val="20"/>
        </w:rPr>
        <w:t>lso</w:t>
      </w:r>
      <w:r w:rsidR="00871332" w:rsidRPr="002A7D5F">
        <w:rPr>
          <w:rFonts w:asciiTheme="minorHAnsi" w:hAnsiTheme="minorHAnsi" w:cstheme="minorHAnsi"/>
          <w:b w:val="0"/>
          <w:bCs w:val="0"/>
          <w:sz w:val="20"/>
          <w:szCs w:val="20"/>
        </w:rPr>
        <w:t xml:space="preserve"> E. Purvis, “Boycotts,” </w:t>
      </w:r>
      <w:r w:rsidR="00871332" w:rsidRPr="002A7D5F">
        <w:rPr>
          <w:rFonts w:asciiTheme="minorHAnsi" w:hAnsiTheme="minorHAnsi" w:cstheme="minorHAnsi"/>
          <w:b w:val="0"/>
          <w:bCs w:val="0"/>
          <w:i/>
          <w:iCs/>
          <w:sz w:val="20"/>
          <w:szCs w:val="20"/>
        </w:rPr>
        <w:t>The First Amendment Encyclopedia,</w:t>
      </w:r>
      <w:r w:rsidR="00871332" w:rsidRPr="002A7D5F">
        <w:rPr>
          <w:rFonts w:asciiTheme="minorHAnsi" w:hAnsiTheme="minorHAnsi" w:cstheme="minorHAnsi"/>
          <w:b w:val="0"/>
          <w:bCs w:val="0"/>
          <w:sz w:val="20"/>
          <w:szCs w:val="20"/>
        </w:rPr>
        <w:t xml:space="preserve"> </w:t>
      </w:r>
      <w:hyperlink r:id="rId2" w:history="1">
        <w:r w:rsidR="00871332" w:rsidRPr="002A7D5F">
          <w:rPr>
            <w:rStyle w:val="Hyperlink"/>
            <w:rFonts w:asciiTheme="minorHAnsi" w:hAnsiTheme="minorHAnsi" w:cstheme="minorHAnsi"/>
            <w:b w:val="0"/>
            <w:bCs w:val="0"/>
            <w:sz w:val="20"/>
            <w:szCs w:val="20"/>
          </w:rPr>
          <w:t>https://www.mtsu.edu/first-amendment/article/987/boycotts</w:t>
        </w:r>
      </w:hyperlink>
      <w:r w:rsidRPr="002A7D5F">
        <w:rPr>
          <w:rFonts w:asciiTheme="minorHAnsi" w:hAnsiTheme="minorHAnsi" w:cstheme="minorHAnsi"/>
          <w:b w:val="0"/>
          <w:bCs w:val="0"/>
          <w:sz w:val="20"/>
          <w:szCs w:val="20"/>
        </w:rPr>
        <w:t>;</w:t>
      </w:r>
      <w:r w:rsidR="00A8373F" w:rsidRPr="002A7D5F">
        <w:rPr>
          <w:rFonts w:asciiTheme="minorHAnsi" w:hAnsiTheme="minorHAnsi" w:cstheme="minorHAnsi"/>
          <w:b w:val="0"/>
          <w:bCs w:val="0"/>
          <w:sz w:val="20"/>
          <w:szCs w:val="20"/>
        </w:rPr>
        <w:t xml:space="preserve"> Brian Hauss, “In Congress, a Threat to Americans’ First Amendment Right to Boycott,” ACLU, </w:t>
      </w:r>
      <w:r w:rsidR="00BF4D76">
        <w:rPr>
          <w:rFonts w:asciiTheme="minorHAnsi" w:hAnsiTheme="minorHAnsi" w:cstheme="minorHAnsi"/>
          <w:b w:val="0"/>
          <w:bCs w:val="0"/>
          <w:sz w:val="20"/>
          <w:szCs w:val="20"/>
        </w:rPr>
        <w:t>Jan</w:t>
      </w:r>
      <w:r w:rsidR="00E965F7">
        <w:rPr>
          <w:rFonts w:asciiTheme="minorHAnsi" w:hAnsiTheme="minorHAnsi" w:cstheme="minorHAnsi"/>
          <w:b w:val="0"/>
          <w:bCs w:val="0"/>
          <w:sz w:val="20"/>
          <w:szCs w:val="20"/>
        </w:rPr>
        <w:t>uary</w:t>
      </w:r>
      <w:r w:rsidR="00BF4D76">
        <w:rPr>
          <w:rFonts w:asciiTheme="minorHAnsi" w:hAnsiTheme="minorHAnsi" w:cstheme="minorHAnsi"/>
          <w:b w:val="0"/>
          <w:bCs w:val="0"/>
          <w:sz w:val="20"/>
          <w:szCs w:val="20"/>
        </w:rPr>
        <w:t xml:space="preserve"> 28, 2019, </w:t>
      </w:r>
      <w:hyperlink r:id="rId3" w:history="1">
        <w:r w:rsidR="00BF4D76" w:rsidRPr="00BF4D76">
          <w:rPr>
            <w:rStyle w:val="Hyperlink"/>
            <w:rFonts w:asciiTheme="minorHAnsi" w:hAnsiTheme="minorHAnsi" w:cstheme="minorHAnsi"/>
            <w:b w:val="0"/>
            <w:bCs w:val="0"/>
            <w:sz w:val="20"/>
            <w:szCs w:val="20"/>
          </w:rPr>
          <w:t>https://www.aclu.org/blog/free-speech/congress-threat-americans-first-amendment-right-boycott</w:t>
        </w:r>
      </w:hyperlink>
      <w:r w:rsidR="001825F5" w:rsidRPr="002A7D5F">
        <w:rPr>
          <w:rFonts w:asciiTheme="minorHAnsi" w:hAnsiTheme="minorHAnsi" w:cstheme="minorHAnsi"/>
          <w:b w:val="0"/>
          <w:bCs w:val="0"/>
          <w:sz w:val="20"/>
          <w:szCs w:val="20"/>
        </w:rPr>
        <w:t>.</w:t>
      </w:r>
    </w:p>
  </w:endnote>
  <w:endnote w:id="2">
    <w:p w14:paraId="29A20F88" w14:textId="76A9E92C" w:rsidR="007E288D" w:rsidRPr="002A7D5F" w:rsidRDefault="0076454C" w:rsidP="008B0EF7">
      <w:pPr>
        <w:rPr>
          <w:rFonts w:cstheme="minorHAnsi"/>
          <w:sz w:val="20"/>
          <w:szCs w:val="20"/>
        </w:rPr>
      </w:pPr>
      <w:r w:rsidRPr="002A7D5F">
        <w:rPr>
          <w:rStyle w:val="EndnoteReference"/>
          <w:rFonts w:cstheme="minorHAnsi"/>
          <w:sz w:val="20"/>
          <w:szCs w:val="20"/>
        </w:rPr>
        <w:endnoteRef/>
      </w:r>
      <w:r w:rsidRPr="002A7D5F">
        <w:rPr>
          <w:rFonts w:cstheme="minorHAnsi"/>
          <w:sz w:val="20"/>
          <w:szCs w:val="20"/>
        </w:rPr>
        <w:t xml:space="preserve"> </w:t>
      </w:r>
      <w:r w:rsidR="007E288D" w:rsidRPr="002A7D5F">
        <w:rPr>
          <w:rFonts w:cstheme="minorHAnsi"/>
          <w:sz w:val="20"/>
          <w:szCs w:val="20"/>
        </w:rPr>
        <w:t>Regarding ALA support for boycotts:</w:t>
      </w:r>
    </w:p>
    <w:p w14:paraId="6D2C888E" w14:textId="526A5114" w:rsidR="007E288D" w:rsidRPr="002A7D5F" w:rsidRDefault="007E288D" w:rsidP="00416477">
      <w:pPr>
        <w:pStyle w:val="ListParagraph"/>
        <w:numPr>
          <w:ilvl w:val="0"/>
          <w:numId w:val="1"/>
        </w:numPr>
        <w:rPr>
          <w:rFonts w:cstheme="minorHAnsi"/>
          <w:sz w:val="20"/>
          <w:szCs w:val="20"/>
        </w:rPr>
      </w:pPr>
      <w:r w:rsidRPr="002A7D5F">
        <w:rPr>
          <w:rFonts w:cstheme="minorHAnsi"/>
          <w:sz w:val="20"/>
          <w:szCs w:val="20"/>
        </w:rPr>
        <w:t xml:space="preserve">In 1964, the ALA Membership Meeting passed a resolution that ALA staff and officers </w:t>
      </w:r>
      <w:r w:rsidR="00416477" w:rsidRPr="002A7D5F">
        <w:rPr>
          <w:rFonts w:cstheme="minorHAnsi"/>
          <w:sz w:val="20"/>
          <w:szCs w:val="20"/>
        </w:rPr>
        <w:t>c</w:t>
      </w:r>
      <w:r w:rsidRPr="002A7D5F">
        <w:rPr>
          <w:rFonts w:cstheme="minorHAnsi"/>
          <w:sz w:val="20"/>
          <w:szCs w:val="20"/>
        </w:rPr>
        <w:t>ould</w:t>
      </w:r>
      <w:r w:rsidR="00416477" w:rsidRPr="002A7D5F">
        <w:rPr>
          <w:rFonts w:cstheme="minorHAnsi"/>
          <w:sz w:val="20"/>
          <w:szCs w:val="20"/>
        </w:rPr>
        <w:t xml:space="preserve"> only</w:t>
      </w:r>
      <w:r w:rsidRPr="002A7D5F">
        <w:rPr>
          <w:rFonts w:cstheme="minorHAnsi"/>
          <w:sz w:val="20"/>
          <w:szCs w:val="20"/>
        </w:rPr>
        <w:t xml:space="preserve"> attend ALA state chapter meetings in their official capacities or with ALA funding </w:t>
      </w:r>
      <w:r w:rsidR="00416477" w:rsidRPr="002A7D5F">
        <w:rPr>
          <w:rFonts w:cstheme="minorHAnsi"/>
          <w:sz w:val="20"/>
          <w:szCs w:val="20"/>
        </w:rPr>
        <w:t xml:space="preserve">if </w:t>
      </w:r>
      <w:r w:rsidRPr="002A7D5F">
        <w:rPr>
          <w:rFonts w:cstheme="minorHAnsi"/>
          <w:sz w:val="20"/>
          <w:szCs w:val="20"/>
        </w:rPr>
        <w:t>the chapters fully met ALA requirements for chapter status</w:t>
      </w:r>
      <w:r w:rsidR="00416477" w:rsidRPr="002A7D5F">
        <w:rPr>
          <w:rFonts w:cstheme="minorHAnsi"/>
          <w:sz w:val="20"/>
          <w:szCs w:val="20"/>
        </w:rPr>
        <w:t>—</w:t>
      </w:r>
      <w:r w:rsidRPr="002A7D5F">
        <w:rPr>
          <w:rFonts w:cstheme="minorHAnsi"/>
          <w:sz w:val="20"/>
          <w:szCs w:val="20"/>
        </w:rPr>
        <w:t>meaning th</w:t>
      </w:r>
      <w:r w:rsidR="008B0EF7" w:rsidRPr="002A7D5F">
        <w:rPr>
          <w:rFonts w:cstheme="minorHAnsi"/>
          <w:sz w:val="20"/>
          <w:szCs w:val="20"/>
        </w:rPr>
        <w:t>ey</w:t>
      </w:r>
      <w:r w:rsidRPr="002A7D5F">
        <w:rPr>
          <w:rFonts w:cstheme="minorHAnsi"/>
          <w:sz w:val="20"/>
          <w:szCs w:val="20"/>
        </w:rPr>
        <w:t xml:space="preserve"> </w:t>
      </w:r>
      <w:r w:rsidR="00416477" w:rsidRPr="002A7D5F">
        <w:rPr>
          <w:rFonts w:cstheme="minorHAnsi"/>
          <w:sz w:val="20"/>
          <w:szCs w:val="20"/>
        </w:rPr>
        <w:t xml:space="preserve">did not </w:t>
      </w:r>
      <w:r w:rsidRPr="002A7D5F">
        <w:rPr>
          <w:rFonts w:cstheme="minorHAnsi"/>
          <w:sz w:val="20"/>
          <w:szCs w:val="20"/>
        </w:rPr>
        <w:t>exclude African</w:t>
      </w:r>
      <w:r w:rsidR="00EB6E7E" w:rsidRPr="002A7D5F">
        <w:rPr>
          <w:rFonts w:cstheme="minorHAnsi"/>
          <w:sz w:val="20"/>
          <w:szCs w:val="20"/>
        </w:rPr>
        <w:t xml:space="preserve"> </w:t>
      </w:r>
      <w:r w:rsidRPr="002A7D5F">
        <w:rPr>
          <w:rFonts w:cstheme="minorHAnsi"/>
          <w:sz w:val="20"/>
          <w:szCs w:val="20"/>
        </w:rPr>
        <w:t>Americans. (The Executive Board later defined the officers involved as only the top 5 elected officers, and the Council agreed.)</w:t>
      </w:r>
    </w:p>
    <w:p w14:paraId="2C52A0FB" w14:textId="176F0911" w:rsidR="00416477" w:rsidRPr="002A7D5F" w:rsidRDefault="00B064DE" w:rsidP="00416477">
      <w:pPr>
        <w:pStyle w:val="ListParagraph"/>
        <w:numPr>
          <w:ilvl w:val="0"/>
          <w:numId w:val="1"/>
        </w:numPr>
        <w:rPr>
          <w:rFonts w:cstheme="minorHAnsi"/>
          <w:sz w:val="20"/>
          <w:szCs w:val="20"/>
        </w:rPr>
      </w:pPr>
      <w:r w:rsidRPr="002A7D5F">
        <w:rPr>
          <w:rFonts w:cstheme="minorHAnsi"/>
          <w:sz w:val="20"/>
          <w:szCs w:val="20"/>
        </w:rPr>
        <w:t xml:space="preserve">In 1990 ALA </w:t>
      </w:r>
      <w:r w:rsidR="00D47C8C" w:rsidRPr="002A7D5F">
        <w:rPr>
          <w:rFonts w:cstheme="minorHAnsi"/>
          <w:sz w:val="20"/>
          <w:szCs w:val="20"/>
        </w:rPr>
        <w:t xml:space="preserve">Council </w:t>
      </w:r>
      <w:r w:rsidRPr="002A7D5F">
        <w:rPr>
          <w:rFonts w:cstheme="minorHAnsi"/>
          <w:sz w:val="20"/>
          <w:szCs w:val="20"/>
        </w:rPr>
        <w:t xml:space="preserve">voted to reject endorsement of a report by the </w:t>
      </w:r>
      <w:r w:rsidRPr="002A7D5F">
        <w:rPr>
          <w:rFonts w:cstheme="minorHAnsi"/>
          <w:sz w:val="20"/>
          <w:szCs w:val="20"/>
          <w:shd w:val="clear" w:color="auto" w:fill="FFFFFF"/>
        </w:rPr>
        <w:t>International Freedom to Publish Committee of the Association of American Publishers and of the Fund for Free Expression recommending</w:t>
      </w:r>
      <w:r w:rsidR="00EC458B" w:rsidRPr="002A7D5F">
        <w:rPr>
          <w:rFonts w:cstheme="minorHAnsi"/>
          <w:sz w:val="20"/>
          <w:szCs w:val="20"/>
          <w:shd w:val="clear" w:color="auto" w:fill="FFFFFF"/>
        </w:rPr>
        <w:t xml:space="preserve"> removal of books from the cultural boycott of South Africa. </w:t>
      </w:r>
      <w:r w:rsidR="008B0EF7" w:rsidRPr="002A7D5F">
        <w:rPr>
          <w:rFonts w:cstheme="minorHAnsi"/>
          <w:sz w:val="20"/>
          <w:szCs w:val="20"/>
          <w:shd w:val="clear" w:color="auto" w:fill="FFFFFF"/>
        </w:rPr>
        <w:t>“</w:t>
      </w:r>
      <w:r w:rsidR="00EC458B" w:rsidRPr="002A7D5F">
        <w:rPr>
          <w:rFonts w:cstheme="minorHAnsi"/>
          <w:sz w:val="20"/>
          <w:szCs w:val="20"/>
          <w:shd w:val="clear" w:color="auto" w:fill="FFFFFF"/>
        </w:rPr>
        <w:t xml:space="preserve">Resolution on </w:t>
      </w:r>
      <w:r w:rsidR="00EC458B" w:rsidRPr="002A7D5F">
        <w:rPr>
          <w:rFonts w:cstheme="minorHAnsi"/>
          <w:i/>
          <w:iCs/>
          <w:sz w:val="20"/>
          <w:szCs w:val="20"/>
          <w:shd w:val="clear" w:color="auto" w:fill="FFFFFF"/>
        </w:rPr>
        <w:t>The Starvation of Young Black Minds: the Effects of Book Boycotts in South Africa</w:t>
      </w:r>
      <w:r w:rsidR="00EC458B" w:rsidRPr="002A7D5F">
        <w:rPr>
          <w:rFonts w:cstheme="minorHAnsi"/>
          <w:sz w:val="20"/>
          <w:szCs w:val="20"/>
          <w:shd w:val="clear" w:color="auto" w:fill="FFFFFF"/>
        </w:rPr>
        <w:t>,</w:t>
      </w:r>
      <w:r w:rsidR="008B0EF7" w:rsidRPr="002A7D5F">
        <w:rPr>
          <w:rFonts w:cstheme="minorHAnsi"/>
          <w:sz w:val="20"/>
          <w:szCs w:val="20"/>
          <w:shd w:val="clear" w:color="auto" w:fill="FFFFFF"/>
        </w:rPr>
        <w:t>”</w:t>
      </w:r>
      <w:r w:rsidR="00EC458B" w:rsidRPr="002A7D5F">
        <w:rPr>
          <w:rFonts w:cstheme="minorHAnsi"/>
          <w:sz w:val="20"/>
          <w:szCs w:val="20"/>
          <w:shd w:val="clear" w:color="auto" w:fill="FFFFFF"/>
        </w:rPr>
        <w:t xml:space="preserve"> CD#97, June 1990,  </w:t>
      </w:r>
      <w:hyperlink r:id="rId4" w:history="1">
        <w:r w:rsidR="00416477" w:rsidRPr="002A7D5F">
          <w:rPr>
            <w:rStyle w:val="Hyperlink"/>
            <w:rFonts w:cstheme="minorHAnsi"/>
            <w:sz w:val="20"/>
            <w:szCs w:val="20"/>
          </w:rPr>
          <w:t>https://www.ala.org/rt/sites/ala.org.rt/files/content/SRRT/Resolutions/1990/1990_StarvationYoungMinds.pdf</w:t>
        </w:r>
      </w:hyperlink>
    </w:p>
    <w:p w14:paraId="1F4B0213" w14:textId="6BD1A731" w:rsidR="00D47C8C" w:rsidRPr="002A7D5F" w:rsidRDefault="00D47C8C" w:rsidP="00416477">
      <w:pPr>
        <w:pStyle w:val="ListParagraph"/>
        <w:numPr>
          <w:ilvl w:val="0"/>
          <w:numId w:val="1"/>
        </w:numPr>
        <w:rPr>
          <w:rFonts w:cstheme="minorHAnsi"/>
          <w:sz w:val="20"/>
          <w:szCs w:val="20"/>
        </w:rPr>
      </w:pPr>
      <w:r w:rsidRPr="002A7D5F">
        <w:rPr>
          <w:rFonts w:cstheme="minorHAnsi"/>
          <w:sz w:val="20"/>
          <w:szCs w:val="20"/>
        </w:rPr>
        <w:t>In January 1993 ALA Council voted to move the site of its 1998 Midwinter conference from Colorado because Colorado had passed a state constitutional amendment “which in effect negates and abolishes the civil rights of lesbian, gay, and bisexual people.” Council Minutes, Midwinter Meeting, January 1993</w:t>
      </w:r>
      <w:r w:rsidR="006940F6" w:rsidRPr="002A7D5F">
        <w:rPr>
          <w:rFonts w:cstheme="minorHAnsi"/>
          <w:sz w:val="20"/>
          <w:szCs w:val="20"/>
        </w:rPr>
        <w:t xml:space="preserve">, and “Resolution on Moving the 1998 Midwinter Meeting from Colorado,” ALA Council, </w:t>
      </w:r>
      <w:hyperlink r:id="rId5" w:history="1">
        <w:r w:rsidR="006940F6" w:rsidRPr="002A7D5F">
          <w:rPr>
            <w:rStyle w:val="Hyperlink"/>
            <w:rFonts w:cstheme="minorHAnsi"/>
            <w:sz w:val="20"/>
            <w:szCs w:val="20"/>
          </w:rPr>
          <w:t>https://www.ala.org/rt/sites/ala.org.rt/files/content/SRRT/Resolutions/1993/1993_MovingConferenceFromColorado_FINAL.pdf</w:t>
        </w:r>
      </w:hyperlink>
      <w:r w:rsidR="006940F6" w:rsidRPr="002A7D5F">
        <w:rPr>
          <w:rFonts w:cstheme="minorHAnsi"/>
          <w:sz w:val="20"/>
          <w:szCs w:val="20"/>
        </w:rPr>
        <w:t xml:space="preserve">. </w:t>
      </w:r>
    </w:p>
    <w:p w14:paraId="5AA66D88" w14:textId="5A838445" w:rsidR="0076454C" w:rsidRPr="002A7D5F" w:rsidRDefault="006940F6" w:rsidP="008B0EF7">
      <w:pPr>
        <w:pStyle w:val="ListParagraph"/>
        <w:numPr>
          <w:ilvl w:val="0"/>
          <w:numId w:val="1"/>
        </w:numPr>
        <w:rPr>
          <w:rFonts w:cstheme="minorHAnsi"/>
          <w:sz w:val="20"/>
          <w:szCs w:val="20"/>
        </w:rPr>
      </w:pPr>
      <w:r w:rsidRPr="002A7D5F">
        <w:rPr>
          <w:rFonts w:cstheme="minorHAnsi"/>
          <w:sz w:val="20"/>
          <w:szCs w:val="20"/>
        </w:rPr>
        <w:t>In January 1993 ALA Council also approved a resolution stating that ALA would “enter into conference site contracts only with organizations and legal bodies in cities, counties, or states that do not explicitly discriminate against lesbian, gay, and bisexual people.”</w:t>
      </w:r>
      <w:r w:rsidR="008B0EF7" w:rsidRPr="002A7D5F">
        <w:rPr>
          <w:rFonts w:cstheme="minorHAnsi"/>
          <w:sz w:val="20"/>
          <w:szCs w:val="20"/>
        </w:rPr>
        <w:t xml:space="preserve"> Council Minutes, Midwinter Meeting, January 1993, and “Resolution on Conference Site Contracts,” </w:t>
      </w:r>
      <w:hyperlink r:id="rId6" w:history="1">
        <w:r w:rsidR="008B0EF7" w:rsidRPr="002A7D5F">
          <w:rPr>
            <w:rStyle w:val="Hyperlink"/>
            <w:rFonts w:cstheme="minorHAnsi"/>
            <w:sz w:val="20"/>
            <w:szCs w:val="20"/>
          </w:rPr>
          <w:t>https://www.ala.org/rt/sites/ala.org.rt/files/content/SRRT/Resolutions/1993/1993_ConferenceSiteContracts_FINAL.pdf</w:t>
        </w:r>
      </w:hyperlink>
      <w:r w:rsidR="003F4937" w:rsidRPr="002A7D5F">
        <w:rPr>
          <w:rStyle w:val="Hyperlink"/>
          <w:rFonts w:cstheme="minorHAnsi"/>
          <w:sz w:val="20"/>
          <w:szCs w:val="20"/>
        </w:rPr>
        <w:t>.</w:t>
      </w:r>
    </w:p>
  </w:endnote>
  <w:endnote w:id="3">
    <w:p w14:paraId="35A3123C" w14:textId="1690E254" w:rsidR="00F90486" w:rsidRPr="00903655" w:rsidRDefault="00F90486" w:rsidP="00B8718F">
      <w:pPr>
        <w:pStyle w:val="Heading1"/>
        <w:spacing w:before="0" w:beforeAutospacing="0" w:after="0" w:afterAutospacing="0"/>
        <w:rPr>
          <w:rFonts w:cstheme="minorHAnsi"/>
          <w:color w:val="423A38"/>
        </w:rPr>
      </w:pPr>
      <w:r w:rsidRPr="00B8718F">
        <w:rPr>
          <w:rStyle w:val="EndnoteReference"/>
          <w:rFonts w:asciiTheme="minorHAnsi" w:hAnsiTheme="minorHAnsi" w:cstheme="minorHAnsi"/>
          <w:b w:val="0"/>
          <w:bCs w:val="0"/>
          <w:sz w:val="20"/>
          <w:szCs w:val="20"/>
        </w:rPr>
        <w:endnoteRef/>
      </w:r>
      <w:r w:rsidRPr="00B8718F">
        <w:rPr>
          <w:rFonts w:asciiTheme="minorHAnsi" w:hAnsiTheme="minorHAnsi" w:cstheme="minorHAnsi"/>
          <w:b w:val="0"/>
          <w:bCs w:val="0"/>
          <w:sz w:val="20"/>
          <w:szCs w:val="20"/>
        </w:rPr>
        <w:t xml:space="preserve"> </w:t>
      </w:r>
      <w:r w:rsidRPr="00B8718F">
        <w:rPr>
          <w:rFonts w:asciiTheme="minorHAnsi" w:hAnsiTheme="minorHAnsi" w:cstheme="minorHAnsi"/>
          <w:b w:val="0"/>
          <w:bCs w:val="0"/>
          <w:color w:val="000000" w:themeColor="text1"/>
          <w:sz w:val="20"/>
          <w:szCs w:val="20"/>
        </w:rPr>
        <w:t xml:space="preserve">As of </w:t>
      </w:r>
      <w:r w:rsidR="0011409F" w:rsidRPr="00B8718F">
        <w:rPr>
          <w:rFonts w:asciiTheme="minorHAnsi" w:hAnsiTheme="minorHAnsi" w:cstheme="minorHAnsi"/>
          <w:b w:val="0"/>
          <w:bCs w:val="0"/>
          <w:color w:val="000000" w:themeColor="text1"/>
          <w:sz w:val="20"/>
          <w:szCs w:val="20"/>
        </w:rPr>
        <w:t>May</w:t>
      </w:r>
      <w:r w:rsidRPr="00B8718F">
        <w:rPr>
          <w:rFonts w:asciiTheme="minorHAnsi" w:hAnsiTheme="minorHAnsi" w:cstheme="minorHAnsi"/>
          <w:b w:val="0"/>
          <w:bCs w:val="0"/>
          <w:color w:val="000000" w:themeColor="text1"/>
          <w:sz w:val="20"/>
          <w:szCs w:val="20"/>
        </w:rPr>
        <w:t xml:space="preserve"> </w:t>
      </w:r>
      <w:r w:rsidR="0011409F" w:rsidRPr="00B8718F">
        <w:rPr>
          <w:rFonts w:asciiTheme="minorHAnsi" w:hAnsiTheme="minorHAnsi" w:cstheme="minorHAnsi"/>
          <w:b w:val="0"/>
          <w:bCs w:val="0"/>
          <w:color w:val="000000" w:themeColor="text1"/>
          <w:sz w:val="20"/>
          <w:szCs w:val="20"/>
        </w:rPr>
        <w:t>9</w:t>
      </w:r>
      <w:r w:rsidRPr="00B8718F">
        <w:rPr>
          <w:rFonts w:asciiTheme="minorHAnsi" w:hAnsiTheme="minorHAnsi" w:cstheme="minorHAnsi"/>
          <w:b w:val="0"/>
          <w:bCs w:val="0"/>
          <w:color w:val="000000" w:themeColor="text1"/>
          <w:sz w:val="20"/>
          <w:szCs w:val="20"/>
        </w:rPr>
        <w:t>, 2022, Palestine Legal list</w:t>
      </w:r>
      <w:r w:rsidR="003F4937" w:rsidRPr="00B8718F">
        <w:rPr>
          <w:rFonts w:asciiTheme="minorHAnsi" w:hAnsiTheme="minorHAnsi" w:cstheme="minorHAnsi"/>
          <w:b w:val="0"/>
          <w:bCs w:val="0"/>
          <w:color w:val="000000" w:themeColor="text1"/>
          <w:sz w:val="20"/>
          <w:szCs w:val="20"/>
        </w:rPr>
        <w:t>ed</w:t>
      </w:r>
      <w:r w:rsidRPr="00B8718F">
        <w:rPr>
          <w:rFonts w:asciiTheme="minorHAnsi" w:hAnsiTheme="minorHAnsi" w:cstheme="minorHAnsi"/>
          <w:b w:val="0"/>
          <w:bCs w:val="0"/>
          <w:color w:val="000000" w:themeColor="text1"/>
          <w:sz w:val="20"/>
          <w:szCs w:val="20"/>
        </w:rPr>
        <w:t xml:space="preserve"> 32 states that have passed </w:t>
      </w:r>
      <w:r w:rsidR="004003B5" w:rsidRPr="00B8718F">
        <w:rPr>
          <w:rFonts w:asciiTheme="minorHAnsi" w:hAnsiTheme="minorHAnsi" w:cstheme="minorHAnsi"/>
          <w:b w:val="0"/>
          <w:bCs w:val="0"/>
          <w:color w:val="000000" w:themeColor="text1"/>
          <w:sz w:val="20"/>
          <w:szCs w:val="20"/>
        </w:rPr>
        <w:t>“L</w:t>
      </w:r>
      <w:r w:rsidRPr="00B8718F">
        <w:rPr>
          <w:rFonts w:asciiTheme="minorHAnsi" w:hAnsiTheme="minorHAnsi" w:cstheme="minorHAnsi"/>
          <w:b w:val="0"/>
          <w:bCs w:val="0"/>
          <w:color w:val="000000" w:themeColor="text1"/>
          <w:sz w:val="20"/>
          <w:szCs w:val="20"/>
        </w:rPr>
        <w:t xml:space="preserve">egislation </w:t>
      </w:r>
      <w:r w:rsidR="004003B5" w:rsidRPr="00B8718F">
        <w:rPr>
          <w:rFonts w:asciiTheme="minorHAnsi" w:hAnsiTheme="minorHAnsi" w:cstheme="minorHAnsi"/>
          <w:b w:val="0"/>
          <w:bCs w:val="0"/>
          <w:color w:val="000000" w:themeColor="text1"/>
          <w:sz w:val="20"/>
          <w:szCs w:val="20"/>
        </w:rPr>
        <w:t xml:space="preserve">targeting advocacy for </w:t>
      </w:r>
      <w:r w:rsidRPr="00B8718F">
        <w:rPr>
          <w:rFonts w:asciiTheme="minorHAnsi" w:hAnsiTheme="minorHAnsi" w:cstheme="minorHAnsi"/>
          <w:b w:val="0"/>
          <w:bCs w:val="0"/>
          <w:color w:val="000000" w:themeColor="text1"/>
          <w:sz w:val="20"/>
          <w:szCs w:val="20"/>
        </w:rPr>
        <w:t>Palestinian rights.</w:t>
      </w:r>
      <w:r w:rsidR="004003B5" w:rsidRPr="00B8718F">
        <w:rPr>
          <w:rFonts w:asciiTheme="minorHAnsi" w:hAnsiTheme="minorHAnsi" w:cstheme="minorHAnsi"/>
          <w:b w:val="0"/>
          <w:bCs w:val="0"/>
          <w:color w:val="000000" w:themeColor="text1"/>
          <w:sz w:val="20"/>
          <w:szCs w:val="20"/>
        </w:rPr>
        <w:t>”</w:t>
      </w:r>
      <w:r w:rsidRPr="00B8718F">
        <w:rPr>
          <w:rFonts w:asciiTheme="minorHAnsi" w:hAnsiTheme="minorHAnsi" w:cstheme="minorHAnsi"/>
          <w:b w:val="0"/>
          <w:bCs w:val="0"/>
          <w:color w:val="FF0000"/>
          <w:sz w:val="20"/>
          <w:szCs w:val="20"/>
        </w:rPr>
        <w:t xml:space="preserve"> </w:t>
      </w:r>
      <w:r w:rsidRPr="00B8718F">
        <w:rPr>
          <w:rFonts w:asciiTheme="minorHAnsi" w:hAnsiTheme="minorHAnsi" w:cstheme="minorHAnsi"/>
          <w:b w:val="0"/>
          <w:bCs w:val="0"/>
          <w:sz w:val="20"/>
          <w:szCs w:val="20"/>
        </w:rPr>
        <w:t xml:space="preserve">See “Legislation,” Palestine Legal, </w:t>
      </w:r>
      <w:hyperlink r:id="rId7" w:history="1">
        <w:r w:rsidRPr="00B8718F">
          <w:rPr>
            <w:rStyle w:val="Hyperlink"/>
            <w:rFonts w:asciiTheme="minorHAnsi" w:hAnsiTheme="minorHAnsi" w:cstheme="minorHAnsi"/>
            <w:b w:val="0"/>
            <w:bCs w:val="0"/>
            <w:sz w:val="20"/>
            <w:szCs w:val="20"/>
          </w:rPr>
          <w:t>https://legislation.palestinelegal.org/</w:t>
        </w:r>
      </w:hyperlink>
      <w:r w:rsidR="007F606A" w:rsidRPr="00B8718F">
        <w:rPr>
          <w:rFonts w:asciiTheme="minorHAnsi" w:hAnsiTheme="minorHAnsi" w:cstheme="minorHAnsi"/>
          <w:b w:val="0"/>
          <w:bCs w:val="0"/>
          <w:sz w:val="20"/>
          <w:szCs w:val="20"/>
        </w:rPr>
        <w:t>.</w:t>
      </w:r>
      <w:r w:rsidRPr="00B8718F">
        <w:rPr>
          <w:rFonts w:asciiTheme="minorHAnsi" w:hAnsiTheme="minorHAnsi" w:cstheme="minorHAnsi"/>
          <w:b w:val="0"/>
          <w:bCs w:val="0"/>
          <w:sz w:val="20"/>
          <w:szCs w:val="20"/>
        </w:rPr>
        <w:t xml:space="preserve"> </w:t>
      </w:r>
      <w:bookmarkStart w:id="2" w:name="_Hlk105076917"/>
      <w:r w:rsidRPr="00B8718F">
        <w:rPr>
          <w:rFonts w:asciiTheme="minorHAnsi" w:hAnsiTheme="minorHAnsi" w:cstheme="minorHAnsi"/>
          <w:b w:val="0"/>
          <w:bCs w:val="0"/>
          <w:sz w:val="20"/>
          <w:szCs w:val="20"/>
        </w:rPr>
        <w:t>A current federal bill that would condone state penalization</w:t>
      </w:r>
      <w:r w:rsidR="009E1B37">
        <w:rPr>
          <w:rFonts w:asciiTheme="minorHAnsi" w:hAnsiTheme="minorHAnsi" w:cstheme="minorHAnsi"/>
          <w:b w:val="0"/>
          <w:bCs w:val="0"/>
          <w:sz w:val="20"/>
          <w:szCs w:val="20"/>
        </w:rPr>
        <w:t xml:space="preserve"> of contractors  boycotting Israel</w:t>
      </w:r>
      <w:r w:rsidRPr="00B8718F">
        <w:rPr>
          <w:rFonts w:asciiTheme="minorHAnsi" w:hAnsiTheme="minorHAnsi" w:cstheme="minorHAnsi"/>
          <w:b w:val="0"/>
          <w:bCs w:val="0"/>
          <w:sz w:val="20"/>
          <w:szCs w:val="20"/>
        </w:rPr>
        <w:t xml:space="preserve"> is the Combating BDS Act of 2021 (</w:t>
      </w:r>
      <w:hyperlink r:id="rId8" w:history="1">
        <w:r w:rsidRPr="00B8718F">
          <w:rPr>
            <w:rStyle w:val="Hyperlink"/>
            <w:rFonts w:asciiTheme="minorHAnsi" w:hAnsiTheme="minorHAnsi" w:cstheme="minorHAnsi"/>
            <w:b w:val="0"/>
            <w:bCs w:val="0"/>
            <w:sz w:val="20"/>
            <w:szCs w:val="20"/>
          </w:rPr>
          <w:t>https://www.congress.gov/bill/117th-congress/senate-bill/2119/text</w:t>
        </w:r>
      </w:hyperlink>
      <w:r w:rsidRPr="00B8718F">
        <w:rPr>
          <w:rFonts w:asciiTheme="minorHAnsi" w:hAnsiTheme="minorHAnsi" w:cstheme="minorHAnsi"/>
          <w:b w:val="0"/>
          <w:bCs w:val="0"/>
          <w:sz w:val="20"/>
          <w:szCs w:val="20"/>
        </w:rPr>
        <w:t xml:space="preserve"> ). </w:t>
      </w:r>
      <w:r w:rsidR="008475CD">
        <w:rPr>
          <w:rFonts w:asciiTheme="minorHAnsi" w:hAnsiTheme="minorHAnsi" w:cstheme="minorHAnsi"/>
          <w:b w:val="0"/>
          <w:bCs w:val="0"/>
          <w:sz w:val="20"/>
          <w:szCs w:val="20"/>
        </w:rPr>
        <w:t xml:space="preserve">As ALA’s Office for Intellectual Freedom explained regarding the 2019 version of this bill, the </w:t>
      </w:r>
      <w:r w:rsidR="00D00AF0">
        <w:rPr>
          <w:rFonts w:asciiTheme="minorHAnsi" w:hAnsiTheme="minorHAnsi" w:cstheme="minorHAnsi"/>
          <w:b w:val="0"/>
          <w:bCs w:val="0"/>
          <w:sz w:val="20"/>
          <w:szCs w:val="20"/>
        </w:rPr>
        <w:t>act “operates so as to allow states to pass anti-boycott laws that cannot be blocked or overturned on the grounds that federal law or foreign policy pre-empts state anti- boycott laws.” Office for Intellectual Freedom, “Draft—Not Final” document distributed at ALA Midwinter meeting 2020, point #4. Or</w:t>
      </w:r>
      <w:r w:rsidR="00571FEE">
        <w:rPr>
          <w:rFonts w:asciiTheme="minorHAnsi" w:hAnsiTheme="minorHAnsi" w:cstheme="minorHAnsi"/>
          <w:b w:val="0"/>
          <w:bCs w:val="0"/>
          <w:sz w:val="20"/>
          <w:szCs w:val="20"/>
        </w:rPr>
        <w:t>,</w:t>
      </w:r>
      <w:r w:rsidR="00D00AF0">
        <w:rPr>
          <w:rFonts w:asciiTheme="minorHAnsi" w:hAnsiTheme="minorHAnsi" w:cstheme="minorHAnsi"/>
          <w:b w:val="0"/>
          <w:bCs w:val="0"/>
          <w:sz w:val="20"/>
          <w:szCs w:val="20"/>
        </w:rPr>
        <w:t xml:space="preserve"> a</w:t>
      </w:r>
      <w:r w:rsidR="007151E4" w:rsidRPr="00B8718F">
        <w:rPr>
          <w:rFonts w:asciiTheme="minorHAnsi" w:hAnsiTheme="minorHAnsi" w:cstheme="minorHAnsi"/>
          <w:b w:val="0"/>
          <w:bCs w:val="0"/>
          <w:sz w:val="20"/>
          <w:szCs w:val="20"/>
        </w:rPr>
        <w:t>s the ACLU explained regarding the 2019 version of this bill, “The Combating BDS Act would condone state laws penalizing businesses and individuals who participate in boycott, divestment, or sanctions (</w:t>
      </w:r>
      <w:r w:rsidR="00D04A59" w:rsidRPr="00B8718F">
        <w:rPr>
          <w:rFonts w:asciiTheme="minorHAnsi" w:hAnsiTheme="minorHAnsi" w:cstheme="minorHAnsi"/>
          <w:b w:val="0"/>
          <w:bCs w:val="0"/>
          <w:sz w:val="20"/>
          <w:szCs w:val="20"/>
        </w:rPr>
        <w:t>‘</w:t>
      </w:r>
      <w:r w:rsidR="007151E4" w:rsidRPr="00B8718F">
        <w:rPr>
          <w:rFonts w:asciiTheme="minorHAnsi" w:hAnsiTheme="minorHAnsi" w:cstheme="minorHAnsi"/>
          <w:b w:val="0"/>
          <w:bCs w:val="0"/>
          <w:sz w:val="20"/>
          <w:szCs w:val="20"/>
        </w:rPr>
        <w:t>BDS</w:t>
      </w:r>
      <w:r w:rsidR="00D04A59" w:rsidRPr="00B8718F">
        <w:rPr>
          <w:rFonts w:asciiTheme="minorHAnsi" w:hAnsiTheme="minorHAnsi" w:cstheme="minorHAnsi"/>
          <w:b w:val="0"/>
          <w:bCs w:val="0"/>
          <w:sz w:val="20"/>
          <w:szCs w:val="20"/>
        </w:rPr>
        <w:t>’</w:t>
      </w:r>
      <w:r w:rsidR="007151E4" w:rsidRPr="00B8718F">
        <w:rPr>
          <w:rFonts w:asciiTheme="minorHAnsi" w:hAnsiTheme="minorHAnsi" w:cstheme="minorHAnsi"/>
          <w:b w:val="0"/>
          <w:bCs w:val="0"/>
          <w:sz w:val="20"/>
          <w:szCs w:val="20"/>
        </w:rPr>
        <w:t xml:space="preserve">) activities and other politically motivated boycotts against Israel and Israeli-controlled territories.” </w:t>
      </w:r>
      <w:hyperlink r:id="rId9" w:history="1">
        <w:r w:rsidR="004003B5" w:rsidRPr="00B8718F">
          <w:rPr>
            <w:rStyle w:val="Hyperlink"/>
            <w:rFonts w:asciiTheme="minorHAnsi" w:hAnsiTheme="minorHAnsi" w:cstheme="minorHAnsi"/>
            <w:b w:val="0"/>
            <w:bCs w:val="0"/>
            <w:sz w:val="20"/>
            <w:szCs w:val="20"/>
          </w:rPr>
          <w:t>https://www.aclu.org/sites/default/files/field_document/2019-02-05_aclu_vote_recommendation_on_s._1.pdf</w:t>
        </w:r>
      </w:hyperlink>
      <w:r w:rsidR="007151E4" w:rsidRPr="00B8718F">
        <w:rPr>
          <w:rFonts w:asciiTheme="minorHAnsi" w:hAnsiTheme="minorHAnsi" w:cstheme="minorHAnsi"/>
          <w:b w:val="0"/>
          <w:bCs w:val="0"/>
          <w:sz w:val="20"/>
          <w:szCs w:val="20"/>
        </w:rPr>
        <w:t xml:space="preserve">. </w:t>
      </w:r>
      <w:r w:rsidRPr="00B8718F">
        <w:rPr>
          <w:rFonts w:asciiTheme="minorHAnsi" w:hAnsiTheme="minorHAnsi" w:cstheme="minorHAnsi"/>
          <w:b w:val="0"/>
          <w:bCs w:val="0"/>
          <w:sz w:val="20"/>
          <w:szCs w:val="20"/>
        </w:rPr>
        <w:t>Earlier incarnations of this bill were the Combating BDS Act of 2019 (</w:t>
      </w:r>
      <w:hyperlink r:id="rId10" w:history="1">
        <w:r w:rsidRPr="00B8718F">
          <w:rPr>
            <w:rStyle w:val="Hyperlink"/>
            <w:rFonts w:asciiTheme="minorHAnsi" w:hAnsiTheme="minorHAnsi" w:cstheme="minorHAnsi"/>
            <w:b w:val="0"/>
            <w:bCs w:val="0"/>
            <w:sz w:val="20"/>
            <w:szCs w:val="20"/>
          </w:rPr>
          <w:t>https://www.congress.gov/bill/116th-congress/senate-bill/1/text</w:t>
        </w:r>
      </w:hyperlink>
      <w:r w:rsidRPr="00B8718F">
        <w:rPr>
          <w:rFonts w:asciiTheme="minorHAnsi" w:hAnsiTheme="minorHAnsi" w:cstheme="minorHAnsi"/>
          <w:b w:val="0"/>
          <w:bCs w:val="0"/>
          <w:sz w:val="20"/>
          <w:szCs w:val="20"/>
        </w:rPr>
        <w:t>)</w:t>
      </w:r>
      <w:r w:rsidR="0038360A" w:rsidRPr="00B8718F">
        <w:rPr>
          <w:rFonts w:asciiTheme="minorHAnsi" w:hAnsiTheme="minorHAnsi" w:cstheme="minorHAnsi"/>
          <w:b w:val="0"/>
          <w:bCs w:val="0"/>
          <w:sz w:val="20"/>
          <w:szCs w:val="20"/>
        </w:rPr>
        <w:t>,</w:t>
      </w:r>
      <w:r w:rsidRPr="00B8718F">
        <w:rPr>
          <w:rFonts w:asciiTheme="minorHAnsi" w:hAnsiTheme="minorHAnsi" w:cstheme="minorHAnsi"/>
          <w:b w:val="0"/>
          <w:bCs w:val="0"/>
          <w:sz w:val="20"/>
          <w:szCs w:val="20"/>
        </w:rPr>
        <w:t xml:space="preserve"> the Combating BDS Act of 2017 (</w:t>
      </w:r>
      <w:hyperlink r:id="rId11" w:history="1">
        <w:r w:rsidRPr="00B8718F">
          <w:rPr>
            <w:rStyle w:val="Hyperlink"/>
            <w:rFonts w:asciiTheme="minorHAnsi" w:hAnsiTheme="minorHAnsi" w:cstheme="minorHAnsi"/>
            <w:b w:val="0"/>
            <w:bCs w:val="0"/>
            <w:sz w:val="20"/>
            <w:szCs w:val="20"/>
          </w:rPr>
          <w:t>https://www.congress.gov/bill/115th-congress/senate-bill/170/text</w:t>
        </w:r>
      </w:hyperlink>
      <w:r w:rsidRPr="00B8718F">
        <w:rPr>
          <w:rFonts w:asciiTheme="minorHAnsi" w:hAnsiTheme="minorHAnsi" w:cstheme="minorHAnsi"/>
          <w:b w:val="0"/>
          <w:bCs w:val="0"/>
          <w:sz w:val="20"/>
          <w:szCs w:val="20"/>
        </w:rPr>
        <w:t xml:space="preserve"> )</w:t>
      </w:r>
      <w:r w:rsidR="0038360A" w:rsidRPr="00B8718F">
        <w:rPr>
          <w:rFonts w:asciiTheme="minorHAnsi" w:hAnsiTheme="minorHAnsi" w:cstheme="minorHAnsi"/>
          <w:b w:val="0"/>
          <w:bCs w:val="0"/>
          <w:sz w:val="20"/>
          <w:szCs w:val="20"/>
        </w:rPr>
        <w:t>,</w:t>
      </w:r>
      <w:r w:rsidRPr="00B8718F">
        <w:rPr>
          <w:rFonts w:asciiTheme="minorHAnsi" w:hAnsiTheme="minorHAnsi" w:cstheme="minorHAnsi"/>
          <w:b w:val="0"/>
          <w:bCs w:val="0"/>
          <w:sz w:val="20"/>
          <w:szCs w:val="20"/>
        </w:rPr>
        <w:t xml:space="preserve"> and the Combating BDS Act of 2016 (</w:t>
      </w:r>
      <w:hyperlink r:id="rId12" w:history="1">
        <w:r w:rsidRPr="00B8718F">
          <w:rPr>
            <w:rStyle w:val="Hyperlink"/>
            <w:rFonts w:asciiTheme="minorHAnsi" w:hAnsiTheme="minorHAnsi" w:cstheme="minorHAnsi"/>
            <w:b w:val="0"/>
            <w:bCs w:val="0"/>
            <w:sz w:val="20"/>
            <w:szCs w:val="20"/>
          </w:rPr>
          <w:t>https://www.congress.gov/bill/114th-congress/senate-bill/2531/text</w:t>
        </w:r>
      </w:hyperlink>
      <w:bookmarkEnd w:id="2"/>
      <w:r w:rsidRPr="00B8718F">
        <w:rPr>
          <w:rFonts w:asciiTheme="minorHAnsi" w:hAnsiTheme="minorHAnsi" w:cstheme="minorHAnsi"/>
          <w:b w:val="0"/>
          <w:bCs w:val="0"/>
          <w:sz w:val="20"/>
          <w:szCs w:val="20"/>
        </w:rPr>
        <w:t xml:space="preserve">). A </w:t>
      </w:r>
      <w:r w:rsidR="004003B5" w:rsidRPr="00B8718F">
        <w:rPr>
          <w:rFonts w:asciiTheme="minorHAnsi" w:hAnsiTheme="minorHAnsi" w:cstheme="minorHAnsi"/>
          <w:b w:val="0"/>
          <w:bCs w:val="0"/>
          <w:sz w:val="20"/>
          <w:szCs w:val="20"/>
        </w:rPr>
        <w:t xml:space="preserve">current </w:t>
      </w:r>
      <w:r w:rsidRPr="00B8718F">
        <w:rPr>
          <w:rFonts w:asciiTheme="minorHAnsi" w:hAnsiTheme="minorHAnsi" w:cstheme="minorHAnsi"/>
          <w:b w:val="0"/>
          <w:bCs w:val="0"/>
          <w:sz w:val="20"/>
          <w:szCs w:val="20"/>
        </w:rPr>
        <w:t>bill that would criminalize participation in boycotts of Israel and its settlements is the Israel Anti-Boycott Act (</w:t>
      </w:r>
      <w:hyperlink r:id="rId13" w:history="1">
        <w:r w:rsidRPr="00B8718F">
          <w:rPr>
            <w:rStyle w:val="Hyperlink"/>
            <w:rFonts w:asciiTheme="minorHAnsi" w:hAnsiTheme="minorHAnsi" w:cstheme="minorHAnsi"/>
            <w:b w:val="0"/>
            <w:bCs w:val="0"/>
            <w:sz w:val="20"/>
            <w:szCs w:val="20"/>
          </w:rPr>
          <w:t>https://www.congress.gov/bill/117th-congress/house-bill/6940/text</w:t>
        </w:r>
      </w:hyperlink>
      <w:r w:rsidRPr="00B8718F">
        <w:rPr>
          <w:rFonts w:asciiTheme="minorHAnsi" w:hAnsiTheme="minorHAnsi" w:cstheme="minorHAnsi"/>
          <w:b w:val="0"/>
          <w:bCs w:val="0"/>
          <w:sz w:val="20"/>
          <w:szCs w:val="20"/>
        </w:rPr>
        <w:t xml:space="preserve"> ). Previous versions were introduced in 2020 (</w:t>
      </w:r>
      <w:hyperlink r:id="rId14" w:history="1">
        <w:r w:rsidRPr="00B8718F">
          <w:rPr>
            <w:rStyle w:val="Hyperlink"/>
            <w:rFonts w:asciiTheme="minorHAnsi" w:hAnsiTheme="minorHAnsi" w:cstheme="minorHAnsi"/>
            <w:b w:val="0"/>
            <w:bCs w:val="0"/>
            <w:sz w:val="20"/>
            <w:szCs w:val="20"/>
          </w:rPr>
          <w:t>https://www.congress.gov/bill/116th-congress/house-bill/5595/text</w:t>
        </w:r>
      </w:hyperlink>
      <w:r w:rsidRPr="00B8718F">
        <w:rPr>
          <w:rFonts w:asciiTheme="minorHAnsi" w:hAnsiTheme="minorHAnsi" w:cstheme="minorHAnsi"/>
          <w:b w:val="0"/>
          <w:bCs w:val="0"/>
          <w:sz w:val="20"/>
          <w:szCs w:val="20"/>
        </w:rPr>
        <w:t>) and 201</w:t>
      </w:r>
      <w:r w:rsidR="00B72816">
        <w:rPr>
          <w:rFonts w:asciiTheme="minorHAnsi" w:hAnsiTheme="minorHAnsi" w:cstheme="minorHAnsi"/>
          <w:b w:val="0"/>
          <w:bCs w:val="0"/>
          <w:sz w:val="20"/>
          <w:szCs w:val="20"/>
        </w:rPr>
        <w:t>7</w:t>
      </w:r>
      <w:r w:rsidRPr="00B8718F">
        <w:rPr>
          <w:rFonts w:asciiTheme="minorHAnsi" w:hAnsiTheme="minorHAnsi" w:cstheme="minorHAnsi"/>
          <w:b w:val="0"/>
          <w:bCs w:val="0"/>
          <w:sz w:val="20"/>
          <w:szCs w:val="20"/>
        </w:rPr>
        <w:t xml:space="preserve"> (</w:t>
      </w:r>
      <w:hyperlink r:id="rId15" w:history="1">
        <w:r w:rsidRPr="00B8718F">
          <w:rPr>
            <w:rStyle w:val="Hyperlink"/>
            <w:rFonts w:asciiTheme="minorHAnsi" w:hAnsiTheme="minorHAnsi" w:cstheme="minorHAnsi"/>
            <w:b w:val="0"/>
            <w:bCs w:val="0"/>
            <w:sz w:val="20"/>
            <w:szCs w:val="20"/>
          </w:rPr>
          <w:t>https://www.congress.gov/bill/115th-congress/house-bill/1697/text</w:t>
        </w:r>
      </w:hyperlink>
      <w:r w:rsidRPr="00B8718F">
        <w:rPr>
          <w:rFonts w:asciiTheme="minorHAnsi" w:hAnsiTheme="minorHAnsi" w:cstheme="minorHAnsi"/>
          <w:b w:val="0"/>
          <w:bCs w:val="0"/>
          <w:sz w:val="20"/>
          <w:szCs w:val="20"/>
        </w:rPr>
        <w:t xml:space="preserve"> ). For a complete list of current and past federal bills targeting supporters of Palestinian rights, see </w:t>
      </w:r>
      <w:hyperlink r:id="rId16" w:anchor="federal" w:history="1">
        <w:r w:rsidRPr="00B8718F">
          <w:rPr>
            <w:rStyle w:val="Hyperlink"/>
            <w:rFonts w:asciiTheme="minorHAnsi" w:hAnsiTheme="minorHAnsi" w:cstheme="minorHAnsi"/>
            <w:b w:val="0"/>
            <w:bCs w:val="0"/>
            <w:sz w:val="20"/>
            <w:szCs w:val="20"/>
          </w:rPr>
          <w:t>https://legislation.palestinelegal.org/#federal</w:t>
        </w:r>
      </w:hyperlink>
      <w:r w:rsidRPr="00B8718F">
        <w:rPr>
          <w:rFonts w:asciiTheme="minorHAnsi" w:hAnsiTheme="minorHAnsi" w:cstheme="minorHAnsi"/>
          <w:b w:val="0"/>
          <w:bCs w:val="0"/>
          <w:sz w:val="20"/>
          <w:szCs w:val="20"/>
        </w:rPr>
        <w:t>.</w:t>
      </w:r>
    </w:p>
  </w:endnote>
  <w:endnote w:id="4">
    <w:p w14:paraId="41FC05EC" w14:textId="1F5D5E9D" w:rsidR="005856C3" w:rsidRPr="000F651E" w:rsidRDefault="005856C3" w:rsidP="000F651E">
      <w:pPr>
        <w:pStyle w:val="Heading1"/>
        <w:shd w:val="clear" w:color="auto" w:fill="FFFFFF"/>
        <w:spacing w:before="0" w:beforeAutospacing="0" w:after="0" w:afterAutospacing="0"/>
        <w:textAlignment w:val="baseline"/>
        <w:rPr>
          <w:rFonts w:asciiTheme="minorHAnsi" w:hAnsiTheme="minorHAnsi" w:cstheme="minorHAnsi"/>
          <w:b w:val="0"/>
          <w:bCs w:val="0"/>
          <w:sz w:val="20"/>
          <w:szCs w:val="20"/>
        </w:rPr>
      </w:pPr>
      <w:r w:rsidRPr="000F651E">
        <w:rPr>
          <w:rStyle w:val="EndnoteReference"/>
          <w:rFonts w:asciiTheme="minorHAnsi" w:hAnsiTheme="minorHAnsi" w:cstheme="minorHAnsi"/>
          <w:b w:val="0"/>
          <w:bCs w:val="0"/>
          <w:sz w:val="20"/>
          <w:szCs w:val="20"/>
        </w:rPr>
        <w:endnoteRef/>
      </w:r>
      <w:r w:rsidRPr="000F651E">
        <w:rPr>
          <w:rFonts w:asciiTheme="minorHAnsi" w:hAnsiTheme="minorHAnsi" w:cstheme="minorHAnsi"/>
          <w:b w:val="0"/>
          <w:bCs w:val="0"/>
          <w:sz w:val="20"/>
          <w:szCs w:val="20"/>
        </w:rPr>
        <w:t xml:space="preserve"> S.B. 13, 2021,Texas</w:t>
      </w:r>
      <w:r w:rsidR="00E17C01" w:rsidRPr="000F651E">
        <w:rPr>
          <w:rFonts w:asciiTheme="minorHAnsi" w:hAnsiTheme="minorHAnsi" w:cstheme="minorHAnsi"/>
          <w:b w:val="0"/>
          <w:bCs w:val="0"/>
          <w:sz w:val="20"/>
          <w:szCs w:val="20"/>
        </w:rPr>
        <w:t xml:space="preserve">, </w:t>
      </w:r>
      <w:hyperlink r:id="rId17" w:anchor="navpanes=0" w:history="1">
        <w:r w:rsidR="00311C10" w:rsidRPr="000F651E">
          <w:rPr>
            <w:rStyle w:val="Hyperlink"/>
            <w:rFonts w:asciiTheme="minorHAnsi" w:hAnsiTheme="minorHAnsi" w:cstheme="minorHAnsi"/>
            <w:b w:val="0"/>
            <w:bCs w:val="0"/>
            <w:sz w:val="20"/>
            <w:szCs w:val="20"/>
          </w:rPr>
          <w:t>https://capitol.texas.gov/tlodocs/87R/billtext/pdf/SB00013F.pdf#navpanes=0</w:t>
        </w:r>
      </w:hyperlink>
      <w:r w:rsidRPr="000F651E">
        <w:rPr>
          <w:rFonts w:asciiTheme="minorHAnsi" w:hAnsiTheme="minorHAnsi" w:cstheme="minorHAnsi"/>
          <w:b w:val="0"/>
          <w:bCs w:val="0"/>
          <w:sz w:val="20"/>
          <w:szCs w:val="20"/>
        </w:rPr>
        <w:t xml:space="preserve">. </w:t>
      </w:r>
    </w:p>
    <w:p w14:paraId="7C7C013A" w14:textId="54350DC2" w:rsidR="005856C3" w:rsidRPr="002A7D5F" w:rsidRDefault="005856C3" w:rsidP="000F651E">
      <w:pPr>
        <w:pStyle w:val="Heading1"/>
        <w:shd w:val="clear" w:color="auto" w:fill="FFFFFF"/>
        <w:spacing w:before="0" w:beforeAutospacing="0" w:after="0" w:afterAutospacing="0"/>
        <w:textAlignment w:val="baseline"/>
        <w:rPr>
          <w:rFonts w:asciiTheme="minorHAnsi" w:hAnsiTheme="minorHAnsi" w:cstheme="minorHAnsi"/>
          <w:b w:val="0"/>
          <w:bCs w:val="0"/>
          <w:color w:val="AB0613"/>
          <w:sz w:val="20"/>
          <w:szCs w:val="20"/>
        </w:rPr>
      </w:pPr>
      <w:r w:rsidRPr="000F651E">
        <w:rPr>
          <w:rFonts w:asciiTheme="minorHAnsi" w:hAnsiTheme="minorHAnsi" w:cstheme="minorHAnsi"/>
          <w:b w:val="0"/>
          <w:bCs w:val="0"/>
          <w:sz w:val="20"/>
          <w:szCs w:val="20"/>
        </w:rPr>
        <w:t xml:space="preserve">Other states </w:t>
      </w:r>
      <w:r w:rsidR="00540505" w:rsidRPr="000F651E">
        <w:rPr>
          <w:rFonts w:asciiTheme="minorHAnsi" w:hAnsiTheme="minorHAnsi" w:cstheme="minorHAnsi"/>
          <w:b w:val="0"/>
          <w:bCs w:val="0"/>
          <w:sz w:val="20"/>
          <w:szCs w:val="20"/>
        </w:rPr>
        <w:t xml:space="preserve">that have introduced such legislation </w:t>
      </w:r>
      <w:r w:rsidRPr="000F651E">
        <w:rPr>
          <w:rFonts w:asciiTheme="minorHAnsi" w:hAnsiTheme="minorHAnsi" w:cstheme="minorHAnsi"/>
          <w:b w:val="0"/>
          <w:bCs w:val="0"/>
          <w:sz w:val="20"/>
          <w:szCs w:val="20"/>
        </w:rPr>
        <w:t xml:space="preserve">include Indiana, </w:t>
      </w:r>
      <w:r w:rsidRPr="000F651E">
        <w:rPr>
          <w:rFonts w:asciiTheme="minorHAnsi" w:hAnsiTheme="minorHAnsi" w:cstheme="minorHAnsi"/>
          <w:b w:val="0"/>
          <w:bCs w:val="0"/>
          <w:sz w:val="20"/>
          <w:szCs w:val="20"/>
          <w:shd w:val="clear" w:color="auto" w:fill="FFFFFF"/>
        </w:rPr>
        <w:t xml:space="preserve">West Virginia, Louisiana, and Oklahoma. See </w:t>
      </w:r>
      <w:r w:rsidRPr="000F651E">
        <w:rPr>
          <w:rFonts w:asciiTheme="minorHAnsi" w:hAnsiTheme="minorHAnsi" w:cstheme="minorHAnsi"/>
          <w:b w:val="0"/>
          <w:bCs w:val="0"/>
          <w:sz w:val="20"/>
          <w:szCs w:val="20"/>
        </w:rPr>
        <w:t>Alex Kane, “</w:t>
      </w:r>
      <w:r w:rsidRPr="000F651E">
        <w:rPr>
          <w:rFonts w:asciiTheme="minorHAnsi" w:hAnsiTheme="minorHAnsi" w:cstheme="minorHAnsi"/>
          <w:b w:val="0"/>
          <w:bCs w:val="0"/>
          <w:color w:val="333333"/>
          <w:sz w:val="20"/>
          <w:szCs w:val="20"/>
        </w:rPr>
        <w:t xml:space="preserve">What the Fossil Fuel Industry Learned from Anti-BDS Laws,” </w:t>
      </w:r>
      <w:r w:rsidRPr="000F651E">
        <w:rPr>
          <w:rFonts w:asciiTheme="minorHAnsi" w:hAnsiTheme="minorHAnsi" w:cstheme="minorHAnsi"/>
          <w:b w:val="0"/>
          <w:bCs w:val="0"/>
          <w:i/>
          <w:iCs/>
          <w:color w:val="333333"/>
          <w:sz w:val="20"/>
          <w:szCs w:val="20"/>
        </w:rPr>
        <w:t>Jewish Currents</w:t>
      </w:r>
      <w:r w:rsidRPr="000F651E">
        <w:rPr>
          <w:rFonts w:asciiTheme="minorHAnsi" w:hAnsiTheme="minorHAnsi" w:cstheme="minorHAnsi"/>
          <w:b w:val="0"/>
          <w:bCs w:val="0"/>
          <w:color w:val="333333"/>
          <w:sz w:val="20"/>
          <w:szCs w:val="20"/>
        </w:rPr>
        <w:t xml:space="preserve">, April 4, 2022, </w:t>
      </w:r>
      <w:hyperlink r:id="rId18" w:history="1">
        <w:r w:rsidRPr="000F651E">
          <w:rPr>
            <w:rStyle w:val="Hyperlink"/>
            <w:rFonts w:asciiTheme="minorHAnsi" w:hAnsiTheme="minorHAnsi" w:cstheme="minorHAnsi"/>
            <w:b w:val="0"/>
            <w:bCs w:val="0"/>
            <w:sz w:val="20"/>
            <w:szCs w:val="20"/>
          </w:rPr>
          <w:t>https://jewishcurrents.org/what-the-fossil-fuel-industry-learned-from-anti-bds-laws</w:t>
        </w:r>
      </w:hyperlink>
      <w:r w:rsidRPr="002A7D5F">
        <w:rPr>
          <w:rFonts w:asciiTheme="minorHAnsi" w:hAnsiTheme="minorHAnsi" w:cstheme="minorHAnsi"/>
          <w:b w:val="0"/>
          <w:bCs w:val="0"/>
          <w:color w:val="333333"/>
          <w:sz w:val="20"/>
          <w:szCs w:val="20"/>
        </w:rPr>
        <w:t xml:space="preserve">; Chris McGreal, </w:t>
      </w:r>
      <w:r w:rsidRPr="002A7D5F">
        <w:rPr>
          <w:rFonts w:asciiTheme="minorHAnsi" w:hAnsiTheme="minorHAnsi" w:cstheme="minorHAnsi"/>
          <w:b w:val="0"/>
          <w:bCs w:val="0"/>
          <w:sz w:val="20"/>
          <w:szCs w:val="20"/>
        </w:rPr>
        <w:t xml:space="preserve">“Rightwing lobby group Alec driving laws to blacklist companies that boycott the oil industry, </w:t>
      </w:r>
      <w:r w:rsidRPr="002A7D5F">
        <w:rPr>
          <w:rFonts w:asciiTheme="minorHAnsi" w:hAnsiTheme="minorHAnsi" w:cstheme="minorHAnsi"/>
          <w:b w:val="0"/>
          <w:bCs w:val="0"/>
          <w:i/>
          <w:iCs/>
          <w:sz w:val="20"/>
          <w:szCs w:val="20"/>
        </w:rPr>
        <w:t>The Guardian</w:t>
      </w:r>
      <w:r w:rsidRPr="002A7D5F">
        <w:rPr>
          <w:rFonts w:asciiTheme="minorHAnsi" w:hAnsiTheme="minorHAnsi" w:cstheme="minorHAnsi"/>
          <w:b w:val="0"/>
          <w:bCs w:val="0"/>
          <w:sz w:val="20"/>
          <w:szCs w:val="20"/>
        </w:rPr>
        <w:t>, February 8, 2022,</w:t>
      </w:r>
      <w:r w:rsidRPr="002A7D5F">
        <w:rPr>
          <w:rFonts w:asciiTheme="minorHAnsi" w:hAnsiTheme="minorHAnsi" w:cstheme="minorHAnsi"/>
          <w:b w:val="0"/>
          <w:bCs w:val="0"/>
          <w:color w:val="AB0613"/>
          <w:sz w:val="20"/>
          <w:szCs w:val="20"/>
        </w:rPr>
        <w:t xml:space="preserve"> </w:t>
      </w:r>
      <w:hyperlink r:id="rId19" w:history="1">
        <w:r w:rsidRPr="002A7D5F">
          <w:rPr>
            <w:rStyle w:val="Hyperlink"/>
            <w:rFonts w:asciiTheme="minorHAnsi" w:hAnsiTheme="minorHAnsi" w:cstheme="minorHAnsi"/>
            <w:b w:val="0"/>
            <w:bCs w:val="0"/>
            <w:sz w:val="20"/>
            <w:szCs w:val="20"/>
          </w:rPr>
          <w:t>https://www.theguardian.com/environment/2022/feb/08/rightwing-lobby-alec-blacklist-companies-boycott-oil-industry</w:t>
        </w:r>
      </w:hyperlink>
      <w:r w:rsidRPr="002A7D5F">
        <w:rPr>
          <w:rFonts w:asciiTheme="minorHAnsi" w:hAnsiTheme="minorHAnsi" w:cstheme="minorHAnsi"/>
          <w:sz w:val="20"/>
          <w:szCs w:val="20"/>
        </w:rPr>
        <w:t xml:space="preserve">; </w:t>
      </w:r>
      <w:r w:rsidRPr="002A7D5F">
        <w:rPr>
          <w:rFonts w:asciiTheme="minorHAnsi" w:hAnsiTheme="minorHAnsi" w:cstheme="minorHAnsi"/>
          <w:b w:val="0"/>
          <w:bCs w:val="0"/>
          <w:sz w:val="20"/>
          <w:szCs w:val="20"/>
          <w:shd w:val="clear" w:color="auto" w:fill="FFFFFF"/>
        </w:rPr>
        <w:t xml:space="preserve">David </w:t>
      </w:r>
      <w:proofErr w:type="spellStart"/>
      <w:r w:rsidRPr="002A7D5F">
        <w:rPr>
          <w:rFonts w:asciiTheme="minorHAnsi" w:hAnsiTheme="minorHAnsi" w:cstheme="minorHAnsi"/>
          <w:b w:val="0"/>
          <w:bCs w:val="0"/>
          <w:sz w:val="20"/>
          <w:szCs w:val="20"/>
          <w:shd w:val="clear" w:color="auto" w:fill="FFFFFF"/>
        </w:rPr>
        <w:t>Armiak</w:t>
      </w:r>
      <w:proofErr w:type="spellEnd"/>
      <w:r w:rsidRPr="002A7D5F">
        <w:rPr>
          <w:rFonts w:asciiTheme="minorHAnsi" w:hAnsiTheme="minorHAnsi" w:cstheme="minorHAnsi"/>
          <w:b w:val="0"/>
          <w:bCs w:val="0"/>
          <w:sz w:val="20"/>
          <w:szCs w:val="20"/>
          <w:shd w:val="clear" w:color="auto" w:fill="FFFFFF"/>
        </w:rPr>
        <w:t>, “</w:t>
      </w:r>
      <w:r w:rsidR="004B0ABD">
        <w:rPr>
          <w:rFonts w:asciiTheme="minorHAnsi" w:hAnsiTheme="minorHAnsi" w:cstheme="minorHAnsi"/>
          <w:b w:val="0"/>
          <w:bCs w:val="0"/>
          <w:sz w:val="20"/>
          <w:szCs w:val="20"/>
          <w:shd w:val="clear" w:color="auto" w:fill="FFFFFF"/>
        </w:rPr>
        <w:t>A</w:t>
      </w:r>
      <w:r w:rsidRPr="002A7D5F">
        <w:rPr>
          <w:rFonts w:asciiTheme="minorHAnsi" w:hAnsiTheme="minorHAnsi" w:cstheme="minorHAnsi"/>
          <w:b w:val="0"/>
          <w:bCs w:val="0"/>
          <w:color w:val="000000"/>
          <w:sz w:val="20"/>
          <w:szCs w:val="20"/>
        </w:rPr>
        <w:t>LEC’s ‘Critical Energy Theory’ Bills Moving in Four States,” Exposed by CMD, Center for Media and Democracy, February 8, 2022,</w:t>
      </w:r>
    </w:p>
    <w:p w14:paraId="5146E2CC" w14:textId="70D78DCD" w:rsidR="009D20FB" w:rsidRDefault="005856C3" w:rsidP="004E782C">
      <w:pPr>
        <w:pStyle w:val="Heading1"/>
        <w:shd w:val="clear" w:color="auto" w:fill="FFFFFF"/>
        <w:spacing w:before="0" w:beforeAutospacing="0" w:after="0" w:afterAutospacing="0"/>
        <w:textAlignment w:val="baseline"/>
        <w:rPr>
          <w:rFonts w:asciiTheme="minorHAnsi" w:hAnsiTheme="minorHAnsi" w:cstheme="minorHAnsi"/>
          <w:b w:val="0"/>
          <w:bCs w:val="0"/>
          <w:sz w:val="20"/>
          <w:szCs w:val="20"/>
        </w:rPr>
      </w:pPr>
      <w:r w:rsidRPr="002A7D5F">
        <w:rPr>
          <w:rFonts w:asciiTheme="minorHAnsi" w:hAnsiTheme="minorHAnsi" w:cstheme="minorHAnsi"/>
          <w:sz w:val="20"/>
          <w:szCs w:val="20"/>
          <w:shd w:val="clear" w:color="auto" w:fill="FFFFFF"/>
        </w:rPr>
        <w:t xml:space="preserve"> </w:t>
      </w:r>
      <w:hyperlink r:id="rId20" w:history="1">
        <w:r w:rsidRPr="002A7D5F">
          <w:rPr>
            <w:rStyle w:val="Hyperlink"/>
            <w:rFonts w:asciiTheme="minorHAnsi" w:hAnsiTheme="minorHAnsi" w:cstheme="minorHAnsi"/>
            <w:b w:val="0"/>
            <w:bCs w:val="0"/>
            <w:sz w:val="20"/>
            <w:szCs w:val="20"/>
          </w:rPr>
          <w:t>https://www.exposedbycmd.org/2022/02/08/alecs-critical-energy-theory-bills-moving-in-four-states/</w:t>
        </w:r>
      </w:hyperlink>
      <w:r w:rsidRPr="002A7D5F">
        <w:rPr>
          <w:rFonts w:asciiTheme="minorHAnsi" w:hAnsiTheme="minorHAnsi" w:cstheme="minorHAnsi"/>
          <w:b w:val="0"/>
          <w:bCs w:val="0"/>
          <w:sz w:val="20"/>
          <w:szCs w:val="20"/>
        </w:rPr>
        <w:t>;</w:t>
      </w:r>
      <w:r w:rsidR="004B0ABD">
        <w:rPr>
          <w:rFonts w:ascii="Barlow Semi Condensed" w:hAnsi="Barlow Semi Condensed"/>
          <w:b w:val="0"/>
          <w:bCs w:val="0"/>
          <w:color w:val="444444"/>
          <w:sz w:val="21"/>
          <w:szCs w:val="21"/>
          <w:shd w:val="clear" w:color="auto" w:fill="FFFFFF"/>
        </w:rPr>
        <w:t xml:space="preserve"> </w:t>
      </w:r>
    </w:p>
    <w:p w14:paraId="33444602" w14:textId="0CCA8B19" w:rsidR="005856C3" w:rsidRPr="00BF3A3C" w:rsidRDefault="005856C3" w:rsidP="004E782C">
      <w:pPr>
        <w:pStyle w:val="Heading1"/>
        <w:shd w:val="clear" w:color="auto" w:fill="FFFFFF"/>
        <w:spacing w:before="0" w:beforeAutospacing="0" w:after="0" w:afterAutospacing="0"/>
        <w:textAlignment w:val="baseline"/>
        <w:rPr>
          <w:rFonts w:asciiTheme="minorHAnsi" w:eastAsiaTheme="minorHAnsi" w:hAnsiTheme="minorHAnsi" w:cstheme="minorHAnsi"/>
          <w:sz w:val="20"/>
          <w:szCs w:val="20"/>
        </w:rPr>
      </w:pPr>
      <w:r w:rsidRPr="002A7D5F">
        <w:rPr>
          <w:rFonts w:asciiTheme="minorHAnsi" w:hAnsiTheme="minorHAnsi" w:cstheme="minorHAnsi"/>
          <w:b w:val="0"/>
          <w:bCs w:val="0"/>
          <w:sz w:val="20"/>
          <w:szCs w:val="20"/>
        </w:rPr>
        <w:t xml:space="preserve">“Free Speech-Quashing Laws Based on Israel-Focused Anti-Boycott Laws,” Foundation for Middle East Peace, March 24, 2022 and updated regularly, </w:t>
      </w:r>
      <w:hyperlink r:id="rId21" w:history="1">
        <w:r w:rsidRPr="002A7D5F">
          <w:rPr>
            <w:rStyle w:val="Hyperlink"/>
            <w:rFonts w:asciiTheme="minorHAnsi" w:hAnsiTheme="minorHAnsi" w:cstheme="minorHAnsi"/>
            <w:b w:val="0"/>
            <w:bCs w:val="0"/>
            <w:sz w:val="20"/>
            <w:szCs w:val="20"/>
          </w:rPr>
          <w:t>https://fmep.org/wp/wp-content/uploads/BDS-Laws-as-Template-for-Laws-on-Other-Issues.pdf</w:t>
        </w:r>
      </w:hyperlink>
      <w:r w:rsidRPr="002A7D5F">
        <w:rPr>
          <w:rFonts w:asciiTheme="minorHAnsi" w:hAnsiTheme="minorHAnsi" w:cstheme="minorHAnsi"/>
          <w:b w:val="0"/>
          <w:bCs w:val="0"/>
          <w:sz w:val="20"/>
          <w:szCs w:val="20"/>
        </w:rPr>
        <w:t>.</w:t>
      </w:r>
    </w:p>
  </w:endnote>
  <w:endnote w:id="5">
    <w:p w14:paraId="4358018C" w14:textId="671D36A4" w:rsidR="005856C3" w:rsidRPr="002A7D5F" w:rsidRDefault="005856C3" w:rsidP="00E6079D">
      <w:pPr>
        <w:pStyle w:val="Heading1"/>
        <w:shd w:val="clear" w:color="auto" w:fill="FFFFFF"/>
        <w:spacing w:before="0" w:beforeAutospacing="0" w:after="0" w:afterAutospacing="0"/>
        <w:rPr>
          <w:rFonts w:asciiTheme="minorHAnsi" w:hAnsiTheme="minorHAnsi" w:cstheme="minorHAnsi"/>
          <w:b w:val="0"/>
          <w:bCs w:val="0"/>
          <w:sz w:val="20"/>
          <w:szCs w:val="20"/>
        </w:rPr>
      </w:pPr>
      <w:r w:rsidRPr="00BF3A3C">
        <w:rPr>
          <w:rStyle w:val="EndnoteReference"/>
          <w:rFonts w:asciiTheme="minorHAnsi" w:hAnsiTheme="minorHAnsi" w:cstheme="minorHAnsi"/>
          <w:sz w:val="20"/>
          <w:szCs w:val="20"/>
        </w:rPr>
        <w:endnoteRef/>
      </w:r>
      <w:r w:rsidRPr="00BF3A3C">
        <w:rPr>
          <w:rFonts w:asciiTheme="minorHAnsi" w:hAnsiTheme="minorHAnsi" w:cstheme="minorHAnsi"/>
          <w:sz w:val="20"/>
          <w:szCs w:val="20"/>
        </w:rPr>
        <w:t xml:space="preserve"> </w:t>
      </w:r>
      <w:r w:rsidRPr="002A7D5F">
        <w:rPr>
          <w:rFonts w:asciiTheme="minorHAnsi" w:hAnsiTheme="minorHAnsi" w:cstheme="minorHAnsi"/>
          <w:b w:val="0"/>
          <w:bCs w:val="0"/>
          <w:sz w:val="20"/>
          <w:szCs w:val="20"/>
        </w:rPr>
        <w:t>S.B. 19, 2021, Texas</w:t>
      </w:r>
      <w:r w:rsidR="00E17C01" w:rsidRPr="002A7D5F">
        <w:rPr>
          <w:rFonts w:asciiTheme="minorHAnsi" w:hAnsiTheme="minorHAnsi" w:cstheme="minorHAnsi"/>
          <w:b w:val="0"/>
          <w:bCs w:val="0"/>
          <w:sz w:val="20"/>
          <w:szCs w:val="20"/>
        </w:rPr>
        <w:t xml:space="preserve">, </w:t>
      </w:r>
      <w:hyperlink r:id="rId22" w:history="1">
        <w:r w:rsidR="00311C10" w:rsidRPr="002A7D5F">
          <w:rPr>
            <w:rStyle w:val="Hyperlink"/>
            <w:rFonts w:asciiTheme="minorHAnsi" w:hAnsiTheme="minorHAnsi" w:cstheme="minorHAnsi"/>
            <w:b w:val="0"/>
            <w:bCs w:val="0"/>
            <w:sz w:val="20"/>
            <w:szCs w:val="20"/>
          </w:rPr>
          <w:t>https://capitol.texas.gov/tlodocs/87R/billtext/html/SB00019F.htm</w:t>
        </w:r>
      </w:hyperlink>
      <w:r w:rsidRPr="002A7D5F">
        <w:rPr>
          <w:rFonts w:asciiTheme="minorHAnsi" w:hAnsiTheme="minorHAnsi" w:cstheme="minorHAnsi"/>
          <w:b w:val="0"/>
          <w:bCs w:val="0"/>
          <w:sz w:val="20"/>
          <w:szCs w:val="20"/>
        </w:rPr>
        <w:t xml:space="preserve">; </w:t>
      </w:r>
      <w:r w:rsidR="00311C10" w:rsidRPr="002A7D5F">
        <w:rPr>
          <w:rFonts w:asciiTheme="minorHAnsi" w:hAnsiTheme="minorHAnsi" w:cstheme="minorHAnsi"/>
          <w:b w:val="0"/>
          <w:bCs w:val="0"/>
          <w:sz w:val="20"/>
          <w:szCs w:val="20"/>
        </w:rPr>
        <w:t>H.B</w:t>
      </w:r>
      <w:r w:rsidR="00D1150E" w:rsidRPr="002A7D5F">
        <w:rPr>
          <w:rFonts w:asciiTheme="minorHAnsi" w:hAnsiTheme="minorHAnsi" w:cstheme="minorHAnsi"/>
          <w:b w:val="0"/>
          <w:bCs w:val="0"/>
          <w:sz w:val="20"/>
          <w:szCs w:val="20"/>
        </w:rPr>
        <w:t>.</w:t>
      </w:r>
      <w:r w:rsidR="00311C10" w:rsidRPr="002A7D5F">
        <w:rPr>
          <w:rFonts w:asciiTheme="minorHAnsi" w:hAnsiTheme="minorHAnsi" w:cstheme="minorHAnsi"/>
          <w:b w:val="0"/>
          <w:bCs w:val="0"/>
          <w:sz w:val="20"/>
          <w:szCs w:val="20"/>
        </w:rPr>
        <w:t xml:space="preserve"> 3144, </w:t>
      </w:r>
      <w:r w:rsidRPr="002A7D5F">
        <w:rPr>
          <w:rFonts w:asciiTheme="minorHAnsi" w:hAnsiTheme="minorHAnsi" w:cstheme="minorHAnsi"/>
          <w:b w:val="0"/>
          <w:bCs w:val="0"/>
          <w:sz w:val="20"/>
          <w:szCs w:val="20"/>
        </w:rPr>
        <w:t xml:space="preserve">Oklahoma, </w:t>
      </w:r>
      <w:hyperlink r:id="rId23" w:history="1">
        <w:r w:rsidR="00E17C01" w:rsidRPr="002A7D5F">
          <w:rPr>
            <w:rStyle w:val="Hyperlink"/>
            <w:rFonts w:asciiTheme="minorHAnsi" w:hAnsiTheme="minorHAnsi" w:cstheme="minorHAnsi"/>
            <w:b w:val="0"/>
            <w:bCs w:val="0"/>
            <w:sz w:val="20"/>
            <w:szCs w:val="20"/>
          </w:rPr>
          <w:t>http://webserver1.lsb.state.ok.us/cf_pdf/2021-22%20ENGR/hB/HB3144%20ENGR.PDF</w:t>
        </w:r>
      </w:hyperlink>
      <w:r w:rsidRPr="002A7D5F">
        <w:rPr>
          <w:rFonts w:asciiTheme="minorHAnsi" w:hAnsiTheme="minorHAnsi" w:cstheme="minorHAnsi"/>
          <w:b w:val="0"/>
          <w:bCs w:val="0"/>
          <w:sz w:val="20"/>
          <w:szCs w:val="20"/>
        </w:rPr>
        <w:t>. See also “</w:t>
      </w:r>
      <w:r w:rsidRPr="002A7D5F">
        <w:rPr>
          <w:rFonts w:asciiTheme="minorHAnsi" w:hAnsiTheme="minorHAnsi" w:cstheme="minorHAnsi"/>
          <w:b w:val="0"/>
          <w:bCs w:val="0"/>
          <w:color w:val="333333"/>
          <w:sz w:val="20"/>
          <w:szCs w:val="20"/>
        </w:rPr>
        <w:t xml:space="preserve">A bill in the Arizona House would punish banks that refuse business from gun firms,” NPR, February 18, 2022, </w:t>
      </w:r>
      <w:hyperlink r:id="rId24" w:history="1">
        <w:r w:rsidRPr="002A7D5F">
          <w:rPr>
            <w:rStyle w:val="Hyperlink"/>
            <w:rFonts w:asciiTheme="minorHAnsi" w:hAnsiTheme="minorHAnsi" w:cstheme="minorHAnsi"/>
            <w:b w:val="0"/>
            <w:bCs w:val="0"/>
            <w:sz w:val="20"/>
            <w:szCs w:val="20"/>
          </w:rPr>
          <w:t>https://www.npr.org/2022/02/18/1081917682/a-bill-in-the-arizona-house-would-punish-banks-that-refuse-business-from-gun-fir</w:t>
        </w:r>
      </w:hyperlink>
      <w:r w:rsidRPr="002A7D5F">
        <w:rPr>
          <w:rFonts w:asciiTheme="minorHAnsi" w:hAnsiTheme="minorHAnsi" w:cstheme="minorHAnsi"/>
          <w:b w:val="0"/>
          <w:bCs w:val="0"/>
          <w:sz w:val="20"/>
          <w:szCs w:val="20"/>
        </w:rPr>
        <w:t xml:space="preserve"> ; Noah </w:t>
      </w:r>
      <w:proofErr w:type="spellStart"/>
      <w:r w:rsidRPr="002A7D5F">
        <w:rPr>
          <w:rFonts w:asciiTheme="minorHAnsi" w:hAnsiTheme="minorHAnsi" w:cstheme="minorHAnsi"/>
          <w:b w:val="0"/>
          <w:bCs w:val="0"/>
          <w:sz w:val="20"/>
          <w:szCs w:val="20"/>
        </w:rPr>
        <w:t>Taborda</w:t>
      </w:r>
      <w:proofErr w:type="spellEnd"/>
      <w:r w:rsidRPr="002A7D5F">
        <w:rPr>
          <w:rFonts w:asciiTheme="minorHAnsi" w:hAnsiTheme="minorHAnsi" w:cstheme="minorHAnsi"/>
          <w:b w:val="0"/>
          <w:bCs w:val="0"/>
          <w:sz w:val="20"/>
          <w:szCs w:val="20"/>
        </w:rPr>
        <w:t xml:space="preserve">, “Kansas Senate considers shielding firearm industry from discrimination by businesses,” </w:t>
      </w:r>
      <w:r w:rsidRPr="002A7D5F">
        <w:rPr>
          <w:rFonts w:asciiTheme="minorHAnsi" w:hAnsiTheme="minorHAnsi" w:cstheme="minorHAnsi"/>
          <w:b w:val="0"/>
          <w:bCs w:val="0"/>
          <w:i/>
          <w:iCs/>
          <w:sz w:val="20"/>
          <w:szCs w:val="20"/>
        </w:rPr>
        <w:t>Kansas Reflector</w:t>
      </w:r>
      <w:r w:rsidRPr="002A7D5F">
        <w:rPr>
          <w:rFonts w:asciiTheme="minorHAnsi" w:hAnsiTheme="minorHAnsi" w:cstheme="minorHAnsi"/>
          <w:b w:val="0"/>
          <w:bCs w:val="0"/>
          <w:sz w:val="20"/>
          <w:szCs w:val="20"/>
        </w:rPr>
        <w:t xml:space="preserve">, February 22, 2022, </w:t>
      </w:r>
      <w:hyperlink r:id="rId25" w:history="1">
        <w:r w:rsidRPr="002A7D5F">
          <w:rPr>
            <w:rStyle w:val="Hyperlink"/>
            <w:rFonts w:asciiTheme="minorHAnsi" w:hAnsiTheme="minorHAnsi" w:cstheme="minorHAnsi"/>
            <w:b w:val="0"/>
            <w:bCs w:val="0"/>
            <w:sz w:val="20"/>
            <w:szCs w:val="20"/>
          </w:rPr>
          <w:t>https://kansasreflector.com/2022/02/22/kansas-senate-considers-shielding-firearm-industry-from-discrimination-by-businesses/</w:t>
        </w:r>
      </w:hyperlink>
      <w:r w:rsidRPr="002A7D5F">
        <w:rPr>
          <w:rFonts w:asciiTheme="minorHAnsi" w:hAnsiTheme="minorHAnsi" w:cstheme="minorHAnsi"/>
          <w:b w:val="0"/>
          <w:bCs w:val="0"/>
          <w:sz w:val="20"/>
          <w:szCs w:val="20"/>
        </w:rPr>
        <w:t xml:space="preserve">; “Free Speech-Quashing Laws Based on Israel-Focused Anti-Boycott Laws,” Foundation for Middle East Peace, March 24, 2022 and updated regularly, </w:t>
      </w:r>
      <w:hyperlink r:id="rId26" w:history="1">
        <w:r w:rsidRPr="002A7D5F">
          <w:rPr>
            <w:rStyle w:val="Hyperlink"/>
            <w:rFonts w:asciiTheme="minorHAnsi" w:hAnsiTheme="minorHAnsi" w:cstheme="minorHAnsi"/>
            <w:b w:val="0"/>
            <w:bCs w:val="0"/>
            <w:sz w:val="20"/>
            <w:szCs w:val="20"/>
          </w:rPr>
          <w:t>https://fmep.org/wp/wp-content/uploads/BDS-Laws-as-Template-for-Laws-on-Other-Issues.pdf</w:t>
        </w:r>
      </w:hyperlink>
      <w:r w:rsidRPr="002A7D5F">
        <w:rPr>
          <w:rFonts w:asciiTheme="minorHAnsi" w:hAnsiTheme="minorHAnsi" w:cstheme="minorHAnsi"/>
          <w:b w:val="0"/>
          <w:bCs w:val="0"/>
          <w:sz w:val="20"/>
          <w:szCs w:val="20"/>
        </w:rPr>
        <w:t>.</w:t>
      </w:r>
    </w:p>
  </w:endnote>
  <w:endnote w:id="6">
    <w:p w14:paraId="16AD6438" w14:textId="59FB7BA8" w:rsidR="00E4545B" w:rsidRPr="00BF3A3C" w:rsidRDefault="00E4545B" w:rsidP="00E4545B">
      <w:pPr>
        <w:pStyle w:val="Heading1"/>
        <w:spacing w:before="0" w:beforeAutospacing="0" w:after="0" w:afterAutospacing="0"/>
        <w:textAlignment w:val="baseline"/>
        <w:rPr>
          <w:rFonts w:asciiTheme="minorHAnsi" w:hAnsiTheme="minorHAnsi" w:cstheme="minorHAnsi"/>
          <w:b w:val="0"/>
          <w:bCs w:val="0"/>
          <w:sz w:val="20"/>
          <w:szCs w:val="20"/>
        </w:rPr>
      </w:pPr>
      <w:r w:rsidRPr="00BF3A3C">
        <w:rPr>
          <w:rStyle w:val="EndnoteReference"/>
          <w:rFonts w:asciiTheme="minorHAnsi" w:hAnsiTheme="minorHAnsi" w:cstheme="minorHAnsi"/>
          <w:b w:val="0"/>
          <w:bCs w:val="0"/>
          <w:sz w:val="20"/>
          <w:szCs w:val="20"/>
        </w:rPr>
        <w:endnoteRef/>
      </w:r>
      <w:r w:rsidRPr="00CC6E70">
        <w:rPr>
          <w:rFonts w:asciiTheme="minorHAnsi" w:hAnsiTheme="minorHAnsi" w:cstheme="minorHAnsi"/>
          <w:b w:val="0"/>
          <w:bCs w:val="0"/>
          <w:sz w:val="20"/>
          <w:szCs w:val="20"/>
        </w:rPr>
        <w:t xml:space="preserve"> </w:t>
      </w:r>
      <w:bookmarkStart w:id="3" w:name="_Hlk104047156"/>
      <w:r w:rsidRPr="00CC6E70">
        <w:rPr>
          <w:rFonts w:asciiTheme="minorHAnsi" w:hAnsiTheme="minorHAnsi" w:cstheme="minorHAnsi"/>
          <w:b w:val="0"/>
          <w:bCs w:val="0"/>
          <w:sz w:val="20"/>
          <w:szCs w:val="20"/>
        </w:rPr>
        <w:t>For links to RFPs and</w:t>
      </w:r>
      <w:r w:rsidR="009616A2">
        <w:rPr>
          <w:rFonts w:asciiTheme="minorHAnsi" w:hAnsiTheme="minorHAnsi" w:cstheme="minorHAnsi"/>
          <w:b w:val="0"/>
          <w:bCs w:val="0"/>
          <w:sz w:val="20"/>
          <w:szCs w:val="20"/>
        </w:rPr>
        <w:t>/or</w:t>
      </w:r>
      <w:r w:rsidRPr="00CC6E70">
        <w:rPr>
          <w:rFonts w:asciiTheme="minorHAnsi" w:hAnsiTheme="minorHAnsi" w:cstheme="minorHAnsi"/>
          <w:b w:val="0"/>
          <w:bCs w:val="0"/>
          <w:sz w:val="20"/>
          <w:szCs w:val="20"/>
        </w:rPr>
        <w:t xml:space="preserve"> contracts </w:t>
      </w:r>
      <w:r w:rsidR="009616A2">
        <w:rPr>
          <w:rFonts w:asciiTheme="minorHAnsi" w:hAnsiTheme="minorHAnsi" w:cstheme="minorHAnsi"/>
          <w:b w:val="0"/>
          <w:bCs w:val="0"/>
          <w:sz w:val="20"/>
          <w:szCs w:val="20"/>
        </w:rPr>
        <w:t xml:space="preserve">for over 170 </w:t>
      </w:r>
      <w:r w:rsidR="009616A2" w:rsidRPr="00B8718F">
        <w:rPr>
          <w:rFonts w:asciiTheme="minorHAnsi" w:hAnsiTheme="minorHAnsi" w:cstheme="minorHAnsi"/>
          <w:b w:val="0"/>
          <w:bCs w:val="0"/>
          <w:sz w:val="20"/>
          <w:szCs w:val="20"/>
        </w:rPr>
        <w:t xml:space="preserve">library-related projects that include state-mandated pledges the contractor does not and will not boycott Israel, </w:t>
      </w:r>
      <w:r w:rsidRPr="00CC6E70">
        <w:rPr>
          <w:rFonts w:asciiTheme="minorHAnsi" w:hAnsiTheme="minorHAnsi" w:cstheme="minorHAnsi"/>
          <w:b w:val="0"/>
          <w:bCs w:val="0"/>
          <w:sz w:val="20"/>
          <w:szCs w:val="20"/>
        </w:rPr>
        <w:t>see “</w:t>
      </w:r>
      <w:r w:rsidRPr="00CC6E70">
        <w:rPr>
          <w:rFonts w:asciiTheme="minorHAnsi" w:hAnsiTheme="minorHAnsi" w:cstheme="minorHAnsi"/>
          <w:b w:val="0"/>
          <w:bCs w:val="0"/>
          <w:color w:val="111111"/>
          <w:sz w:val="20"/>
          <w:szCs w:val="20"/>
        </w:rPr>
        <w:t xml:space="preserve">Anti-BDS Legislation: The Library Connection,” Social Responsibilities Round Table, </w:t>
      </w:r>
      <w:hyperlink r:id="rId27" w:history="1">
        <w:r w:rsidRPr="00CC6E70">
          <w:rPr>
            <w:rStyle w:val="Hyperlink"/>
            <w:rFonts w:asciiTheme="minorHAnsi" w:hAnsiTheme="minorHAnsi" w:cstheme="minorHAnsi"/>
            <w:b w:val="0"/>
            <w:bCs w:val="0"/>
            <w:sz w:val="20"/>
            <w:szCs w:val="20"/>
          </w:rPr>
          <w:t>https://www.ala.org/rt/srrt/irtf/anti-bds-legislation-library-connection</w:t>
        </w:r>
      </w:hyperlink>
      <w:r w:rsidRPr="00CC6E70">
        <w:rPr>
          <w:rFonts w:asciiTheme="minorHAnsi" w:hAnsiTheme="minorHAnsi" w:cstheme="minorHAnsi"/>
          <w:b w:val="0"/>
          <w:bCs w:val="0"/>
          <w:sz w:val="20"/>
          <w:szCs w:val="20"/>
        </w:rPr>
        <w:t xml:space="preserve">. </w:t>
      </w:r>
      <w:bookmarkStart w:id="4" w:name="_Hlk104044132"/>
      <w:r w:rsidR="006042FE" w:rsidRPr="00BF3A3C">
        <w:rPr>
          <w:rFonts w:asciiTheme="minorHAnsi" w:hAnsiTheme="minorHAnsi" w:cstheme="minorHAnsi"/>
          <w:b w:val="0"/>
          <w:bCs w:val="0"/>
          <w:sz w:val="20"/>
          <w:szCs w:val="20"/>
        </w:rPr>
        <w:t xml:space="preserve">Texas library-related </w:t>
      </w:r>
      <w:r w:rsidR="006042FE">
        <w:rPr>
          <w:rFonts w:asciiTheme="minorHAnsi" w:hAnsiTheme="minorHAnsi" w:cstheme="minorHAnsi"/>
          <w:b w:val="0"/>
          <w:bCs w:val="0"/>
          <w:sz w:val="20"/>
          <w:szCs w:val="20"/>
        </w:rPr>
        <w:t>RFP</w:t>
      </w:r>
      <w:r w:rsidR="006042FE" w:rsidRPr="00BF3A3C">
        <w:rPr>
          <w:rFonts w:asciiTheme="minorHAnsi" w:hAnsiTheme="minorHAnsi" w:cstheme="minorHAnsi"/>
          <w:b w:val="0"/>
          <w:bCs w:val="0"/>
          <w:sz w:val="20"/>
          <w:szCs w:val="20"/>
        </w:rPr>
        <w:t xml:space="preserve">s, that require the contractor will not boycott energy companies include the following: </w:t>
      </w:r>
      <w:r w:rsidR="006042FE" w:rsidRPr="00BF3A3C">
        <w:rPr>
          <w:rFonts w:asciiTheme="minorHAnsi" w:eastAsiaTheme="minorHAnsi" w:hAnsiTheme="minorHAnsi" w:cstheme="minorHAnsi"/>
          <w:b w:val="0"/>
          <w:bCs w:val="0"/>
          <w:kern w:val="0"/>
          <w:sz w:val="20"/>
          <w:szCs w:val="20"/>
        </w:rPr>
        <w:t xml:space="preserve">City of Celina, </w:t>
      </w:r>
      <w:hyperlink r:id="rId28" w:history="1">
        <w:r w:rsidR="006042FE" w:rsidRPr="00BF3A3C">
          <w:rPr>
            <w:rStyle w:val="Hyperlink"/>
            <w:rFonts w:asciiTheme="minorHAnsi" w:eastAsiaTheme="minorHAnsi" w:hAnsiTheme="minorHAnsi" w:cstheme="minorHAnsi"/>
            <w:b w:val="0"/>
            <w:bCs w:val="0"/>
            <w:kern w:val="0"/>
            <w:sz w:val="20"/>
            <w:szCs w:val="20"/>
          </w:rPr>
          <w:t>Library Master Plan</w:t>
        </w:r>
      </w:hyperlink>
      <w:r w:rsidR="006042FE" w:rsidRPr="00BF3A3C">
        <w:rPr>
          <w:rFonts w:asciiTheme="minorHAnsi" w:eastAsiaTheme="minorHAnsi" w:hAnsiTheme="minorHAnsi" w:cstheme="minorHAnsi"/>
          <w:b w:val="0"/>
          <w:bCs w:val="0"/>
          <w:kern w:val="0"/>
          <w:sz w:val="20"/>
          <w:szCs w:val="20"/>
        </w:rPr>
        <w:t xml:space="preserve">. Issue date: Apr. 4, 2022; City of Edinburg, </w:t>
      </w:r>
      <w:hyperlink r:id="rId29" w:history="1">
        <w:r w:rsidR="006042FE" w:rsidRPr="00BF3A3C">
          <w:rPr>
            <w:rStyle w:val="Hyperlink"/>
            <w:rFonts w:asciiTheme="minorHAnsi" w:eastAsiaTheme="minorHAnsi" w:hAnsiTheme="minorHAnsi" w:cstheme="minorHAnsi"/>
            <w:b w:val="0"/>
            <w:bCs w:val="0"/>
            <w:kern w:val="0"/>
            <w:sz w:val="20"/>
            <w:szCs w:val="20"/>
          </w:rPr>
          <w:t xml:space="preserve">RFP: Radio Frequency Identification System (RFID): Conversion and Equipment </w:t>
        </w:r>
      </w:hyperlink>
      <w:r w:rsidR="006042FE" w:rsidRPr="00BF3A3C">
        <w:rPr>
          <w:rFonts w:asciiTheme="minorHAnsi" w:eastAsiaTheme="minorHAnsi" w:hAnsiTheme="minorHAnsi" w:cstheme="minorHAnsi"/>
          <w:b w:val="0"/>
          <w:bCs w:val="0"/>
          <w:kern w:val="0"/>
          <w:sz w:val="20"/>
          <w:szCs w:val="20"/>
        </w:rPr>
        <w:t xml:space="preserve">for Dustin Michael </w:t>
      </w:r>
      <w:proofErr w:type="spellStart"/>
      <w:r w:rsidR="006042FE" w:rsidRPr="00BF3A3C">
        <w:rPr>
          <w:rFonts w:asciiTheme="minorHAnsi" w:eastAsiaTheme="minorHAnsi" w:hAnsiTheme="minorHAnsi" w:cstheme="minorHAnsi"/>
          <w:b w:val="0"/>
          <w:bCs w:val="0"/>
          <w:kern w:val="0"/>
          <w:sz w:val="20"/>
          <w:szCs w:val="20"/>
        </w:rPr>
        <w:t>Sekula</w:t>
      </w:r>
      <w:proofErr w:type="spellEnd"/>
      <w:r w:rsidR="006042FE" w:rsidRPr="00BF3A3C">
        <w:rPr>
          <w:rFonts w:asciiTheme="minorHAnsi" w:eastAsiaTheme="minorHAnsi" w:hAnsiTheme="minorHAnsi" w:cstheme="minorHAnsi"/>
          <w:b w:val="0"/>
          <w:bCs w:val="0"/>
          <w:kern w:val="0"/>
          <w:sz w:val="20"/>
          <w:szCs w:val="20"/>
        </w:rPr>
        <w:t xml:space="preserve"> Memorial Library. RFP issued Feb. 4, 2022; City of Houston </w:t>
      </w:r>
      <w:hyperlink r:id="rId30" w:history="1">
        <w:r w:rsidR="006042FE" w:rsidRPr="00BF3A3C">
          <w:rPr>
            <w:rStyle w:val="Hyperlink"/>
            <w:rFonts w:asciiTheme="minorHAnsi" w:eastAsiaTheme="minorHAnsi" w:hAnsiTheme="minorHAnsi" w:cstheme="minorHAnsi"/>
            <w:b w:val="0"/>
            <w:bCs w:val="0"/>
            <w:kern w:val="0"/>
            <w:sz w:val="20"/>
            <w:szCs w:val="20"/>
          </w:rPr>
          <w:t>Request for Proposals for City of Houston Downtown Facilities Plan</w:t>
        </w:r>
      </w:hyperlink>
      <w:r w:rsidR="006042FE" w:rsidRPr="00BF3A3C">
        <w:rPr>
          <w:rFonts w:asciiTheme="minorHAnsi" w:eastAsiaTheme="minorHAnsi" w:hAnsiTheme="minorHAnsi" w:cstheme="minorHAnsi"/>
          <w:b w:val="0"/>
          <w:bCs w:val="0"/>
          <w:kern w:val="0"/>
          <w:sz w:val="20"/>
          <w:szCs w:val="20"/>
        </w:rPr>
        <w:t>. (Plan to “modernize, renovate, finance, operate, and maintain four city buildings” including the Central Library. Date issued: Sept. 24, 2021</w:t>
      </w:r>
      <w:r w:rsidR="00BB19C9">
        <w:rPr>
          <w:rFonts w:asciiTheme="minorHAnsi" w:eastAsiaTheme="minorHAnsi" w:hAnsiTheme="minorHAnsi" w:cstheme="minorHAnsi"/>
          <w:b w:val="0"/>
          <w:bCs w:val="0"/>
          <w:kern w:val="0"/>
          <w:sz w:val="20"/>
          <w:szCs w:val="20"/>
        </w:rPr>
        <w:t xml:space="preserve">. </w:t>
      </w:r>
      <w:bookmarkEnd w:id="4"/>
      <w:r w:rsidR="006042FE" w:rsidRPr="002A7D5F">
        <w:rPr>
          <w:rFonts w:asciiTheme="minorHAnsi" w:hAnsiTheme="minorHAnsi" w:cstheme="minorHAnsi"/>
          <w:b w:val="0"/>
          <w:bCs w:val="0"/>
          <w:sz w:val="20"/>
          <w:szCs w:val="20"/>
        </w:rPr>
        <w:t xml:space="preserve">Texas library-related </w:t>
      </w:r>
      <w:r w:rsidR="006042FE">
        <w:rPr>
          <w:rFonts w:asciiTheme="minorHAnsi" w:hAnsiTheme="minorHAnsi" w:cstheme="minorHAnsi"/>
          <w:b w:val="0"/>
          <w:bCs w:val="0"/>
          <w:sz w:val="20"/>
          <w:szCs w:val="20"/>
        </w:rPr>
        <w:t>RFPs</w:t>
      </w:r>
      <w:r w:rsidR="006042FE" w:rsidRPr="002A7D5F">
        <w:rPr>
          <w:rFonts w:asciiTheme="minorHAnsi" w:hAnsiTheme="minorHAnsi" w:cstheme="minorHAnsi"/>
          <w:b w:val="0"/>
          <w:bCs w:val="0"/>
          <w:sz w:val="20"/>
          <w:szCs w:val="20"/>
        </w:rPr>
        <w:t xml:space="preserve"> that require the contractor will not boycott a firearm entity or a firearm trade association include those listed above that prohibit boycotts of energy companies and also City of </w:t>
      </w:r>
      <w:proofErr w:type="spellStart"/>
      <w:r w:rsidR="006042FE" w:rsidRPr="002A7D5F">
        <w:rPr>
          <w:rFonts w:asciiTheme="minorHAnsi" w:hAnsiTheme="minorHAnsi" w:cstheme="minorHAnsi"/>
          <w:b w:val="0"/>
          <w:bCs w:val="0"/>
          <w:sz w:val="20"/>
          <w:szCs w:val="20"/>
        </w:rPr>
        <w:t>Bourne</w:t>
      </w:r>
      <w:proofErr w:type="spellEnd"/>
      <w:r w:rsidR="006042FE" w:rsidRPr="002A7D5F">
        <w:rPr>
          <w:rFonts w:asciiTheme="minorHAnsi" w:hAnsiTheme="minorHAnsi" w:cstheme="minorHAnsi"/>
          <w:b w:val="0"/>
          <w:bCs w:val="0"/>
          <w:sz w:val="20"/>
          <w:szCs w:val="20"/>
        </w:rPr>
        <w:t xml:space="preserve">, </w:t>
      </w:r>
      <w:hyperlink r:id="rId31" w:history="1">
        <w:r w:rsidR="006042FE" w:rsidRPr="002A7D5F">
          <w:rPr>
            <w:rStyle w:val="Hyperlink"/>
            <w:rFonts w:asciiTheme="minorHAnsi" w:hAnsiTheme="minorHAnsi" w:cstheme="minorHAnsi"/>
            <w:b w:val="0"/>
            <w:bCs w:val="0"/>
            <w:sz w:val="20"/>
            <w:szCs w:val="20"/>
          </w:rPr>
          <w:t>Request for Proposal Telecommunications System and Carrier Services</w:t>
        </w:r>
      </w:hyperlink>
      <w:r w:rsidR="006042FE" w:rsidRPr="002A7D5F">
        <w:rPr>
          <w:rFonts w:asciiTheme="minorHAnsi" w:hAnsiTheme="minorHAnsi" w:cstheme="minorHAnsi"/>
          <w:b w:val="0"/>
          <w:bCs w:val="0"/>
          <w:sz w:val="20"/>
          <w:szCs w:val="20"/>
        </w:rPr>
        <w:t xml:space="preserve"> (to connect three buildings, including the library), Date issued: Jan. 4, 2022.</w:t>
      </w:r>
      <w:r w:rsidR="00FD3D18">
        <w:rPr>
          <w:rFonts w:asciiTheme="minorHAnsi" w:hAnsiTheme="minorHAnsi" w:cstheme="minorHAnsi"/>
          <w:b w:val="0"/>
          <w:bCs w:val="0"/>
          <w:sz w:val="20"/>
          <w:szCs w:val="20"/>
        </w:rPr>
        <w:t xml:space="preserve"> </w:t>
      </w:r>
      <w:bookmarkEnd w:id="3"/>
      <w:r w:rsidR="00FD3D18">
        <w:rPr>
          <w:rFonts w:asciiTheme="minorHAnsi" w:eastAsiaTheme="minorHAnsi" w:hAnsiTheme="minorHAnsi" w:cstheme="minorHAnsi"/>
          <w:b w:val="0"/>
          <w:bCs w:val="0"/>
          <w:kern w:val="0"/>
          <w:sz w:val="20"/>
          <w:szCs w:val="20"/>
        </w:rPr>
        <w:t xml:space="preserve">For the relevant conditions for </w:t>
      </w:r>
      <w:proofErr w:type="spellStart"/>
      <w:r w:rsidR="00FD3D18">
        <w:rPr>
          <w:rFonts w:asciiTheme="minorHAnsi" w:eastAsiaTheme="minorHAnsi" w:hAnsiTheme="minorHAnsi" w:cstheme="minorHAnsi"/>
          <w:b w:val="0"/>
          <w:bCs w:val="0"/>
          <w:kern w:val="0"/>
          <w:sz w:val="20"/>
          <w:szCs w:val="20"/>
        </w:rPr>
        <w:t>TexShare</w:t>
      </w:r>
      <w:proofErr w:type="spellEnd"/>
      <w:r w:rsidR="00FD3D18">
        <w:rPr>
          <w:rFonts w:asciiTheme="minorHAnsi" w:eastAsiaTheme="minorHAnsi" w:hAnsiTheme="minorHAnsi" w:cstheme="minorHAnsi"/>
          <w:b w:val="0"/>
          <w:bCs w:val="0"/>
          <w:kern w:val="0"/>
          <w:sz w:val="20"/>
          <w:szCs w:val="20"/>
        </w:rPr>
        <w:t xml:space="preserve"> and </w:t>
      </w:r>
      <w:proofErr w:type="spellStart"/>
      <w:r w:rsidR="00FD3D18">
        <w:rPr>
          <w:rFonts w:asciiTheme="minorHAnsi" w:eastAsiaTheme="minorHAnsi" w:hAnsiTheme="minorHAnsi" w:cstheme="minorHAnsi"/>
          <w:b w:val="0"/>
          <w:bCs w:val="0"/>
          <w:kern w:val="0"/>
          <w:sz w:val="20"/>
          <w:szCs w:val="20"/>
        </w:rPr>
        <w:t>TexQuest</w:t>
      </w:r>
      <w:proofErr w:type="spellEnd"/>
      <w:r w:rsidR="00FD3D18">
        <w:rPr>
          <w:rFonts w:asciiTheme="minorHAnsi" w:eastAsiaTheme="minorHAnsi" w:hAnsiTheme="minorHAnsi" w:cstheme="minorHAnsi"/>
          <w:b w:val="0"/>
          <w:bCs w:val="0"/>
          <w:kern w:val="0"/>
          <w:sz w:val="20"/>
          <w:szCs w:val="20"/>
        </w:rPr>
        <w:t xml:space="preserve"> issued by the Texas State Library and Archives Commission, see </w:t>
      </w:r>
      <w:r w:rsidR="00FD3D18" w:rsidRPr="00BF3A3C">
        <w:rPr>
          <w:rFonts w:asciiTheme="minorHAnsi" w:eastAsiaTheme="minorHAnsi" w:hAnsiTheme="minorHAnsi" w:cstheme="minorHAnsi"/>
          <w:b w:val="0"/>
          <w:bCs w:val="0"/>
          <w:kern w:val="0"/>
          <w:sz w:val="20"/>
          <w:szCs w:val="20"/>
        </w:rPr>
        <w:t xml:space="preserve">Texas State Library and Archives Commission, </w:t>
      </w:r>
      <w:hyperlink r:id="rId32" w:history="1">
        <w:r w:rsidR="00FD3D18" w:rsidRPr="00BF3A3C">
          <w:rPr>
            <w:rStyle w:val="Hyperlink"/>
            <w:rFonts w:asciiTheme="minorHAnsi" w:eastAsiaTheme="minorHAnsi" w:hAnsiTheme="minorHAnsi" w:cstheme="minorHAnsi"/>
            <w:b w:val="0"/>
            <w:bCs w:val="0"/>
            <w:kern w:val="0"/>
            <w:sz w:val="20"/>
            <w:szCs w:val="20"/>
          </w:rPr>
          <w:t xml:space="preserve">Standard Terms and Conditions for </w:t>
        </w:r>
        <w:proofErr w:type="spellStart"/>
        <w:r w:rsidR="00FD3D18" w:rsidRPr="00BF3A3C">
          <w:rPr>
            <w:rStyle w:val="Hyperlink"/>
            <w:rFonts w:asciiTheme="minorHAnsi" w:eastAsiaTheme="minorHAnsi" w:hAnsiTheme="minorHAnsi" w:cstheme="minorHAnsi"/>
            <w:b w:val="0"/>
            <w:bCs w:val="0"/>
            <w:kern w:val="0"/>
            <w:sz w:val="20"/>
            <w:szCs w:val="20"/>
          </w:rPr>
          <w:t>TexShare</w:t>
        </w:r>
        <w:proofErr w:type="spellEnd"/>
        <w:r w:rsidR="00FD3D18" w:rsidRPr="00BF3A3C">
          <w:rPr>
            <w:rStyle w:val="Hyperlink"/>
            <w:rFonts w:asciiTheme="minorHAnsi" w:eastAsiaTheme="minorHAnsi" w:hAnsiTheme="minorHAnsi" w:cstheme="minorHAnsi"/>
            <w:b w:val="0"/>
            <w:bCs w:val="0"/>
            <w:kern w:val="0"/>
            <w:sz w:val="20"/>
            <w:szCs w:val="20"/>
          </w:rPr>
          <w:t xml:space="preserve"> and/or </w:t>
        </w:r>
        <w:proofErr w:type="spellStart"/>
        <w:r w:rsidR="00FD3D18" w:rsidRPr="00BF3A3C">
          <w:rPr>
            <w:rStyle w:val="Hyperlink"/>
            <w:rFonts w:asciiTheme="minorHAnsi" w:eastAsiaTheme="minorHAnsi" w:hAnsiTheme="minorHAnsi" w:cstheme="minorHAnsi"/>
            <w:b w:val="0"/>
            <w:bCs w:val="0"/>
            <w:kern w:val="0"/>
            <w:sz w:val="20"/>
            <w:szCs w:val="20"/>
          </w:rPr>
          <w:t>TexQuest</w:t>
        </w:r>
        <w:proofErr w:type="spellEnd"/>
        <w:r w:rsidR="00FD3D18" w:rsidRPr="00BF3A3C">
          <w:rPr>
            <w:rStyle w:val="Hyperlink"/>
            <w:rFonts w:asciiTheme="minorHAnsi" w:eastAsiaTheme="minorHAnsi" w:hAnsiTheme="minorHAnsi" w:cstheme="minorHAnsi"/>
            <w:b w:val="0"/>
            <w:bCs w:val="0"/>
            <w:kern w:val="0"/>
            <w:sz w:val="20"/>
            <w:szCs w:val="20"/>
          </w:rPr>
          <w:t xml:space="preserve"> Agreements</w:t>
        </w:r>
      </w:hyperlink>
      <w:r w:rsidR="00FD3D18" w:rsidRPr="00BF3A3C">
        <w:rPr>
          <w:rFonts w:asciiTheme="minorHAnsi" w:eastAsiaTheme="minorHAnsi" w:hAnsiTheme="minorHAnsi" w:cstheme="minorHAnsi"/>
          <w:b w:val="0"/>
          <w:bCs w:val="0"/>
          <w:kern w:val="0"/>
          <w:sz w:val="20"/>
          <w:szCs w:val="20"/>
        </w:rPr>
        <w:t>. Date: 2021.</w:t>
      </w:r>
    </w:p>
  </w:endnote>
  <w:endnote w:id="7">
    <w:p w14:paraId="48863D7C" w14:textId="77777777" w:rsidR="003931B9" w:rsidRDefault="003931B9" w:rsidP="003931B9">
      <w:pPr>
        <w:pStyle w:val="EndnoteText"/>
      </w:pPr>
      <w:r>
        <w:rPr>
          <w:rStyle w:val="EndnoteReference"/>
        </w:rPr>
        <w:endnoteRef/>
      </w:r>
      <w:r>
        <w:t xml:space="preserve"> </w:t>
      </w:r>
      <w:r w:rsidRPr="00BF3A3C">
        <w:rPr>
          <w:rFonts w:cstheme="minorHAnsi"/>
        </w:rPr>
        <w:t xml:space="preserve">MEE Staff in Washington, “US: Georgia Court Rules Anti-BDS Legislation Unconstitutional," May 24, 2021, </w:t>
      </w:r>
      <w:hyperlink r:id="rId33" w:history="1">
        <w:r w:rsidRPr="00BF3A3C">
          <w:rPr>
            <w:rStyle w:val="Hyperlink"/>
            <w:rFonts w:cstheme="minorHAnsi"/>
          </w:rPr>
          <w:t>https://www.middleeasteye.net/news/us-georgia-court-rules-anti-bds-law-unconstitutional</w:t>
        </w:r>
      </w:hyperlink>
      <w:r w:rsidRPr="00BF3A3C">
        <w:rPr>
          <w:rFonts w:cstheme="minorHAnsi"/>
        </w:rPr>
        <w:t>.</w:t>
      </w:r>
    </w:p>
  </w:endnote>
  <w:endnote w:id="8">
    <w:p w14:paraId="2EF3E668" w14:textId="3C68E7D0" w:rsidR="003931B9" w:rsidRDefault="003931B9">
      <w:pPr>
        <w:pStyle w:val="EndnoteText"/>
      </w:pPr>
      <w:r>
        <w:rPr>
          <w:rStyle w:val="EndnoteReference"/>
        </w:rPr>
        <w:endnoteRef/>
      </w:r>
      <w:r>
        <w:t xml:space="preserve"> </w:t>
      </w:r>
      <w:r w:rsidRPr="002A7D5F">
        <w:rPr>
          <w:rFonts w:cstheme="minorHAnsi"/>
        </w:rPr>
        <w:t xml:space="preserve">This resolution states, “Requiring library employees to sign loyalty oaths contributes to an atmosphere of suspicion and fear and places constraints on intellectual freedom by implying that it is hazardous for library employees to hold or express views other than those condoned by the employer...,” “1991-92 CD#18.1.2, Resolution on Loyalty Oaths,” American Library Association, June 22, 1992, </w:t>
      </w:r>
      <w:hyperlink r:id="rId34" w:history="1">
        <w:r w:rsidRPr="001156D9">
          <w:rPr>
            <w:rStyle w:val="Hyperlink"/>
            <w:rFonts w:ascii="Calibri" w:hAnsi="Calibri" w:cs="Calibri"/>
          </w:rPr>
          <w:t>https://alair.ala.org/bitstream/handle/11213/1649/53.7%20Loyalty%20Oaths.pdf?sequence=1&amp;isAllowed=y</w:t>
        </w:r>
      </w:hyperlink>
      <w:r w:rsidRPr="002A7D5F">
        <w:t>;</w:t>
      </w:r>
    </w:p>
  </w:endnote>
  <w:endnote w:id="9">
    <w:p w14:paraId="72A71416" w14:textId="77A9979D" w:rsidR="00091CC4" w:rsidRDefault="00091CC4">
      <w:pPr>
        <w:pStyle w:val="EndnoteText"/>
      </w:pPr>
      <w:r>
        <w:rPr>
          <w:rStyle w:val="EndnoteReference"/>
        </w:rPr>
        <w:endnoteRef/>
      </w:r>
      <w:r>
        <w:t xml:space="preserve"> </w:t>
      </w:r>
      <w:r w:rsidRPr="002A7D5F">
        <w:rPr>
          <w:rFonts w:cstheme="minorHAnsi"/>
        </w:rPr>
        <w:t>“</w:t>
      </w:r>
      <w:r w:rsidRPr="002A7D5F">
        <w:rPr>
          <w:rFonts w:cstheme="minorHAnsi"/>
          <w:color w:val="111111"/>
        </w:rPr>
        <w:t>The Universal Right to Free Expression: An Interpretation of the Library</w:t>
      </w:r>
      <w:r w:rsidRPr="00660938">
        <w:rPr>
          <w:rFonts w:cstheme="minorHAnsi"/>
          <w:color w:val="111111"/>
        </w:rPr>
        <w:t xml:space="preserve"> Bill of Rights,” American Library Association, </w:t>
      </w:r>
      <w:r w:rsidRPr="00660938">
        <w:rPr>
          <w:rFonts w:cstheme="minorHAnsi"/>
          <w:color w:val="494949"/>
          <w:shd w:val="clear" w:color="auto" w:fill="FEFEFE"/>
        </w:rPr>
        <w:t xml:space="preserve">Adopted January 16, 1991, by the ALA Council; and amended on July 1, 2014, </w:t>
      </w:r>
      <w:hyperlink r:id="rId35" w:history="1">
        <w:r w:rsidRPr="00660938">
          <w:rPr>
            <w:rStyle w:val="Hyperlink"/>
            <w:rFonts w:cstheme="minorHAnsi"/>
          </w:rPr>
          <w:t>https://www.ala.org/advocacy/intfreedom/librarybill/interpretations/universalright</w:t>
        </w:r>
      </w:hyperlink>
      <w:r w:rsidRPr="00660938">
        <w:rPr>
          <w:rStyle w:val="Hyperlink"/>
          <w:rFonts w:cstheme="minorHAnsi"/>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rlow Semi Condensed">
    <w:altName w:val="Barlow Semi Condensed"/>
    <w:charset w:val="00"/>
    <w:family w:val="auto"/>
    <w:pitch w:val="variable"/>
    <w:sig w:usb0="20000007" w:usb1="00000000" w:usb2="00000000" w:usb3="00000000" w:csb0="0000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259AE" w14:textId="77777777" w:rsidR="00252353" w:rsidRDefault="00252353" w:rsidP="0098115A">
      <w:pPr>
        <w:spacing w:after="0" w:line="240" w:lineRule="auto"/>
      </w:pPr>
      <w:r>
        <w:separator/>
      </w:r>
    </w:p>
  </w:footnote>
  <w:footnote w:type="continuationSeparator" w:id="0">
    <w:p w14:paraId="70A43080" w14:textId="77777777" w:rsidR="00252353" w:rsidRDefault="00252353" w:rsidP="009811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FD374B"/>
    <w:multiLevelType w:val="hybridMultilevel"/>
    <w:tmpl w:val="100C2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47319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15A"/>
    <w:rsid w:val="000073E5"/>
    <w:rsid w:val="00014EEE"/>
    <w:rsid w:val="00017211"/>
    <w:rsid w:val="00027C04"/>
    <w:rsid w:val="000439C8"/>
    <w:rsid w:val="000540E0"/>
    <w:rsid w:val="00080B10"/>
    <w:rsid w:val="000860BB"/>
    <w:rsid w:val="00091CC4"/>
    <w:rsid w:val="000C0F06"/>
    <w:rsid w:val="000E7C7B"/>
    <w:rsid w:val="000F651E"/>
    <w:rsid w:val="0011409F"/>
    <w:rsid w:val="001407D9"/>
    <w:rsid w:val="00142E6D"/>
    <w:rsid w:val="00166CCA"/>
    <w:rsid w:val="00171885"/>
    <w:rsid w:val="00175091"/>
    <w:rsid w:val="001825F5"/>
    <w:rsid w:val="00183DE5"/>
    <w:rsid w:val="001845D4"/>
    <w:rsid w:val="001A29EA"/>
    <w:rsid w:val="001A6CC4"/>
    <w:rsid w:val="001E3B21"/>
    <w:rsid w:val="00210B36"/>
    <w:rsid w:val="00210EB2"/>
    <w:rsid w:val="00252353"/>
    <w:rsid w:val="002659C2"/>
    <w:rsid w:val="00266F40"/>
    <w:rsid w:val="00270F06"/>
    <w:rsid w:val="00280C39"/>
    <w:rsid w:val="0029199A"/>
    <w:rsid w:val="002A33E9"/>
    <w:rsid w:val="002A7D5F"/>
    <w:rsid w:val="002C7704"/>
    <w:rsid w:val="002D6C9C"/>
    <w:rsid w:val="002E1AAB"/>
    <w:rsid w:val="00302848"/>
    <w:rsid w:val="0030792F"/>
    <w:rsid w:val="00311C10"/>
    <w:rsid w:val="00314E35"/>
    <w:rsid w:val="00315A27"/>
    <w:rsid w:val="00337FF1"/>
    <w:rsid w:val="00343E97"/>
    <w:rsid w:val="003469D9"/>
    <w:rsid w:val="0038360A"/>
    <w:rsid w:val="003931B9"/>
    <w:rsid w:val="0039524F"/>
    <w:rsid w:val="00396A4A"/>
    <w:rsid w:val="003A4056"/>
    <w:rsid w:val="003A4BF3"/>
    <w:rsid w:val="003C1060"/>
    <w:rsid w:val="003C28C4"/>
    <w:rsid w:val="003D48F8"/>
    <w:rsid w:val="003D5EBE"/>
    <w:rsid w:val="003E2119"/>
    <w:rsid w:val="003F4937"/>
    <w:rsid w:val="003F4A93"/>
    <w:rsid w:val="004003B5"/>
    <w:rsid w:val="00402CF1"/>
    <w:rsid w:val="00406BEF"/>
    <w:rsid w:val="00416477"/>
    <w:rsid w:val="004214D1"/>
    <w:rsid w:val="00473428"/>
    <w:rsid w:val="00476292"/>
    <w:rsid w:val="004962DD"/>
    <w:rsid w:val="004B0ABD"/>
    <w:rsid w:val="004B0F54"/>
    <w:rsid w:val="004B242B"/>
    <w:rsid w:val="004C3096"/>
    <w:rsid w:val="004D305A"/>
    <w:rsid w:val="004D4C92"/>
    <w:rsid w:val="004D5177"/>
    <w:rsid w:val="004E0616"/>
    <w:rsid w:val="004E44B0"/>
    <w:rsid w:val="004E782C"/>
    <w:rsid w:val="00504965"/>
    <w:rsid w:val="00536D9F"/>
    <w:rsid w:val="00540505"/>
    <w:rsid w:val="00541162"/>
    <w:rsid w:val="00551F92"/>
    <w:rsid w:val="00554A54"/>
    <w:rsid w:val="00571FEE"/>
    <w:rsid w:val="00574D08"/>
    <w:rsid w:val="005856C3"/>
    <w:rsid w:val="005A0F22"/>
    <w:rsid w:val="005A3245"/>
    <w:rsid w:val="005B2353"/>
    <w:rsid w:val="005C3635"/>
    <w:rsid w:val="005F3704"/>
    <w:rsid w:val="00604128"/>
    <w:rsid w:val="006042FE"/>
    <w:rsid w:val="00610865"/>
    <w:rsid w:val="006125BD"/>
    <w:rsid w:val="006203B0"/>
    <w:rsid w:val="006402C0"/>
    <w:rsid w:val="00660938"/>
    <w:rsid w:val="006701D4"/>
    <w:rsid w:val="00686C5C"/>
    <w:rsid w:val="006940F6"/>
    <w:rsid w:val="00696953"/>
    <w:rsid w:val="006A3350"/>
    <w:rsid w:val="006B1899"/>
    <w:rsid w:val="006B212C"/>
    <w:rsid w:val="006B28B1"/>
    <w:rsid w:val="006C7FDE"/>
    <w:rsid w:val="006D1DDD"/>
    <w:rsid w:val="006D706B"/>
    <w:rsid w:val="006E6B31"/>
    <w:rsid w:val="006F03EC"/>
    <w:rsid w:val="006F7023"/>
    <w:rsid w:val="00707299"/>
    <w:rsid w:val="0071107B"/>
    <w:rsid w:val="007151E4"/>
    <w:rsid w:val="0072226E"/>
    <w:rsid w:val="00733EFA"/>
    <w:rsid w:val="00736101"/>
    <w:rsid w:val="007432F9"/>
    <w:rsid w:val="0076454C"/>
    <w:rsid w:val="007A19D5"/>
    <w:rsid w:val="007E288D"/>
    <w:rsid w:val="007F1E7E"/>
    <w:rsid w:val="007F216E"/>
    <w:rsid w:val="007F606A"/>
    <w:rsid w:val="00810E62"/>
    <w:rsid w:val="00846E3E"/>
    <w:rsid w:val="008475CD"/>
    <w:rsid w:val="00855FBE"/>
    <w:rsid w:val="00864C59"/>
    <w:rsid w:val="00871332"/>
    <w:rsid w:val="00872AE8"/>
    <w:rsid w:val="0087687F"/>
    <w:rsid w:val="00880257"/>
    <w:rsid w:val="008A451A"/>
    <w:rsid w:val="008B0EF7"/>
    <w:rsid w:val="008C2B4B"/>
    <w:rsid w:val="00902024"/>
    <w:rsid w:val="00903655"/>
    <w:rsid w:val="00907992"/>
    <w:rsid w:val="00911CBF"/>
    <w:rsid w:val="00930A38"/>
    <w:rsid w:val="00957976"/>
    <w:rsid w:val="009616A2"/>
    <w:rsid w:val="0097494E"/>
    <w:rsid w:val="009756AC"/>
    <w:rsid w:val="0098115A"/>
    <w:rsid w:val="009B182E"/>
    <w:rsid w:val="009C0365"/>
    <w:rsid w:val="009D20FB"/>
    <w:rsid w:val="009E10C4"/>
    <w:rsid w:val="009E1B37"/>
    <w:rsid w:val="009E7957"/>
    <w:rsid w:val="009E7A80"/>
    <w:rsid w:val="009F625C"/>
    <w:rsid w:val="00A02B44"/>
    <w:rsid w:val="00A12F91"/>
    <w:rsid w:val="00A13106"/>
    <w:rsid w:val="00A133CB"/>
    <w:rsid w:val="00A50F49"/>
    <w:rsid w:val="00A62A7D"/>
    <w:rsid w:val="00A64B0D"/>
    <w:rsid w:val="00A8373F"/>
    <w:rsid w:val="00A84700"/>
    <w:rsid w:val="00A8738A"/>
    <w:rsid w:val="00AA3D55"/>
    <w:rsid w:val="00AA4352"/>
    <w:rsid w:val="00AB0EF4"/>
    <w:rsid w:val="00AC6CCE"/>
    <w:rsid w:val="00AF2925"/>
    <w:rsid w:val="00AF4705"/>
    <w:rsid w:val="00B064DE"/>
    <w:rsid w:val="00B339E0"/>
    <w:rsid w:val="00B41E62"/>
    <w:rsid w:val="00B5289C"/>
    <w:rsid w:val="00B64457"/>
    <w:rsid w:val="00B67E3E"/>
    <w:rsid w:val="00B72816"/>
    <w:rsid w:val="00B830C7"/>
    <w:rsid w:val="00B86A3A"/>
    <w:rsid w:val="00B8718F"/>
    <w:rsid w:val="00BA00E7"/>
    <w:rsid w:val="00BB19C9"/>
    <w:rsid w:val="00BC7825"/>
    <w:rsid w:val="00BF3A3C"/>
    <w:rsid w:val="00BF4D76"/>
    <w:rsid w:val="00C1679C"/>
    <w:rsid w:val="00C21E13"/>
    <w:rsid w:val="00C267DF"/>
    <w:rsid w:val="00C32F9E"/>
    <w:rsid w:val="00C929D5"/>
    <w:rsid w:val="00CC31D0"/>
    <w:rsid w:val="00CC6E70"/>
    <w:rsid w:val="00CE7B26"/>
    <w:rsid w:val="00D00AF0"/>
    <w:rsid w:val="00D04A59"/>
    <w:rsid w:val="00D04C53"/>
    <w:rsid w:val="00D1150E"/>
    <w:rsid w:val="00D16C83"/>
    <w:rsid w:val="00D34703"/>
    <w:rsid w:val="00D47C8C"/>
    <w:rsid w:val="00DB6D3A"/>
    <w:rsid w:val="00DD3BAF"/>
    <w:rsid w:val="00DE37D7"/>
    <w:rsid w:val="00E17C01"/>
    <w:rsid w:val="00E4545B"/>
    <w:rsid w:val="00E54C8D"/>
    <w:rsid w:val="00E6079D"/>
    <w:rsid w:val="00E607E5"/>
    <w:rsid w:val="00E618EE"/>
    <w:rsid w:val="00E63A8A"/>
    <w:rsid w:val="00E728F0"/>
    <w:rsid w:val="00E82E70"/>
    <w:rsid w:val="00E965F7"/>
    <w:rsid w:val="00EA1D4D"/>
    <w:rsid w:val="00EB3C77"/>
    <w:rsid w:val="00EB6E7E"/>
    <w:rsid w:val="00EC3AEA"/>
    <w:rsid w:val="00EC458B"/>
    <w:rsid w:val="00F027DB"/>
    <w:rsid w:val="00F12621"/>
    <w:rsid w:val="00F14053"/>
    <w:rsid w:val="00F362BE"/>
    <w:rsid w:val="00F71F8A"/>
    <w:rsid w:val="00F823CC"/>
    <w:rsid w:val="00F90486"/>
    <w:rsid w:val="00F905BA"/>
    <w:rsid w:val="00FB1866"/>
    <w:rsid w:val="00FD3D18"/>
    <w:rsid w:val="00FE60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988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8373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F1262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115A"/>
    <w:rPr>
      <w:color w:val="0563C1" w:themeColor="hyperlink"/>
      <w:u w:val="single"/>
    </w:rPr>
  </w:style>
  <w:style w:type="paragraph" w:styleId="EndnoteText">
    <w:name w:val="endnote text"/>
    <w:basedOn w:val="Normal"/>
    <w:link w:val="EndnoteTextChar"/>
    <w:uiPriority w:val="99"/>
    <w:unhideWhenUsed/>
    <w:rsid w:val="0098115A"/>
    <w:pPr>
      <w:spacing w:after="0" w:line="240" w:lineRule="auto"/>
    </w:pPr>
    <w:rPr>
      <w:sz w:val="20"/>
      <w:szCs w:val="20"/>
    </w:rPr>
  </w:style>
  <w:style w:type="character" w:customStyle="1" w:styleId="EndnoteTextChar">
    <w:name w:val="Endnote Text Char"/>
    <w:basedOn w:val="DefaultParagraphFont"/>
    <w:link w:val="EndnoteText"/>
    <w:uiPriority w:val="99"/>
    <w:rsid w:val="0098115A"/>
    <w:rPr>
      <w:sz w:val="20"/>
      <w:szCs w:val="20"/>
    </w:rPr>
  </w:style>
  <w:style w:type="character" w:styleId="EndnoteReference">
    <w:name w:val="endnote reference"/>
    <w:basedOn w:val="DefaultParagraphFont"/>
    <w:uiPriority w:val="99"/>
    <w:semiHidden/>
    <w:unhideWhenUsed/>
    <w:rsid w:val="0098115A"/>
    <w:rPr>
      <w:vertAlign w:val="superscript"/>
    </w:rPr>
  </w:style>
  <w:style w:type="character" w:styleId="FollowedHyperlink">
    <w:name w:val="FollowedHyperlink"/>
    <w:basedOn w:val="DefaultParagraphFont"/>
    <w:uiPriority w:val="99"/>
    <w:semiHidden/>
    <w:unhideWhenUsed/>
    <w:rsid w:val="0098115A"/>
    <w:rPr>
      <w:color w:val="954F72" w:themeColor="followedHyperlink"/>
      <w:u w:val="single"/>
    </w:rPr>
  </w:style>
  <w:style w:type="character" w:styleId="UnresolvedMention">
    <w:name w:val="Unresolved Mention"/>
    <w:basedOn w:val="DefaultParagraphFont"/>
    <w:uiPriority w:val="99"/>
    <w:semiHidden/>
    <w:unhideWhenUsed/>
    <w:rsid w:val="00406BEF"/>
    <w:rPr>
      <w:color w:val="605E5C"/>
      <w:shd w:val="clear" w:color="auto" w:fill="E1DFDD"/>
    </w:rPr>
  </w:style>
  <w:style w:type="paragraph" w:styleId="FootnoteText">
    <w:name w:val="footnote text"/>
    <w:basedOn w:val="Normal"/>
    <w:link w:val="FootnoteTextChar"/>
    <w:uiPriority w:val="99"/>
    <w:semiHidden/>
    <w:unhideWhenUsed/>
    <w:rsid w:val="00B67E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7E3E"/>
    <w:rPr>
      <w:sz w:val="20"/>
      <w:szCs w:val="20"/>
    </w:rPr>
  </w:style>
  <w:style w:type="character" w:styleId="FootnoteReference">
    <w:name w:val="footnote reference"/>
    <w:basedOn w:val="DefaultParagraphFont"/>
    <w:uiPriority w:val="99"/>
    <w:semiHidden/>
    <w:unhideWhenUsed/>
    <w:rsid w:val="00B67E3E"/>
    <w:rPr>
      <w:vertAlign w:val="superscript"/>
    </w:rPr>
  </w:style>
  <w:style w:type="character" w:customStyle="1" w:styleId="Heading1Char">
    <w:name w:val="Heading 1 Char"/>
    <w:basedOn w:val="DefaultParagraphFont"/>
    <w:link w:val="Heading1"/>
    <w:uiPriority w:val="9"/>
    <w:rsid w:val="00A8373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12621"/>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416477"/>
    <w:pPr>
      <w:ind w:left="720"/>
      <w:contextualSpacing/>
    </w:pPr>
  </w:style>
  <w:style w:type="paragraph" w:styleId="Header">
    <w:name w:val="header"/>
    <w:basedOn w:val="Normal"/>
    <w:link w:val="HeaderChar"/>
    <w:uiPriority w:val="99"/>
    <w:unhideWhenUsed/>
    <w:rsid w:val="00A02B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2B44"/>
  </w:style>
  <w:style w:type="paragraph" w:styleId="Footer">
    <w:name w:val="footer"/>
    <w:basedOn w:val="Normal"/>
    <w:link w:val="FooterChar"/>
    <w:uiPriority w:val="99"/>
    <w:unhideWhenUsed/>
    <w:rsid w:val="00A02B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2B44"/>
  </w:style>
  <w:style w:type="paragraph" w:styleId="Revision">
    <w:name w:val="Revision"/>
    <w:hidden/>
    <w:uiPriority w:val="99"/>
    <w:semiHidden/>
    <w:rsid w:val="001140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278674">
      <w:bodyDiv w:val="1"/>
      <w:marLeft w:val="0"/>
      <w:marRight w:val="0"/>
      <w:marTop w:val="0"/>
      <w:marBottom w:val="0"/>
      <w:divBdr>
        <w:top w:val="none" w:sz="0" w:space="0" w:color="auto"/>
        <w:left w:val="none" w:sz="0" w:space="0" w:color="auto"/>
        <w:bottom w:val="none" w:sz="0" w:space="0" w:color="auto"/>
        <w:right w:val="none" w:sz="0" w:space="0" w:color="auto"/>
      </w:divBdr>
    </w:div>
    <w:div w:id="324161991">
      <w:bodyDiv w:val="1"/>
      <w:marLeft w:val="0"/>
      <w:marRight w:val="0"/>
      <w:marTop w:val="0"/>
      <w:marBottom w:val="0"/>
      <w:divBdr>
        <w:top w:val="none" w:sz="0" w:space="0" w:color="auto"/>
        <w:left w:val="none" w:sz="0" w:space="0" w:color="auto"/>
        <w:bottom w:val="none" w:sz="0" w:space="0" w:color="auto"/>
        <w:right w:val="none" w:sz="0" w:space="0" w:color="auto"/>
      </w:divBdr>
    </w:div>
    <w:div w:id="433945024">
      <w:bodyDiv w:val="1"/>
      <w:marLeft w:val="0"/>
      <w:marRight w:val="0"/>
      <w:marTop w:val="0"/>
      <w:marBottom w:val="0"/>
      <w:divBdr>
        <w:top w:val="none" w:sz="0" w:space="0" w:color="auto"/>
        <w:left w:val="none" w:sz="0" w:space="0" w:color="auto"/>
        <w:bottom w:val="none" w:sz="0" w:space="0" w:color="auto"/>
        <w:right w:val="none" w:sz="0" w:space="0" w:color="auto"/>
      </w:divBdr>
    </w:div>
    <w:div w:id="693503103">
      <w:bodyDiv w:val="1"/>
      <w:marLeft w:val="0"/>
      <w:marRight w:val="0"/>
      <w:marTop w:val="0"/>
      <w:marBottom w:val="0"/>
      <w:divBdr>
        <w:top w:val="none" w:sz="0" w:space="0" w:color="auto"/>
        <w:left w:val="none" w:sz="0" w:space="0" w:color="auto"/>
        <w:bottom w:val="none" w:sz="0" w:space="0" w:color="auto"/>
        <w:right w:val="none" w:sz="0" w:space="0" w:color="auto"/>
      </w:divBdr>
    </w:div>
    <w:div w:id="709956509">
      <w:bodyDiv w:val="1"/>
      <w:marLeft w:val="0"/>
      <w:marRight w:val="0"/>
      <w:marTop w:val="0"/>
      <w:marBottom w:val="0"/>
      <w:divBdr>
        <w:top w:val="none" w:sz="0" w:space="0" w:color="auto"/>
        <w:left w:val="none" w:sz="0" w:space="0" w:color="auto"/>
        <w:bottom w:val="none" w:sz="0" w:space="0" w:color="auto"/>
        <w:right w:val="none" w:sz="0" w:space="0" w:color="auto"/>
      </w:divBdr>
    </w:div>
    <w:div w:id="855075548">
      <w:bodyDiv w:val="1"/>
      <w:marLeft w:val="0"/>
      <w:marRight w:val="0"/>
      <w:marTop w:val="0"/>
      <w:marBottom w:val="0"/>
      <w:divBdr>
        <w:top w:val="none" w:sz="0" w:space="0" w:color="auto"/>
        <w:left w:val="none" w:sz="0" w:space="0" w:color="auto"/>
        <w:bottom w:val="none" w:sz="0" w:space="0" w:color="auto"/>
        <w:right w:val="none" w:sz="0" w:space="0" w:color="auto"/>
      </w:divBdr>
    </w:div>
    <w:div w:id="922764295">
      <w:bodyDiv w:val="1"/>
      <w:marLeft w:val="0"/>
      <w:marRight w:val="0"/>
      <w:marTop w:val="0"/>
      <w:marBottom w:val="0"/>
      <w:divBdr>
        <w:top w:val="none" w:sz="0" w:space="0" w:color="auto"/>
        <w:left w:val="none" w:sz="0" w:space="0" w:color="auto"/>
        <w:bottom w:val="none" w:sz="0" w:space="0" w:color="auto"/>
        <w:right w:val="none" w:sz="0" w:space="0" w:color="auto"/>
      </w:divBdr>
    </w:div>
    <w:div w:id="960695312">
      <w:bodyDiv w:val="1"/>
      <w:marLeft w:val="0"/>
      <w:marRight w:val="0"/>
      <w:marTop w:val="0"/>
      <w:marBottom w:val="0"/>
      <w:divBdr>
        <w:top w:val="none" w:sz="0" w:space="0" w:color="auto"/>
        <w:left w:val="none" w:sz="0" w:space="0" w:color="auto"/>
        <w:bottom w:val="none" w:sz="0" w:space="0" w:color="auto"/>
        <w:right w:val="none" w:sz="0" w:space="0" w:color="auto"/>
      </w:divBdr>
    </w:div>
    <w:div w:id="1135413663">
      <w:bodyDiv w:val="1"/>
      <w:marLeft w:val="0"/>
      <w:marRight w:val="0"/>
      <w:marTop w:val="0"/>
      <w:marBottom w:val="0"/>
      <w:divBdr>
        <w:top w:val="none" w:sz="0" w:space="0" w:color="auto"/>
        <w:left w:val="none" w:sz="0" w:space="0" w:color="auto"/>
        <w:bottom w:val="none" w:sz="0" w:space="0" w:color="auto"/>
        <w:right w:val="none" w:sz="0" w:space="0" w:color="auto"/>
      </w:divBdr>
    </w:div>
    <w:div w:id="1147747139">
      <w:bodyDiv w:val="1"/>
      <w:marLeft w:val="0"/>
      <w:marRight w:val="0"/>
      <w:marTop w:val="0"/>
      <w:marBottom w:val="0"/>
      <w:divBdr>
        <w:top w:val="none" w:sz="0" w:space="0" w:color="auto"/>
        <w:left w:val="none" w:sz="0" w:space="0" w:color="auto"/>
        <w:bottom w:val="none" w:sz="0" w:space="0" w:color="auto"/>
        <w:right w:val="none" w:sz="0" w:space="0" w:color="auto"/>
      </w:divBdr>
    </w:div>
    <w:div w:id="1153569573">
      <w:bodyDiv w:val="1"/>
      <w:marLeft w:val="0"/>
      <w:marRight w:val="0"/>
      <w:marTop w:val="0"/>
      <w:marBottom w:val="0"/>
      <w:divBdr>
        <w:top w:val="none" w:sz="0" w:space="0" w:color="auto"/>
        <w:left w:val="none" w:sz="0" w:space="0" w:color="auto"/>
        <w:bottom w:val="none" w:sz="0" w:space="0" w:color="auto"/>
        <w:right w:val="none" w:sz="0" w:space="0" w:color="auto"/>
      </w:divBdr>
    </w:div>
    <w:div w:id="1746488196">
      <w:bodyDiv w:val="1"/>
      <w:marLeft w:val="0"/>
      <w:marRight w:val="0"/>
      <w:marTop w:val="0"/>
      <w:marBottom w:val="0"/>
      <w:divBdr>
        <w:top w:val="none" w:sz="0" w:space="0" w:color="auto"/>
        <w:left w:val="none" w:sz="0" w:space="0" w:color="auto"/>
        <w:bottom w:val="none" w:sz="0" w:space="0" w:color="auto"/>
        <w:right w:val="none" w:sz="0" w:space="0" w:color="auto"/>
      </w:divBdr>
    </w:div>
    <w:div w:id="1780221520">
      <w:bodyDiv w:val="1"/>
      <w:marLeft w:val="0"/>
      <w:marRight w:val="0"/>
      <w:marTop w:val="0"/>
      <w:marBottom w:val="0"/>
      <w:divBdr>
        <w:top w:val="none" w:sz="0" w:space="0" w:color="auto"/>
        <w:left w:val="none" w:sz="0" w:space="0" w:color="auto"/>
        <w:bottom w:val="none" w:sz="0" w:space="0" w:color="auto"/>
        <w:right w:val="none" w:sz="0" w:space="0" w:color="auto"/>
      </w:divBdr>
    </w:div>
    <w:div w:id="1831169486">
      <w:bodyDiv w:val="1"/>
      <w:marLeft w:val="0"/>
      <w:marRight w:val="0"/>
      <w:marTop w:val="0"/>
      <w:marBottom w:val="0"/>
      <w:divBdr>
        <w:top w:val="none" w:sz="0" w:space="0" w:color="auto"/>
        <w:left w:val="none" w:sz="0" w:space="0" w:color="auto"/>
        <w:bottom w:val="none" w:sz="0" w:space="0" w:color="auto"/>
        <w:right w:val="none" w:sz="0" w:space="0" w:color="auto"/>
      </w:divBdr>
    </w:div>
    <w:div w:id="21029885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13" Type="http://schemas.openxmlformats.org/officeDocument/2006/relationships/hyperlink" Target="https://www.congress.gov/bill/117th-congress/house-bill/6940/text" TargetMode="External"/><Relationship Id="rId18" Type="http://schemas.openxmlformats.org/officeDocument/2006/relationships/hyperlink" Target="https://jewishcurrents.org/what-the-fossil-fuel-industry-learned-from-anti-bds-laws" TargetMode="External"/><Relationship Id="rId26" Type="http://schemas.openxmlformats.org/officeDocument/2006/relationships/hyperlink" Target="https://fmep.org/wp/wp-content/uploads/BDS-Laws-as-Template-for-Laws-on-Other-Issues.pdf" TargetMode="External"/><Relationship Id="rId3" Type="http://schemas.openxmlformats.org/officeDocument/2006/relationships/hyperlink" Target="https://www.aclu.org/blog/free-speech/congress-threat-americans-first-amendment-right-boycott" TargetMode="External"/><Relationship Id="rId21" Type="http://schemas.openxmlformats.org/officeDocument/2006/relationships/hyperlink" Target="https://fmep.org/wp/wp-content/uploads/BDS-Laws-as-Template-for-Laws-on-Other-Issues.pdf" TargetMode="External"/><Relationship Id="rId34" Type="http://schemas.openxmlformats.org/officeDocument/2006/relationships/hyperlink" Target="https://alair.ala.org/bitstream/handle/11213/1649/53.7%20Loyalty%20Oaths.pdf?sequence=1&amp;isAllowed=y" TargetMode="External"/><Relationship Id="rId7" Type="http://schemas.openxmlformats.org/officeDocument/2006/relationships/hyperlink" Target="https://legislation.palestinelegal.org/" TargetMode="External"/><Relationship Id="rId12" Type="http://schemas.openxmlformats.org/officeDocument/2006/relationships/hyperlink" Target="https://www.congress.gov/bill/114th-congress/senate-bill/2531/text" TargetMode="External"/><Relationship Id="rId17" Type="http://schemas.openxmlformats.org/officeDocument/2006/relationships/hyperlink" Target="https://capitol.texas.gov/tlodocs/87R/billtext/pdf/SB00013F.pdf" TargetMode="External"/><Relationship Id="rId25" Type="http://schemas.openxmlformats.org/officeDocument/2006/relationships/hyperlink" Target="https://kansasreflector.com/2022/02/22/kansas-senate-considers-shielding-firearm-industry-from-discrimination-by-businesses/" TargetMode="External"/><Relationship Id="rId33" Type="http://schemas.openxmlformats.org/officeDocument/2006/relationships/hyperlink" Target="https://www.middleeasteye.net/news/us-georgia-court-rules-anti-bds-law-unconstitutional" TargetMode="External"/><Relationship Id="rId2" Type="http://schemas.openxmlformats.org/officeDocument/2006/relationships/hyperlink" Target="https://www.mtsu.edu/first-amendment/article/987/boycotts" TargetMode="External"/><Relationship Id="rId16" Type="http://schemas.openxmlformats.org/officeDocument/2006/relationships/hyperlink" Target="https://legislation.palestinelegal.org/" TargetMode="External"/><Relationship Id="rId20" Type="http://schemas.openxmlformats.org/officeDocument/2006/relationships/hyperlink" Target="https://www.exposedbycmd.org/2022/02/08/alecs-critical-energy-theory-bills-moving-in-four-states/" TargetMode="External"/><Relationship Id="rId29" Type="http://schemas.openxmlformats.org/officeDocument/2006/relationships/hyperlink" Target="https://cms7files.revize.com/edinburgtx/z/02%20RFP%202022-010%20RADIO%20FREQUENCY%20INDENTIFICATION%20SYSTEM.pdf" TargetMode="External"/><Relationship Id="rId1" Type="http://schemas.openxmlformats.org/officeDocument/2006/relationships/hyperlink" Target="https://tile.loc.gov/storage-services/service/ll/usrep/usrep458/usrep458886/usrep458886.pdf" TargetMode="External"/><Relationship Id="rId6" Type="http://schemas.openxmlformats.org/officeDocument/2006/relationships/hyperlink" Target="https://nam12.safelinks.protection.outlook.com/?url=https%3A%2F%2Fwww.ala.org%2Frt%2Fsites%2Fala.org.rt%2Ffiles%2Fcontent%2FSRRT%2FResolutions%2F1993%2F1993_ConferenceSiteContracts_FINAL.pdf&amp;data=05%7C01%7Cttwiss%40pitt.edu%7C109f63c0da604b6d1ffe08da22209ee2%7C9ef9f489e0a04eeb87cc3a526112fd0d%7C1%7C0%7C637859821315546885%7CUnknown%7CTWFpbGZsb3d8eyJWIjoiMC4wLjAwMDAiLCJQIjoiV2luMzIiLCJBTiI6Ik1haWwiLCJXVCI6Mn0%3D%7C3000%7C%7C%7C&amp;sdata=f5KVevrv4TSeeWK%2BESk4WMgPQBwWNiZgMPNcvrUxbKI%3D&amp;reserved=0" TargetMode="External"/><Relationship Id="rId11" Type="http://schemas.openxmlformats.org/officeDocument/2006/relationships/hyperlink" Target="https://www.congress.gov/bill/115th-congress/senate-bill/170/text" TargetMode="External"/><Relationship Id="rId24" Type="http://schemas.openxmlformats.org/officeDocument/2006/relationships/hyperlink" Target="https://www.npr.org/2022/02/18/1081917682/a-bill-in-the-arizona-house-would-punish-banks-that-refuse-business-from-gun-fir" TargetMode="External"/><Relationship Id="rId32" Type="http://schemas.openxmlformats.org/officeDocument/2006/relationships/hyperlink" Target="https://www.tsl.texas.gov/sites/default/files/public/tslac/admin/tandc/General%20Terms%20and%20Conditions_2021.pdf" TargetMode="External"/><Relationship Id="rId5" Type="http://schemas.openxmlformats.org/officeDocument/2006/relationships/hyperlink" Target="https://www.ala.org/rt/sites/ala.org.rt/files/content/SRRT/Resolutions/1993/1993_MovingConferenceFromColorado_FINAL.pdf" TargetMode="External"/><Relationship Id="rId15" Type="http://schemas.openxmlformats.org/officeDocument/2006/relationships/hyperlink" Target="https://www.congress.gov/bill/115th-congress/house-bill/1697/text" TargetMode="External"/><Relationship Id="rId23" Type="http://schemas.openxmlformats.org/officeDocument/2006/relationships/hyperlink" Target="http://webserver1.lsb.state.ok.us/cf_pdf/2021-22%20ENGR/hB/HB3144%20ENGR.PDF" TargetMode="External"/><Relationship Id="rId28" Type="http://schemas.openxmlformats.org/officeDocument/2006/relationships/hyperlink" Target="C://Users/ttwiss/Downloads/761784320%20(1).pdf" TargetMode="External"/><Relationship Id="rId10" Type="http://schemas.openxmlformats.org/officeDocument/2006/relationships/hyperlink" Target="https://www.congress.gov/bill/116th-congress/senate-bill/1/text" TargetMode="External"/><Relationship Id="rId19" Type="http://schemas.openxmlformats.org/officeDocument/2006/relationships/hyperlink" Target="https://www.theguardian.com/environment/2022/feb/08/rightwing-lobby-alec-blacklist-companies-boycott-oil-industry" TargetMode="External"/><Relationship Id="rId31" Type="http://schemas.openxmlformats.org/officeDocument/2006/relationships/hyperlink" Target="https://www.ci.boerne.tx.us/DocumentCenter/View/17657/Request-for-Proposal-Telecommunications-System-PDF?bidId=" TargetMode="External"/><Relationship Id="rId4" Type="http://schemas.openxmlformats.org/officeDocument/2006/relationships/hyperlink" Target="https://nam12.safelinks.protection.outlook.com/?url=https%3A%2F%2Fwww.ala.org%2Frt%2Fsites%2Fala.org.rt%2Ffiles%2Fcontent%2FSRRT%2FResolutions%2F1990%2F1990_StarvationYoungMinds.pdf&amp;data=05%7C01%7Cttwiss%40pitt.edu%7C109f63c0da604b6d1ffe08da22209ee2%7C9ef9f489e0a04eeb87cc3a526112fd0d%7C1%7C0%7C637859821315546885%7CUnknown%7CTWFpbGZsb3d8eyJWIjoiMC4wLjAwMDAiLCJQIjoiV2luMzIiLCJBTiI6Ik1haWwiLCJXVCI6Mn0%3D%7C3000%7C%7C%7C&amp;sdata=VUopnZTCStzk6Wq9%2FR440PM1%2B%2BYGRzEfgjV7GcWwVrU%3D&amp;reserved=0" TargetMode="External"/><Relationship Id="rId9" Type="http://schemas.openxmlformats.org/officeDocument/2006/relationships/hyperlink" Target="https://www.aclu.org/sites/default/files/field_document/2019-02-05_aclu_vote_recommendation_on_s._1.pdf" TargetMode="External"/><Relationship Id="rId14" Type="http://schemas.openxmlformats.org/officeDocument/2006/relationships/hyperlink" Target="https://www.congress.gov/bill/116th-congress/house-bill/5595/text" TargetMode="External"/><Relationship Id="rId22" Type="http://schemas.openxmlformats.org/officeDocument/2006/relationships/hyperlink" Target="https://capitol.texas.gov/tlodocs/87R/billtext/html/SB00019F.htm" TargetMode="External"/><Relationship Id="rId27" Type="http://schemas.openxmlformats.org/officeDocument/2006/relationships/hyperlink" Target="https://www.ala.org/rt/srrt/irtf/anti-bds-legislation-library-connection" TargetMode="External"/><Relationship Id="rId30" Type="http://schemas.openxmlformats.org/officeDocument/2006/relationships/hyperlink" Target="https://purchasing.houstontx.gov/bids/T30037/T30037%20-%20Request%20for%20Proposals.pdf" TargetMode="External"/><Relationship Id="rId35" Type="http://schemas.openxmlformats.org/officeDocument/2006/relationships/hyperlink" Target="https://www.ala.org/advocacy/intfreedom/librarybill/interpretations/universalright" TargetMode="External"/><Relationship Id="rId8" Type="http://schemas.openxmlformats.org/officeDocument/2006/relationships/hyperlink" Target="https://www.congress.gov/bill/117th-congress/senate-bill/2119/te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A2B434-4632-4F8A-AD92-9F42963A3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2022-06-08T17:45:00Z</dcterms:created>
  <dcterms:modified xsi:type="dcterms:W3CDTF">2022-06-08T17:45:00Z</dcterms:modified>
</cp:coreProperties>
</file>