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22B3F226"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5200B4">
        <w:rPr>
          <w:rFonts w:asciiTheme="minorHAnsi" w:hAnsiTheme="minorHAnsi"/>
        </w:rPr>
        <w:t>Organizational Excellence Report</w:t>
      </w:r>
      <w:bookmarkStart w:id="0" w:name="_GoBack"/>
      <w:bookmarkEnd w:id="0"/>
    </w:p>
    <w:p w14:paraId="7D7F2693" w14:textId="66B6316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E87670">
        <w:rPr>
          <w:rFonts w:asciiTheme="minorHAnsi" w:hAnsiTheme="minorHAnsi"/>
        </w:rPr>
        <w:t>April 13, 2020</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3B357501" w:rsidR="00DD1B11" w:rsidRDefault="00DD1B11" w:rsidP="000116FE">
      <w:pPr>
        <w:ind w:left="2160" w:hanging="2160"/>
        <w:rPr>
          <w:rFonts w:asciiTheme="minorHAnsi" w:hAnsiTheme="minorHAnsi"/>
          <w:i/>
        </w:rPr>
      </w:pPr>
      <w:r>
        <w:rPr>
          <w:rFonts w:asciiTheme="minorHAnsi" w:hAnsiTheme="minorHAnsi"/>
          <w:b/>
        </w:rPr>
        <w:t>ACTION REQUESTED/INFORMATION/REPORT:</w:t>
      </w:r>
      <w:r w:rsidR="000116FE">
        <w:rPr>
          <w:rFonts w:asciiTheme="minorHAnsi" w:hAnsiTheme="minorHAnsi"/>
          <w:b/>
        </w:rPr>
        <w:t xml:space="preserve"> </w:t>
      </w:r>
      <w:r>
        <w:rPr>
          <w:rFonts w:asciiTheme="minorHAnsi" w:hAnsiTheme="minorHAnsi"/>
        </w:rPr>
        <w:t>Information</w:t>
      </w:r>
    </w:p>
    <w:p w14:paraId="2CCF2489" w14:textId="4B9E54D1" w:rsidR="00DD1B11" w:rsidRDefault="00DD1B11" w:rsidP="000116FE">
      <w:pPr>
        <w:ind w:left="2880" w:hanging="2880"/>
        <w:rPr>
          <w:rFonts w:asciiTheme="minorHAnsi" w:hAnsiTheme="minorHAnsi"/>
        </w:rPr>
      </w:pPr>
      <w:r>
        <w:rPr>
          <w:rFonts w:ascii="Calibri" w:hAnsi="Calibri"/>
          <w:b/>
        </w:rPr>
        <w:t>ACTION REQUESTED BY</w:t>
      </w:r>
      <w:r>
        <w:rPr>
          <w:rFonts w:asciiTheme="minorHAnsi" w:hAnsiTheme="minorHAnsi"/>
          <w:b/>
        </w:rPr>
        <w:t>:</w:t>
      </w:r>
      <w:r w:rsidR="000116FE">
        <w:rPr>
          <w:rFonts w:asciiTheme="minorHAnsi" w:hAnsiTheme="minorHAnsi"/>
          <w:b/>
        </w:rPr>
        <w:t xml:space="preserve"> </w:t>
      </w:r>
      <w:r>
        <w:rPr>
          <w:rFonts w:asciiTheme="minorHAnsi" w:hAnsiTheme="minorHAnsi"/>
        </w:rPr>
        <w:t>N/A</w:t>
      </w:r>
    </w:p>
    <w:p w14:paraId="6299D693" w14:textId="75E93B05" w:rsidR="00DD1B11" w:rsidRDefault="00DD1B11" w:rsidP="000116FE">
      <w:pPr>
        <w:rPr>
          <w:rFonts w:asciiTheme="minorHAnsi" w:hAnsiTheme="minorHAnsi"/>
        </w:rPr>
      </w:pPr>
      <w:r>
        <w:rPr>
          <w:rFonts w:asciiTheme="minorHAnsi" w:hAnsiTheme="minorHAnsi"/>
          <w:b/>
        </w:rPr>
        <w:t>DRAFT OF MOTION:</w:t>
      </w:r>
      <w:r w:rsidR="000116FE">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015EA66F" w14:textId="3BAE3FA8" w:rsidR="005200B4" w:rsidRPr="005200B4" w:rsidRDefault="005200B4" w:rsidP="005200B4">
      <w:pPr>
        <w:rPr>
          <w:rFonts w:asciiTheme="minorHAnsi" w:hAnsiTheme="minorHAnsi"/>
          <w:b/>
          <w:bCs/>
          <w:color w:val="7030A0"/>
        </w:rPr>
      </w:pPr>
      <w:r w:rsidRPr="005200B4">
        <w:rPr>
          <w:rFonts w:asciiTheme="minorHAnsi" w:hAnsiTheme="minorHAnsi"/>
          <w:b/>
          <w:bCs/>
          <w:color w:val="7030A0"/>
        </w:rPr>
        <w:t>PLA Strategic Plan Goal: Organizational Excellence</w:t>
      </w:r>
    </w:p>
    <w:p w14:paraId="6C64E82D" w14:textId="2723A8F9" w:rsidR="000116FE" w:rsidRPr="005200B4" w:rsidRDefault="005200B4" w:rsidP="005200B4">
      <w:pPr>
        <w:pStyle w:val="ListParagraph"/>
        <w:numPr>
          <w:ilvl w:val="0"/>
          <w:numId w:val="27"/>
        </w:numPr>
        <w:rPr>
          <w:rFonts w:asciiTheme="minorHAnsi" w:hAnsiTheme="minorHAnsi"/>
          <w:b/>
          <w:bCs/>
          <w:color w:val="7030A0"/>
        </w:rPr>
      </w:pPr>
      <w:r w:rsidRPr="005200B4">
        <w:rPr>
          <w:rFonts w:asciiTheme="minorHAnsi" w:hAnsiTheme="minorHAnsi"/>
          <w:b/>
          <w:bCs/>
          <w:color w:val="7030A0"/>
        </w:rPr>
        <w:t>PLA is entrepreneurial, resilient, and successful in the sustaining and growing of resources to advance its mission and work.</w:t>
      </w:r>
    </w:p>
    <w:p w14:paraId="004714CA" w14:textId="1C4DB95C" w:rsidR="00427B50" w:rsidRDefault="00427B50" w:rsidP="00307E02">
      <w:pPr>
        <w:rPr>
          <w:rFonts w:asciiTheme="minorHAnsi" w:hAnsiTheme="minorHAnsi"/>
          <w:b/>
        </w:rPr>
      </w:pPr>
    </w:p>
    <w:p w14:paraId="6CCCC66D" w14:textId="77777777" w:rsidR="005200B4" w:rsidRDefault="005200B4" w:rsidP="00307E02">
      <w:pPr>
        <w:rPr>
          <w:rFonts w:asciiTheme="minorHAnsi" w:hAnsiTheme="minorHAnsi"/>
          <w:b/>
        </w:rPr>
      </w:pPr>
    </w:p>
    <w:p w14:paraId="76F19B96" w14:textId="3E587D79" w:rsidR="005200B4" w:rsidRPr="005200B4" w:rsidRDefault="005200B4" w:rsidP="005200B4">
      <w:pPr>
        <w:rPr>
          <w:rFonts w:asciiTheme="minorHAnsi" w:hAnsiTheme="minorHAnsi"/>
          <w:b/>
        </w:rPr>
      </w:pPr>
      <w:r>
        <w:rPr>
          <w:rFonts w:asciiTheme="minorHAnsi" w:hAnsiTheme="minorHAnsi"/>
          <w:b/>
        </w:rPr>
        <w:t>COMMITTEE APPOINTMENTS, 2020</w:t>
      </w:r>
    </w:p>
    <w:p w14:paraId="051A3367" w14:textId="03CE2E75" w:rsidR="005200B4" w:rsidRPr="0059741A" w:rsidRDefault="005200B4" w:rsidP="005200B4">
      <w:pPr>
        <w:rPr>
          <w:rFonts w:asciiTheme="minorHAnsi" w:hAnsiTheme="minorHAnsi"/>
          <w:bCs/>
          <w:i/>
          <w:iCs/>
        </w:rPr>
      </w:pPr>
      <w:r w:rsidRPr="0059741A">
        <w:rPr>
          <w:rFonts w:asciiTheme="minorHAnsi" w:hAnsiTheme="minorHAnsi"/>
          <w:bCs/>
          <w:i/>
          <w:iCs/>
        </w:rPr>
        <w:t xml:space="preserve">Submitted by </w:t>
      </w:r>
      <w:r>
        <w:rPr>
          <w:rFonts w:asciiTheme="minorHAnsi" w:hAnsiTheme="minorHAnsi"/>
          <w:bCs/>
          <w:i/>
          <w:iCs/>
        </w:rPr>
        <w:t>Megan Stewart, Program Coordinator</w:t>
      </w:r>
    </w:p>
    <w:p w14:paraId="40F43782" w14:textId="77777777" w:rsidR="00A32844" w:rsidRDefault="00A32844" w:rsidP="00A32844">
      <w:pPr>
        <w:rPr>
          <w:rFonts w:asciiTheme="minorHAnsi" w:hAnsiTheme="minorHAnsi"/>
          <w:b/>
          <w:bCs/>
        </w:rPr>
      </w:pPr>
    </w:p>
    <w:p w14:paraId="3458EB08" w14:textId="11119982" w:rsidR="00A32844" w:rsidRPr="00A32844" w:rsidRDefault="00A32844" w:rsidP="00A32844">
      <w:pPr>
        <w:rPr>
          <w:rFonts w:asciiTheme="minorHAnsi" w:hAnsiTheme="minorHAnsi"/>
        </w:rPr>
      </w:pPr>
      <w:r w:rsidRPr="00A32844">
        <w:rPr>
          <w:rFonts w:asciiTheme="minorHAnsi" w:hAnsiTheme="minorHAnsi"/>
        </w:rPr>
        <w:t xml:space="preserve">Each spring, PLA staff prepares and sends to the President-Elect a number of materials and resources to use in making committee appointments. PLA requires the following positions to be filled for </w:t>
      </w:r>
      <w:r>
        <w:rPr>
          <w:rFonts w:asciiTheme="minorHAnsi" w:hAnsiTheme="minorHAnsi"/>
        </w:rPr>
        <w:t xml:space="preserve">the </w:t>
      </w:r>
      <w:r w:rsidRPr="00A32844">
        <w:rPr>
          <w:rFonts w:asciiTheme="minorHAnsi" w:hAnsiTheme="minorHAnsi"/>
        </w:rPr>
        <w:t>2020-2021</w:t>
      </w:r>
      <w:r>
        <w:rPr>
          <w:rFonts w:asciiTheme="minorHAnsi" w:hAnsiTheme="minorHAnsi"/>
        </w:rPr>
        <w:t xml:space="preserve"> term</w:t>
      </w:r>
      <w:r w:rsidRPr="00A32844">
        <w:rPr>
          <w:rFonts w:asciiTheme="minorHAnsi" w:hAnsiTheme="minorHAnsi"/>
        </w:rPr>
        <w:t>:</w:t>
      </w:r>
    </w:p>
    <w:p w14:paraId="523D575D" w14:textId="77777777" w:rsidR="00A32844" w:rsidRPr="00A32844" w:rsidRDefault="00A32844" w:rsidP="00A32844">
      <w:pPr>
        <w:numPr>
          <w:ilvl w:val="0"/>
          <w:numId w:val="29"/>
        </w:numPr>
        <w:rPr>
          <w:rFonts w:asciiTheme="minorHAnsi" w:hAnsiTheme="minorHAnsi"/>
        </w:rPr>
      </w:pPr>
      <w:r w:rsidRPr="00A32844">
        <w:rPr>
          <w:rFonts w:asciiTheme="minorHAnsi" w:hAnsiTheme="minorHAnsi"/>
        </w:rPr>
        <w:t>13 chairs and 78 members on 15 committees, task forces, and advisory groups.</w:t>
      </w:r>
    </w:p>
    <w:p w14:paraId="2DEAC1D4" w14:textId="2DC8452B" w:rsidR="005200B4" w:rsidRDefault="005200B4" w:rsidP="005200B4">
      <w:pPr>
        <w:rPr>
          <w:rFonts w:asciiTheme="minorHAnsi" w:hAnsiTheme="minorHAnsi"/>
          <w:b/>
        </w:rPr>
      </w:pPr>
    </w:p>
    <w:p w14:paraId="4CDA4CCE" w14:textId="396BA2AA" w:rsidR="00A32844" w:rsidRDefault="00A32844" w:rsidP="005200B4">
      <w:pPr>
        <w:rPr>
          <w:rFonts w:asciiTheme="minorHAnsi" w:hAnsiTheme="minorHAnsi"/>
          <w:bCs/>
        </w:rPr>
      </w:pPr>
      <w:r w:rsidRPr="00A32844">
        <w:rPr>
          <w:rFonts w:asciiTheme="minorHAnsi" w:hAnsiTheme="minorHAnsi"/>
          <w:bCs/>
        </w:rPr>
        <w:t xml:space="preserve">Thus far, </w:t>
      </w:r>
      <w:r>
        <w:rPr>
          <w:rFonts w:asciiTheme="minorHAnsi" w:hAnsiTheme="minorHAnsi"/>
          <w:bCs/>
        </w:rPr>
        <w:t xml:space="preserve">PLA staff has sent to the PLA President-Elect a </w:t>
      </w:r>
      <w:r w:rsidRPr="00A32844">
        <w:rPr>
          <w:rFonts w:asciiTheme="minorHAnsi" w:hAnsiTheme="minorHAnsi"/>
          <w:bCs/>
        </w:rPr>
        <w:t>Word document referred to as the Committee Packet, which lists each committee’s charge, composition, and number of appointments needed per committee.</w:t>
      </w:r>
      <w:r>
        <w:rPr>
          <w:rFonts w:asciiTheme="minorHAnsi" w:hAnsiTheme="minorHAnsi"/>
          <w:bCs/>
        </w:rPr>
        <w:t xml:space="preserve"> PLA also issued a member news release on April 14 encouraging PLA members to volunteer for committee service. That news release may be read </w:t>
      </w:r>
      <w:hyperlink r:id="rId8" w:history="1">
        <w:r w:rsidRPr="00326D13">
          <w:rPr>
            <w:rStyle w:val="Hyperlink"/>
            <w:rFonts w:asciiTheme="minorHAnsi" w:hAnsiTheme="minorHAnsi"/>
            <w:bCs/>
          </w:rPr>
          <w:t>here</w:t>
        </w:r>
      </w:hyperlink>
      <w:r>
        <w:rPr>
          <w:rFonts w:asciiTheme="minorHAnsi" w:hAnsiTheme="minorHAnsi"/>
          <w:bCs/>
        </w:rPr>
        <w:t>.</w:t>
      </w:r>
    </w:p>
    <w:p w14:paraId="2DE2B69F" w14:textId="77777777" w:rsidR="00A32844" w:rsidRDefault="00A32844" w:rsidP="005200B4">
      <w:pPr>
        <w:rPr>
          <w:rFonts w:asciiTheme="minorHAnsi" w:hAnsiTheme="minorHAnsi"/>
          <w:bCs/>
        </w:rPr>
      </w:pPr>
    </w:p>
    <w:p w14:paraId="7712509E" w14:textId="47C99816" w:rsidR="00A32844" w:rsidRPr="00A32844" w:rsidRDefault="00A32844" w:rsidP="005200B4">
      <w:pPr>
        <w:rPr>
          <w:rFonts w:asciiTheme="minorHAnsi" w:hAnsiTheme="minorHAnsi"/>
          <w:bCs/>
        </w:rPr>
      </w:pPr>
      <w:r>
        <w:rPr>
          <w:rFonts w:asciiTheme="minorHAnsi" w:hAnsiTheme="minorHAnsi"/>
          <w:bCs/>
        </w:rPr>
        <w:t xml:space="preserve">By mid-May, PLA staff will deliver to the President-Elect a list of the member volunteers along with information and recommendations to consider </w:t>
      </w:r>
      <w:r w:rsidRPr="00A32844">
        <w:rPr>
          <w:rFonts w:asciiTheme="minorHAnsi" w:hAnsiTheme="minorHAnsi"/>
          <w:bCs/>
        </w:rPr>
        <w:t>when filling the appointments</w:t>
      </w:r>
      <w:r>
        <w:rPr>
          <w:rFonts w:asciiTheme="minorHAnsi" w:hAnsiTheme="minorHAnsi"/>
          <w:bCs/>
        </w:rPr>
        <w:t xml:space="preserve">. </w:t>
      </w:r>
      <w:r w:rsidR="00397384">
        <w:rPr>
          <w:rFonts w:asciiTheme="minorHAnsi" w:hAnsiTheme="minorHAnsi"/>
          <w:bCs/>
        </w:rPr>
        <w:t xml:space="preserve">The goal is for selections to be made by early July. </w:t>
      </w:r>
    </w:p>
    <w:p w14:paraId="7843C1CD" w14:textId="04997947" w:rsidR="005200B4" w:rsidRDefault="005200B4" w:rsidP="005200B4">
      <w:pPr>
        <w:rPr>
          <w:rFonts w:asciiTheme="minorHAnsi" w:hAnsiTheme="minorHAnsi"/>
          <w:b/>
        </w:rPr>
      </w:pPr>
    </w:p>
    <w:p w14:paraId="0ECE52DE" w14:textId="77777777" w:rsidR="005200B4" w:rsidRPr="005200B4" w:rsidRDefault="005200B4" w:rsidP="005200B4">
      <w:pPr>
        <w:rPr>
          <w:rFonts w:asciiTheme="minorHAnsi" w:hAnsiTheme="minorHAnsi"/>
          <w:b/>
        </w:rPr>
      </w:pPr>
    </w:p>
    <w:p w14:paraId="221AB111" w14:textId="29DE7D97" w:rsidR="005200B4" w:rsidRPr="005200B4" w:rsidRDefault="005200B4" w:rsidP="005200B4">
      <w:pPr>
        <w:rPr>
          <w:rFonts w:asciiTheme="minorHAnsi" w:hAnsiTheme="minorHAnsi"/>
          <w:b/>
        </w:rPr>
      </w:pPr>
      <w:bookmarkStart w:id="1" w:name="_Hlk36543371"/>
      <w:r w:rsidRPr="005200B4">
        <w:rPr>
          <w:rFonts w:asciiTheme="minorHAnsi" w:hAnsiTheme="minorHAnsi"/>
          <w:b/>
        </w:rPr>
        <w:t>MEMBERSHIP RECRUITMENT AND RETENTION</w:t>
      </w:r>
    </w:p>
    <w:bookmarkEnd w:id="1"/>
    <w:p w14:paraId="68A0A43F" w14:textId="41CFD023" w:rsidR="005200B4" w:rsidRPr="0059741A" w:rsidRDefault="005200B4" w:rsidP="005200B4">
      <w:pPr>
        <w:rPr>
          <w:rFonts w:asciiTheme="minorHAnsi" w:hAnsiTheme="minorHAnsi"/>
          <w:bCs/>
          <w:i/>
          <w:iCs/>
        </w:rPr>
      </w:pPr>
      <w:r w:rsidRPr="0059741A">
        <w:rPr>
          <w:rFonts w:asciiTheme="minorHAnsi" w:hAnsiTheme="minorHAnsi"/>
          <w:bCs/>
          <w:i/>
          <w:iCs/>
        </w:rPr>
        <w:t xml:space="preserve">Submitted by </w:t>
      </w:r>
      <w:r>
        <w:rPr>
          <w:rFonts w:asciiTheme="minorHAnsi" w:hAnsiTheme="minorHAnsi"/>
          <w:bCs/>
          <w:i/>
          <w:iCs/>
        </w:rPr>
        <w:t xml:space="preserve">Samantha Lopez, </w:t>
      </w:r>
      <w:r w:rsidRPr="005200B4">
        <w:rPr>
          <w:rFonts w:asciiTheme="minorHAnsi" w:hAnsiTheme="minorHAnsi"/>
          <w:bCs/>
          <w:i/>
          <w:iCs/>
        </w:rPr>
        <w:t>Manager, Marketing and Membership</w:t>
      </w:r>
    </w:p>
    <w:p w14:paraId="7507A4DA" w14:textId="3BB7E266" w:rsidR="005200B4" w:rsidRDefault="005200B4" w:rsidP="005200B4">
      <w:pPr>
        <w:rPr>
          <w:rFonts w:asciiTheme="minorHAnsi" w:hAnsiTheme="minorHAnsi"/>
          <w:b/>
        </w:rPr>
      </w:pPr>
    </w:p>
    <w:p w14:paraId="64CD8D70" w14:textId="77777777" w:rsidR="00540DEB" w:rsidRPr="00540DEB" w:rsidRDefault="00540DEB" w:rsidP="00540DEB">
      <w:pPr>
        <w:rPr>
          <w:rFonts w:asciiTheme="minorHAnsi" w:hAnsiTheme="minorHAnsi"/>
          <w:b/>
          <w:bCs/>
        </w:rPr>
      </w:pPr>
      <w:r w:rsidRPr="00540DEB">
        <w:rPr>
          <w:rFonts w:asciiTheme="minorHAnsi" w:hAnsiTheme="minorHAnsi"/>
          <w:b/>
          <w:bCs/>
        </w:rPr>
        <w:t>Membership Statistics</w:t>
      </w:r>
    </w:p>
    <w:p w14:paraId="3CB7FA79" w14:textId="77777777" w:rsidR="00540DEB" w:rsidRPr="00540DEB" w:rsidRDefault="00540DEB" w:rsidP="00540DEB">
      <w:pPr>
        <w:rPr>
          <w:rFonts w:asciiTheme="minorHAnsi" w:hAnsiTheme="minorHAnsi"/>
          <w:i/>
          <w:iCs/>
        </w:rPr>
      </w:pPr>
      <w:r w:rsidRPr="00540DEB">
        <w:rPr>
          <w:rFonts w:asciiTheme="minorHAnsi" w:hAnsiTheme="minorHAnsi"/>
          <w:i/>
          <w:iCs/>
        </w:rPr>
        <w:t>Even years represent PLA conference years.</w:t>
      </w:r>
    </w:p>
    <w:tbl>
      <w:tblPr>
        <w:tblW w:w="7389" w:type="dxa"/>
        <w:tblLook w:val="04A0" w:firstRow="1" w:lastRow="0" w:firstColumn="1" w:lastColumn="0" w:noHBand="0" w:noVBand="1"/>
      </w:tblPr>
      <w:tblGrid>
        <w:gridCol w:w="2085"/>
        <w:gridCol w:w="1326"/>
        <w:gridCol w:w="1326"/>
        <w:gridCol w:w="1326"/>
        <w:gridCol w:w="1326"/>
      </w:tblGrid>
      <w:tr w:rsidR="00540DEB" w:rsidRPr="00540DEB" w14:paraId="345AC8A0" w14:textId="77777777" w:rsidTr="0067506F">
        <w:trPr>
          <w:trHeight w:val="286"/>
        </w:trPr>
        <w:tc>
          <w:tcPr>
            <w:tcW w:w="2085" w:type="dxa"/>
            <w:tcBorders>
              <w:top w:val="nil"/>
              <w:left w:val="nil"/>
              <w:bottom w:val="nil"/>
              <w:right w:val="nil"/>
            </w:tcBorders>
            <w:shd w:val="clear" w:color="auto" w:fill="auto"/>
            <w:noWrap/>
            <w:vAlign w:val="bottom"/>
            <w:hideMark/>
          </w:tcPr>
          <w:p w14:paraId="7910C64D" w14:textId="77777777" w:rsidR="00540DEB" w:rsidRPr="00540DEB" w:rsidRDefault="00540DEB" w:rsidP="0067506F">
            <w:pPr>
              <w:rPr>
                <w:rFonts w:asciiTheme="minorHAnsi" w:eastAsia="Times New Roman" w:hAnsiTheme="minorHAnsi" w:cs="Calibri"/>
                <w:b/>
                <w:bCs/>
                <w:color w:val="000000"/>
              </w:rPr>
            </w:pPr>
            <w:r w:rsidRPr="00540DEB">
              <w:rPr>
                <w:rFonts w:asciiTheme="minorHAnsi" w:eastAsia="Times New Roman" w:hAnsiTheme="minorHAnsi" w:cs="Calibri"/>
                <w:b/>
                <w:bCs/>
                <w:color w:val="000000"/>
              </w:rPr>
              <w:t>PLA Membership</w:t>
            </w:r>
          </w:p>
        </w:tc>
        <w:tc>
          <w:tcPr>
            <w:tcW w:w="1326" w:type="dxa"/>
            <w:tcBorders>
              <w:top w:val="nil"/>
              <w:left w:val="nil"/>
              <w:bottom w:val="nil"/>
              <w:right w:val="nil"/>
            </w:tcBorders>
            <w:shd w:val="clear" w:color="000000" w:fill="CCCCFF"/>
            <w:noWrap/>
            <w:vAlign w:val="bottom"/>
            <w:hideMark/>
          </w:tcPr>
          <w:p w14:paraId="139469B8" w14:textId="77777777" w:rsidR="00540DEB" w:rsidRPr="00540DEB" w:rsidRDefault="00540DEB" w:rsidP="0067506F">
            <w:pPr>
              <w:rPr>
                <w:rFonts w:asciiTheme="minorHAnsi" w:eastAsia="Times New Roman" w:hAnsiTheme="minorHAnsi" w:cs="Calibri"/>
                <w:b/>
                <w:bCs/>
                <w:color w:val="000000"/>
              </w:rPr>
            </w:pPr>
            <w:r w:rsidRPr="00540DEB">
              <w:rPr>
                <w:rFonts w:asciiTheme="minorHAnsi" w:eastAsia="Times New Roman" w:hAnsiTheme="minorHAnsi" w:cs="Calibri"/>
                <w:b/>
                <w:bCs/>
                <w:color w:val="000000"/>
              </w:rPr>
              <w:t>Jan. 2020</w:t>
            </w:r>
          </w:p>
        </w:tc>
        <w:tc>
          <w:tcPr>
            <w:tcW w:w="1326" w:type="dxa"/>
            <w:tcBorders>
              <w:top w:val="nil"/>
              <w:left w:val="nil"/>
              <w:bottom w:val="nil"/>
              <w:right w:val="nil"/>
            </w:tcBorders>
            <w:shd w:val="clear" w:color="000000" w:fill="D9D9D9"/>
            <w:noWrap/>
            <w:vAlign w:val="bottom"/>
            <w:hideMark/>
          </w:tcPr>
          <w:p w14:paraId="3FA86121" w14:textId="77777777" w:rsidR="00540DEB" w:rsidRPr="00540DEB" w:rsidRDefault="00540DEB" w:rsidP="0067506F">
            <w:pPr>
              <w:rPr>
                <w:rFonts w:asciiTheme="minorHAnsi" w:eastAsia="Times New Roman" w:hAnsiTheme="minorHAnsi" w:cs="Calibri"/>
                <w:b/>
                <w:bCs/>
                <w:color w:val="000000"/>
              </w:rPr>
            </w:pPr>
            <w:r w:rsidRPr="00540DEB">
              <w:rPr>
                <w:rFonts w:asciiTheme="minorHAnsi" w:eastAsia="Times New Roman" w:hAnsiTheme="minorHAnsi" w:cs="Calibri"/>
                <w:b/>
                <w:bCs/>
                <w:color w:val="000000"/>
              </w:rPr>
              <w:t>Jan. 2019</w:t>
            </w:r>
          </w:p>
        </w:tc>
        <w:tc>
          <w:tcPr>
            <w:tcW w:w="1326" w:type="dxa"/>
            <w:tcBorders>
              <w:top w:val="nil"/>
              <w:left w:val="nil"/>
              <w:bottom w:val="nil"/>
              <w:right w:val="nil"/>
            </w:tcBorders>
            <w:shd w:val="clear" w:color="000000" w:fill="CCCCFF"/>
            <w:noWrap/>
            <w:vAlign w:val="bottom"/>
            <w:hideMark/>
          </w:tcPr>
          <w:p w14:paraId="39A30C0D" w14:textId="77777777" w:rsidR="00540DEB" w:rsidRPr="00540DEB" w:rsidRDefault="00540DEB" w:rsidP="0067506F">
            <w:pPr>
              <w:rPr>
                <w:rFonts w:asciiTheme="minorHAnsi" w:eastAsia="Times New Roman" w:hAnsiTheme="minorHAnsi" w:cs="Calibri"/>
                <w:b/>
                <w:bCs/>
                <w:color w:val="000000"/>
              </w:rPr>
            </w:pPr>
            <w:r w:rsidRPr="00540DEB">
              <w:rPr>
                <w:rFonts w:asciiTheme="minorHAnsi" w:eastAsia="Times New Roman" w:hAnsiTheme="minorHAnsi" w:cs="Calibri"/>
                <w:b/>
                <w:bCs/>
                <w:color w:val="000000"/>
              </w:rPr>
              <w:t>Jan. 2018</w:t>
            </w:r>
          </w:p>
        </w:tc>
        <w:tc>
          <w:tcPr>
            <w:tcW w:w="1326" w:type="dxa"/>
            <w:tcBorders>
              <w:top w:val="nil"/>
              <w:left w:val="nil"/>
              <w:bottom w:val="nil"/>
              <w:right w:val="nil"/>
            </w:tcBorders>
            <w:shd w:val="clear" w:color="000000" w:fill="D9D9D9"/>
            <w:noWrap/>
            <w:vAlign w:val="bottom"/>
            <w:hideMark/>
          </w:tcPr>
          <w:p w14:paraId="3F121920" w14:textId="77777777" w:rsidR="00540DEB" w:rsidRPr="00540DEB" w:rsidRDefault="00540DEB" w:rsidP="0067506F">
            <w:pPr>
              <w:rPr>
                <w:rFonts w:asciiTheme="minorHAnsi" w:eastAsia="Times New Roman" w:hAnsiTheme="minorHAnsi" w:cs="Calibri"/>
                <w:b/>
                <w:bCs/>
                <w:color w:val="000000"/>
              </w:rPr>
            </w:pPr>
            <w:r w:rsidRPr="00540DEB">
              <w:rPr>
                <w:rFonts w:asciiTheme="minorHAnsi" w:eastAsia="Times New Roman" w:hAnsiTheme="minorHAnsi" w:cs="Calibri"/>
                <w:b/>
                <w:bCs/>
                <w:color w:val="000000"/>
              </w:rPr>
              <w:t>Jan. 2017</w:t>
            </w:r>
          </w:p>
        </w:tc>
      </w:tr>
      <w:tr w:rsidR="00540DEB" w:rsidRPr="00540DEB" w14:paraId="1254CB23" w14:textId="77777777" w:rsidTr="0067506F">
        <w:trPr>
          <w:trHeight w:val="286"/>
        </w:trPr>
        <w:tc>
          <w:tcPr>
            <w:tcW w:w="2085" w:type="dxa"/>
            <w:tcBorders>
              <w:top w:val="nil"/>
              <w:left w:val="nil"/>
              <w:bottom w:val="nil"/>
              <w:right w:val="nil"/>
            </w:tcBorders>
            <w:shd w:val="clear" w:color="auto" w:fill="auto"/>
            <w:noWrap/>
            <w:vAlign w:val="bottom"/>
            <w:hideMark/>
          </w:tcPr>
          <w:p w14:paraId="19CF8076" w14:textId="77777777" w:rsidR="00540DEB" w:rsidRPr="00540DEB" w:rsidRDefault="00540DEB" w:rsidP="0067506F">
            <w:pPr>
              <w:rPr>
                <w:rFonts w:asciiTheme="minorHAnsi" w:eastAsia="Times New Roman" w:hAnsiTheme="minorHAnsi" w:cs="Calibri"/>
                <w:i/>
                <w:iCs/>
                <w:color w:val="000000"/>
              </w:rPr>
            </w:pPr>
            <w:r w:rsidRPr="00540DEB">
              <w:rPr>
                <w:rFonts w:asciiTheme="minorHAnsi" w:eastAsia="Times New Roman" w:hAnsiTheme="minorHAnsi" w:cs="Calibri"/>
                <w:i/>
                <w:iCs/>
                <w:color w:val="000000"/>
              </w:rPr>
              <w:t>Personal</w:t>
            </w:r>
          </w:p>
        </w:tc>
        <w:tc>
          <w:tcPr>
            <w:tcW w:w="1326" w:type="dxa"/>
            <w:tcBorders>
              <w:top w:val="nil"/>
              <w:left w:val="nil"/>
              <w:bottom w:val="nil"/>
              <w:right w:val="nil"/>
            </w:tcBorders>
            <w:shd w:val="clear" w:color="000000" w:fill="CCCCFF"/>
            <w:noWrap/>
            <w:vAlign w:val="bottom"/>
            <w:hideMark/>
          </w:tcPr>
          <w:p w14:paraId="487FFCA4"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9458</w:t>
            </w:r>
          </w:p>
        </w:tc>
        <w:tc>
          <w:tcPr>
            <w:tcW w:w="1326" w:type="dxa"/>
            <w:tcBorders>
              <w:top w:val="nil"/>
              <w:left w:val="nil"/>
              <w:bottom w:val="nil"/>
              <w:right w:val="nil"/>
            </w:tcBorders>
            <w:shd w:val="clear" w:color="000000" w:fill="D9D9D9"/>
            <w:noWrap/>
            <w:vAlign w:val="bottom"/>
            <w:hideMark/>
          </w:tcPr>
          <w:p w14:paraId="710C0E3F"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8583</w:t>
            </w:r>
          </w:p>
        </w:tc>
        <w:tc>
          <w:tcPr>
            <w:tcW w:w="1326" w:type="dxa"/>
            <w:tcBorders>
              <w:top w:val="nil"/>
              <w:left w:val="nil"/>
              <w:bottom w:val="nil"/>
              <w:right w:val="nil"/>
            </w:tcBorders>
            <w:shd w:val="clear" w:color="000000" w:fill="CCCCFF"/>
            <w:noWrap/>
            <w:vAlign w:val="bottom"/>
            <w:hideMark/>
          </w:tcPr>
          <w:p w14:paraId="768B6B96"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9128</w:t>
            </w:r>
          </w:p>
        </w:tc>
        <w:tc>
          <w:tcPr>
            <w:tcW w:w="1326" w:type="dxa"/>
            <w:tcBorders>
              <w:top w:val="nil"/>
              <w:left w:val="nil"/>
              <w:bottom w:val="nil"/>
              <w:right w:val="nil"/>
            </w:tcBorders>
            <w:shd w:val="clear" w:color="000000" w:fill="D9D9D9"/>
            <w:noWrap/>
            <w:vAlign w:val="bottom"/>
            <w:hideMark/>
          </w:tcPr>
          <w:p w14:paraId="5DAB5E7D"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8140</w:t>
            </w:r>
          </w:p>
        </w:tc>
      </w:tr>
      <w:tr w:rsidR="00540DEB" w:rsidRPr="00540DEB" w14:paraId="03AF521D" w14:textId="77777777" w:rsidTr="0067506F">
        <w:trPr>
          <w:trHeight w:val="286"/>
        </w:trPr>
        <w:tc>
          <w:tcPr>
            <w:tcW w:w="2085" w:type="dxa"/>
            <w:tcBorders>
              <w:top w:val="nil"/>
              <w:left w:val="nil"/>
              <w:bottom w:val="nil"/>
              <w:right w:val="nil"/>
            </w:tcBorders>
            <w:shd w:val="clear" w:color="auto" w:fill="auto"/>
            <w:noWrap/>
            <w:vAlign w:val="bottom"/>
            <w:hideMark/>
          </w:tcPr>
          <w:p w14:paraId="5A01BC81" w14:textId="77777777" w:rsidR="00540DEB" w:rsidRPr="00540DEB" w:rsidRDefault="00540DEB" w:rsidP="0067506F">
            <w:pPr>
              <w:rPr>
                <w:rFonts w:asciiTheme="minorHAnsi" w:eastAsia="Times New Roman" w:hAnsiTheme="minorHAnsi" w:cs="Calibri"/>
                <w:i/>
                <w:iCs/>
                <w:color w:val="000000"/>
              </w:rPr>
            </w:pPr>
            <w:r w:rsidRPr="00540DEB">
              <w:rPr>
                <w:rFonts w:asciiTheme="minorHAnsi" w:eastAsia="Times New Roman" w:hAnsiTheme="minorHAnsi" w:cs="Calibri"/>
                <w:i/>
                <w:iCs/>
                <w:color w:val="000000"/>
              </w:rPr>
              <w:t>Organizational</w:t>
            </w:r>
          </w:p>
        </w:tc>
        <w:tc>
          <w:tcPr>
            <w:tcW w:w="1326" w:type="dxa"/>
            <w:tcBorders>
              <w:top w:val="nil"/>
              <w:left w:val="nil"/>
              <w:bottom w:val="nil"/>
              <w:right w:val="nil"/>
            </w:tcBorders>
            <w:shd w:val="clear" w:color="000000" w:fill="CCCCFF"/>
            <w:noWrap/>
            <w:vAlign w:val="bottom"/>
            <w:hideMark/>
          </w:tcPr>
          <w:p w14:paraId="0FA982F3"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363</w:t>
            </w:r>
          </w:p>
        </w:tc>
        <w:tc>
          <w:tcPr>
            <w:tcW w:w="1326" w:type="dxa"/>
            <w:tcBorders>
              <w:top w:val="nil"/>
              <w:left w:val="nil"/>
              <w:bottom w:val="nil"/>
              <w:right w:val="nil"/>
            </w:tcBorders>
            <w:shd w:val="clear" w:color="000000" w:fill="D9D9D9"/>
            <w:noWrap/>
            <w:vAlign w:val="bottom"/>
            <w:hideMark/>
          </w:tcPr>
          <w:p w14:paraId="75114ED5"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370</w:t>
            </w:r>
          </w:p>
        </w:tc>
        <w:tc>
          <w:tcPr>
            <w:tcW w:w="1326" w:type="dxa"/>
            <w:tcBorders>
              <w:top w:val="nil"/>
              <w:left w:val="nil"/>
              <w:bottom w:val="nil"/>
              <w:right w:val="nil"/>
            </w:tcBorders>
            <w:shd w:val="clear" w:color="000000" w:fill="CCCCFF"/>
            <w:noWrap/>
            <w:vAlign w:val="bottom"/>
            <w:hideMark/>
          </w:tcPr>
          <w:p w14:paraId="340A482D"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369</w:t>
            </w:r>
          </w:p>
        </w:tc>
        <w:tc>
          <w:tcPr>
            <w:tcW w:w="1326" w:type="dxa"/>
            <w:tcBorders>
              <w:top w:val="nil"/>
              <w:left w:val="nil"/>
              <w:bottom w:val="nil"/>
              <w:right w:val="nil"/>
            </w:tcBorders>
            <w:shd w:val="clear" w:color="000000" w:fill="D9D9D9"/>
            <w:noWrap/>
            <w:vAlign w:val="bottom"/>
            <w:hideMark/>
          </w:tcPr>
          <w:p w14:paraId="097FB780"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376</w:t>
            </w:r>
          </w:p>
        </w:tc>
      </w:tr>
      <w:tr w:rsidR="00540DEB" w:rsidRPr="00540DEB" w14:paraId="40E5D04E" w14:textId="77777777" w:rsidTr="0067506F">
        <w:trPr>
          <w:trHeight w:val="286"/>
        </w:trPr>
        <w:tc>
          <w:tcPr>
            <w:tcW w:w="2085" w:type="dxa"/>
            <w:tcBorders>
              <w:top w:val="nil"/>
              <w:left w:val="nil"/>
              <w:bottom w:val="nil"/>
              <w:right w:val="nil"/>
            </w:tcBorders>
            <w:shd w:val="clear" w:color="auto" w:fill="auto"/>
            <w:noWrap/>
            <w:vAlign w:val="bottom"/>
            <w:hideMark/>
          </w:tcPr>
          <w:p w14:paraId="77EDE73E" w14:textId="77777777" w:rsidR="00540DEB" w:rsidRPr="00540DEB" w:rsidRDefault="00540DEB" w:rsidP="0067506F">
            <w:pPr>
              <w:rPr>
                <w:rFonts w:asciiTheme="minorHAnsi" w:eastAsia="Times New Roman" w:hAnsiTheme="minorHAnsi" w:cs="Calibri"/>
                <w:i/>
                <w:iCs/>
                <w:color w:val="000000"/>
              </w:rPr>
            </w:pPr>
            <w:r w:rsidRPr="00540DEB">
              <w:rPr>
                <w:rFonts w:asciiTheme="minorHAnsi" w:eastAsia="Times New Roman" w:hAnsiTheme="minorHAnsi" w:cs="Calibri"/>
                <w:i/>
                <w:iCs/>
                <w:color w:val="000000"/>
              </w:rPr>
              <w:t>Corporate</w:t>
            </w:r>
          </w:p>
        </w:tc>
        <w:tc>
          <w:tcPr>
            <w:tcW w:w="1326" w:type="dxa"/>
            <w:tcBorders>
              <w:top w:val="nil"/>
              <w:left w:val="nil"/>
              <w:bottom w:val="nil"/>
              <w:right w:val="nil"/>
            </w:tcBorders>
            <w:shd w:val="clear" w:color="000000" w:fill="CCCCFF"/>
            <w:noWrap/>
            <w:vAlign w:val="bottom"/>
            <w:hideMark/>
          </w:tcPr>
          <w:p w14:paraId="7CCD2503"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22</w:t>
            </w:r>
          </w:p>
        </w:tc>
        <w:tc>
          <w:tcPr>
            <w:tcW w:w="1326" w:type="dxa"/>
            <w:tcBorders>
              <w:top w:val="nil"/>
              <w:left w:val="nil"/>
              <w:bottom w:val="nil"/>
              <w:right w:val="nil"/>
            </w:tcBorders>
            <w:shd w:val="clear" w:color="000000" w:fill="D9D9D9"/>
            <w:noWrap/>
            <w:vAlign w:val="bottom"/>
            <w:hideMark/>
          </w:tcPr>
          <w:p w14:paraId="6511EF14"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22</w:t>
            </w:r>
          </w:p>
        </w:tc>
        <w:tc>
          <w:tcPr>
            <w:tcW w:w="1326" w:type="dxa"/>
            <w:tcBorders>
              <w:top w:val="nil"/>
              <w:left w:val="nil"/>
              <w:bottom w:val="nil"/>
              <w:right w:val="nil"/>
            </w:tcBorders>
            <w:shd w:val="clear" w:color="000000" w:fill="CCCCFF"/>
            <w:noWrap/>
            <w:vAlign w:val="bottom"/>
            <w:hideMark/>
          </w:tcPr>
          <w:p w14:paraId="7C0DD05E"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26</w:t>
            </w:r>
          </w:p>
        </w:tc>
        <w:tc>
          <w:tcPr>
            <w:tcW w:w="1326" w:type="dxa"/>
            <w:tcBorders>
              <w:top w:val="nil"/>
              <w:left w:val="nil"/>
              <w:bottom w:val="nil"/>
              <w:right w:val="nil"/>
            </w:tcBorders>
            <w:shd w:val="clear" w:color="000000" w:fill="D9D9D9"/>
            <w:noWrap/>
            <w:vAlign w:val="bottom"/>
            <w:hideMark/>
          </w:tcPr>
          <w:p w14:paraId="38FF9AE3"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25</w:t>
            </w:r>
          </w:p>
        </w:tc>
      </w:tr>
      <w:tr w:rsidR="00540DEB" w:rsidRPr="00540DEB" w14:paraId="1C0C9FBC" w14:textId="77777777" w:rsidTr="0067506F">
        <w:trPr>
          <w:trHeight w:val="286"/>
        </w:trPr>
        <w:tc>
          <w:tcPr>
            <w:tcW w:w="2085" w:type="dxa"/>
            <w:tcBorders>
              <w:top w:val="nil"/>
              <w:left w:val="nil"/>
              <w:bottom w:val="nil"/>
              <w:right w:val="nil"/>
            </w:tcBorders>
            <w:shd w:val="clear" w:color="auto" w:fill="auto"/>
            <w:noWrap/>
            <w:vAlign w:val="bottom"/>
            <w:hideMark/>
          </w:tcPr>
          <w:p w14:paraId="4B751202" w14:textId="77777777" w:rsidR="00540DEB" w:rsidRPr="00540DEB" w:rsidRDefault="00540DEB" w:rsidP="0067506F">
            <w:pPr>
              <w:rPr>
                <w:rFonts w:asciiTheme="minorHAnsi" w:eastAsia="Times New Roman" w:hAnsiTheme="minorHAnsi" w:cs="Calibri"/>
                <w:i/>
                <w:iCs/>
                <w:color w:val="000000"/>
              </w:rPr>
            </w:pPr>
            <w:r w:rsidRPr="00540DEB">
              <w:rPr>
                <w:rFonts w:asciiTheme="minorHAnsi" w:eastAsia="Times New Roman" w:hAnsiTheme="minorHAnsi" w:cs="Calibri"/>
                <w:i/>
                <w:iCs/>
                <w:color w:val="000000"/>
              </w:rPr>
              <w:t>Total</w:t>
            </w:r>
          </w:p>
        </w:tc>
        <w:tc>
          <w:tcPr>
            <w:tcW w:w="1326" w:type="dxa"/>
            <w:tcBorders>
              <w:top w:val="nil"/>
              <w:left w:val="nil"/>
              <w:bottom w:val="nil"/>
              <w:right w:val="nil"/>
            </w:tcBorders>
            <w:shd w:val="clear" w:color="000000" w:fill="CCCCFF"/>
            <w:noWrap/>
            <w:vAlign w:val="bottom"/>
            <w:hideMark/>
          </w:tcPr>
          <w:p w14:paraId="6540B01D"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9843</w:t>
            </w:r>
          </w:p>
        </w:tc>
        <w:tc>
          <w:tcPr>
            <w:tcW w:w="1326" w:type="dxa"/>
            <w:tcBorders>
              <w:top w:val="nil"/>
              <w:left w:val="nil"/>
              <w:bottom w:val="nil"/>
              <w:right w:val="nil"/>
            </w:tcBorders>
            <w:shd w:val="clear" w:color="000000" w:fill="D9D9D9"/>
            <w:noWrap/>
            <w:vAlign w:val="bottom"/>
            <w:hideMark/>
          </w:tcPr>
          <w:p w14:paraId="7DB13D1F"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8975</w:t>
            </w:r>
          </w:p>
        </w:tc>
        <w:tc>
          <w:tcPr>
            <w:tcW w:w="1326" w:type="dxa"/>
            <w:tcBorders>
              <w:top w:val="nil"/>
              <w:left w:val="nil"/>
              <w:bottom w:val="nil"/>
              <w:right w:val="nil"/>
            </w:tcBorders>
            <w:shd w:val="clear" w:color="000000" w:fill="CCCCFF"/>
            <w:noWrap/>
            <w:vAlign w:val="bottom"/>
            <w:hideMark/>
          </w:tcPr>
          <w:p w14:paraId="1382C061"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9523</w:t>
            </w:r>
          </w:p>
        </w:tc>
        <w:tc>
          <w:tcPr>
            <w:tcW w:w="1326" w:type="dxa"/>
            <w:tcBorders>
              <w:top w:val="nil"/>
              <w:left w:val="nil"/>
              <w:bottom w:val="nil"/>
              <w:right w:val="nil"/>
            </w:tcBorders>
            <w:shd w:val="clear" w:color="000000" w:fill="D9D9D9"/>
            <w:noWrap/>
            <w:vAlign w:val="bottom"/>
            <w:hideMark/>
          </w:tcPr>
          <w:p w14:paraId="1A1B154B" w14:textId="77777777" w:rsidR="00540DEB" w:rsidRPr="00540DEB" w:rsidRDefault="00540DEB" w:rsidP="0067506F">
            <w:pPr>
              <w:jc w:val="right"/>
              <w:rPr>
                <w:rFonts w:asciiTheme="minorHAnsi" w:eastAsia="Times New Roman" w:hAnsiTheme="minorHAnsi" w:cs="Calibri"/>
                <w:color w:val="000000"/>
              </w:rPr>
            </w:pPr>
            <w:r w:rsidRPr="00540DEB">
              <w:rPr>
                <w:rFonts w:asciiTheme="minorHAnsi" w:eastAsia="Times New Roman" w:hAnsiTheme="minorHAnsi" w:cs="Calibri"/>
                <w:color w:val="000000"/>
              </w:rPr>
              <w:t>8541</w:t>
            </w:r>
          </w:p>
        </w:tc>
      </w:tr>
    </w:tbl>
    <w:p w14:paraId="2B58BFB2" w14:textId="77777777" w:rsidR="00540DEB" w:rsidRPr="00540DEB" w:rsidRDefault="00540DEB" w:rsidP="00540DEB">
      <w:pPr>
        <w:rPr>
          <w:rFonts w:asciiTheme="minorHAnsi" w:hAnsiTheme="minorHAnsi"/>
        </w:rPr>
      </w:pPr>
    </w:p>
    <w:p w14:paraId="18753DB8" w14:textId="6610D068" w:rsidR="00540DEB" w:rsidRDefault="00540DEB" w:rsidP="005200B4">
      <w:pPr>
        <w:rPr>
          <w:rFonts w:asciiTheme="minorHAnsi" w:hAnsiTheme="minorHAnsi"/>
        </w:rPr>
      </w:pPr>
      <w:r w:rsidRPr="00540DEB">
        <w:rPr>
          <w:rFonts w:asciiTheme="minorHAnsi" w:hAnsiTheme="minorHAnsi"/>
        </w:rPr>
        <w:t>Since the February Board Report, there has been no change or update from ALA’s IT that will allow targeted email campaigns. This has been on hold since 2018. See report from Membership Advisory Group regarding recruitment and retainment efforts and challenges.</w:t>
      </w:r>
    </w:p>
    <w:p w14:paraId="2E1820E4" w14:textId="77777777" w:rsidR="009F0B98" w:rsidRPr="009F0B98" w:rsidRDefault="009F0B98" w:rsidP="005200B4">
      <w:pPr>
        <w:rPr>
          <w:rFonts w:asciiTheme="minorHAnsi" w:hAnsiTheme="minorHAnsi"/>
        </w:rPr>
      </w:pPr>
    </w:p>
    <w:p w14:paraId="414C2A91" w14:textId="1AFE5071" w:rsidR="005200B4" w:rsidRPr="005200B4" w:rsidRDefault="005200B4" w:rsidP="005200B4">
      <w:pPr>
        <w:rPr>
          <w:rFonts w:asciiTheme="minorHAnsi" w:hAnsiTheme="minorHAnsi"/>
          <w:b/>
        </w:rPr>
      </w:pPr>
      <w:r w:rsidRPr="005200B4">
        <w:rPr>
          <w:rFonts w:asciiTheme="minorHAnsi" w:hAnsiTheme="minorHAnsi"/>
          <w:b/>
        </w:rPr>
        <w:lastRenderedPageBreak/>
        <w:t>FUNDRAISING</w:t>
      </w:r>
    </w:p>
    <w:p w14:paraId="7FD680E6" w14:textId="77777777" w:rsidR="005200B4" w:rsidRPr="005200B4" w:rsidRDefault="005200B4" w:rsidP="005200B4">
      <w:pPr>
        <w:rPr>
          <w:rFonts w:ascii="Calibri" w:eastAsiaTheme="minorHAnsi" w:hAnsi="Calibri" w:cs="Calibri"/>
          <w:i/>
          <w:iCs/>
        </w:rPr>
      </w:pPr>
      <w:r>
        <w:rPr>
          <w:rFonts w:ascii="Calibri" w:eastAsiaTheme="minorHAnsi" w:hAnsi="Calibri" w:cs="Calibri"/>
          <w:i/>
          <w:iCs/>
        </w:rPr>
        <w:t>Submitted by Scott Allen, Deputy Director</w:t>
      </w:r>
    </w:p>
    <w:p w14:paraId="2209E1C2" w14:textId="19E22533" w:rsidR="005200B4" w:rsidRDefault="005200B4" w:rsidP="005200B4">
      <w:pPr>
        <w:rPr>
          <w:rFonts w:asciiTheme="minorHAnsi" w:hAnsiTheme="minorHAnsi"/>
          <w:b/>
        </w:rPr>
      </w:pPr>
    </w:p>
    <w:p w14:paraId="13B9E807" w14:textId="5F7D4AEF" w:rsidR="005200B4" w:rsidRPr="009F0B98" w:rsidRDefault="009F0B98" w:rsidP="005200B4">
      <w:pPr>
        <w:rPr>
          <w:rFonts w:asciiTheme="minorHAnsi" w:hAnsiTheme="minorHAnsi"/>
          <w:bCs/>
        </w:rPr>
      </w:pPr>
      <w:r w:rsidRPr="009F0B98">
        <w:rPr>
          <w:rFonts w:asciiTheme="minorHAnsi" w:hAnsiTheme="minorHAnsi"/>
          <w:bCs/>
        </w:rPr>
        <w:t>In terms of individual giving, PLA has raised $4,105 from 37 donors since September 2019. Near the close of 2019, as usual, PLA was included in ALA’s year-end appeal for donations however PLA did not do its own concurrent appeals, in part due to emerging news about ALA’s financial situation. PLA continues to discuss new grants with both Google and Microsoft to continue work around digital literacy and access. PLA may also end up supporting work led by the ALA Washington Office through a Facebook grant to support the census. In terms of federal funding, the Inclusive Internship Initiative (III) funding for calendar year 2020 is being reallocated to 2021, but efforts to find post-IMLS funding are continuing. PLA and the National Center for Families Learning were invited to submit their proposal, “Exploring a program co-design approach to better serve and engage low-income, Latinx communities,” as a planning grant under the community catalyst option. The proposal was submitted in mid-April.</w:t>
      </w:r>
    </w:p>
    <w:p w14:paraId="4EB75A65" w14:textId="77777777" w:rsidR="005200B4" w:rsidRPr="005200B4" w:rsidRDefault="005200B4" w:rsidP="005200B4">
      <w:pPr>
        <w:rPr>
          <w:rFonts w:asciiTheme="minorHAnsi" w:hAnsiTheme="minorHAnsi"/>
          <w:b/>
        </w:rPr>
      </w:pPr>
    </w:p>
    <w:p w14:paraId="53254B2B" w14:textId="77777777" w:rsidR="009F0B98" w:rsidRDefault="009F0B98" w:rsidP="005200B4">
      <w:pPr>
        <w:rPr>
          <w:rFonts w:asciiTheme="minorHAnsi" w:hAnsiTheme="minorHAnsi"/>
          <w:b/>
        </w:rPr>
      </w:pPr>
    </w:p>
    <w:p w14:paraId="70268439" w14:textId="6EB28F03" w:rsidR="005200B4" w:rsidRPr="005200B4" w:rsidRDefault="005200B4" w:rsidP="005200B4">
      <w:pPr>
        <w:rPr>
          <w:rFonts w:asciiTheme="minorHAnsi" w:hAnsiTheme="minorHAnsi"/>
          <w:b/>
        </w:rPr>
      </w:pPr>
      <w:r w:rsidRPr="005200B4">
        <w:rPr>
          <w:rFonts w:asciiTheme="minorHAnsi" w:hAnsiTheme="minorHAnsi"/>
          <w:b/>
        </w:rPr>
        <w:t xml:space="preserve">COMMUNICATIONS </w:t>
      </w:r>
    </w:p>
    <w:p w14:paraId="10AB7A1E" w14:textId="12DF5D76" w:rsidR="005200B4" w:rsidRDefault="005200B4" w:rsidP="005200B4">
      <w:pPr>
        <w:rPr>
          <w:rFonts w:asciiTheme="minorHAnsi" w:hAnsiTheme="minorHAnsi"/>
          <w:b/>
        </w:rPr>
      </w:pPr>
      <w:r w:rsidRPr="005200B4">
        <w:rPr>
          <w:noProof/>
        </w:rPr>
        <w:drawing>
          <wp:inline distT="0" distB="0" distL="0" distR="0" wp14:anchorId="19CD95DD" wp14:editId="10D40F2B">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E113A1B" w14:textId="4857E96A" w:rsidR="005200B4" w:rsidRDefault="005200B4" w:rsidP="005200B4">
      <w:pPr>
        <w:rPr>
          <w:rFonts w:asciiTheme="minorHAnsi" w:hAnsiTheme="minorHAnsi"/>
          <w:b/>
        </w:rPr>
      </w:pPr>
    </w:p>
    <w:p w14:paraId="2F30AD19" w14:textId="77777777" w:rsidR="009F0B98" w:rsidRPr="009F0B98" w:rsidRDefault="009F0B98" w:rsidP="009F0B98">
      <w:pPr>
        <w:rPr>
          <w:rFonts w:asciiTheme="minorHAnsi" w:hAnsiTheme="minorHAnsi"/>
          <w:bCs/>
        </w:rPr>
      </w:pPr>
      <w:r w:rsidRPr="009F0B98">
        <w:rPr>
          <w:rFonts w:asciiTheme="minorHAnsi" w:hAnsiTheme="minorHAnsi"/>
          <w:bCs/>
        </w:rPr>
        <w:t>Since December, PLA has issued over 20 member news releases, highlighting the I Love My Librarian Awards, the PLA 2020 Conference, opening of ALA elections, a new DigitalLearn course, Census information, the opioid project report, and PLA award winners. Social media (primarily Facebook and Twitter) saw increased activity before and during the PLA 2020 Conference, and PLA had strong media placements in The Tennessean, the New York Times and other outlets based on the conference and the opioid project. PLA continues to produce the monthly PLA E-News emails and execute blast emails to the portion of the membership who receive them for specific communications, such as reminders to vote in the election or to volunteer for PLA committees, and marketing messages.</w:t>
      </w:r>
    </w:p>
    <w:p w14:paraId="6FA26072" w14:textId="435AE68E" w:rsidR="005200B4" w:rsidRDefault="005200B4" w:rsidP="005200B4">
      <w:pPr>
        <w:rPr>
          <w:rFonts w:asciiTheme="minorHAnsi" w:hAnsiTheme="minorHAnsi"/>
          <w:b/>
        </w:rPr>
      </w:pPr>
    </w:p>
    <w:p w14:paraId="114BBA38" w14:textId="77777777" w:rsidR="005200B4" w:rsidRPr="005200B4" w:rsidRDefault="005200B4" w:rsidP="005200B4">
      <w:pPr>
        <w:rPr>
          <w:rFonts w:asciiTheme="minorHAnsi" w:hAnsiTheme="minorHAnsi"/>
          <w:b/>
        </w:rPr>
      </w:pPr>
    </w:p>
    <w:p w14:paraId="1D788AAC" w14:textId="310808B4" w:rsidR="005200B4" w:rsidRPr="005200B4" w:rsidRDefault="005200B4" w:rsidP="005200B4">
      <w:pPr>
        <w:rPr>
          <w:rFonts w:asciiTheme="minorHAnsi" w:hAnsiTheme="minorHAnsi"/>
          <w:b/>
        </w:rPr>
      </w:pPr>
      <w:r w:rsidRPr="005200B4">
        <w:rPr>
          <w:rFonts w:asciiTheme="minorHAnsi" w:hAnsiTheme="minorHAnsi"/>
          <w:b/>
        </w:rPr>
        <w:t xml:space="preserve">PUBLICATIONS AND PRODUCTS </w:t>
      </w:r>
    </w:p>
    <w:p w14:paraId="346C9DAF" w14:textId="78862C33" w:rsidR="005200B4" w:rsidRDefault="005200B4" w:rsidP="005200B4">
      <w:pPr>
        <w:rPr>
          <w:rFonts w:asciiTheme="minorHAnsi" w:hAnsiTheme="minorHAnsi"/>
          <w:bCs/>
          <w:i/>
          <w:iCs/>
        </w:rPr>
      </w:pPr>
      <w:r>
        <w:rPr>
          <w:rFonts w:asciiTheme="minorHAnsi" w:hAnsiTheme="minorHAnsi"/>
          <w:bCs/>
          <w:i/>
          <w:iCs/>
        </w:rPr>
        <w:t>Submitted by Kathleen Hughes, Manager, Publications</w:t>
      </w:r>
    </w:p>
    <w:p w14:paraId="411D2282" w14:textId="2133A7A6" w:rsidR="005200B4" w:rsidRDefault="005200B4" w:rsidP="005200B4">
      <w:pPr>
        <w:rPr>
          <w:rFonts w:asciiTheme="minorHAnsi" w:hAnsiTheme="minorHAnsi"/>
          <w:b/>
        </w:rPr>
      </w:pPr>
    </w:p>
    <w:p w14:paraId="5D024836" w14:textId="77777777" w:rsidR="006362D5" w:rsidRPr="006362D5" w:rsidRDefault="006362D5" w:rsidP="006362D5">
      <w:pPr>
        <w:rPr>
          <w:rFonts w:asciiTheme="minorHAnsi" w:hAnsiTheme="minorHAnsi"/>
          <w:bCs/>
        </w:rPr>
      </w:pPr>
      <w:r w:rsidRPr="006362D5">
        <w:rPr>
          <w:rFonts w:asciiTheme="minorHAnsi" w:hAnsiTheme="minorHAnsi"/>
          <w:bCs/>
          <w:i/>
          <w:iCs/>
        </w:rPr>
        <w:t xml:space="preserve">Public Libraries </w:t>
      </w:r>
      <w:r w:rsidRPr="006362D5">
        <w:rPr>
          <w:rFonts w:asciiTheme="minorHAnsi" w:hAnsiTheme="minorHAnsi"/>
          <w:bCs/>
        </w:rPr>
        <w:t>Magazine </w:t>
      </w:r>
    </w:p>
    <w:p w14:paraId="3B9925AC" w14:textId="77777777" w:rsidR="006362D5" w:rsidRPr="006362D5" w:rsidRDefault="006362D5" w:rsidP="006362D5">
      <w:pPr>
        <w:rPr>
          <w:rFonts w:asciiTheme="minorHAnsi" w:hAnsiTheme="minorHAnsi"/>
          <w:bCs/>
        </w:rPr>
      </w:pPr>
      <w:r w:rsidRPr="006362D5">
        <w:rPr>
          <w:rFonts w:asciiTheme="minorHAnsi" w:hAnsiTheme="minorHAnsi"/>
          <w:bCs/>
        </w:rPr>
        <w:t> </w:t>
      </w:r>
    </w:p>
    <w:p w14:paraId="7D46FA18" w14:textId="77777777" w:rsidR="006362D5" w:rsidRPr="006362D5" w:rsidRDefault="006362D5" w:rsidP="006362D5">
      <w:pPr>
        <w:rPr>
          <w:rFonts w:asciiTheme="minorHAnsi" w:hAnsiTheme="minorHAnsi"/>
          <w:bCs/>
        </w:rPr>
      </w:pPr>
      <w:r w:rsidRPr="006362D5">
        <w:rPr>
          <w:rFonts w:asciiTheme="minorHAnsi" w:hAnsiTheme="minorHAnsi"/>
          <w:bCs/>
          <w:i/>
          <w:iCs/>
        </w:rPr>
        <w:t>Public Libraries</w:t>
      </w:r>
      <w:r w:rsidRPr="006362D5">
        <w:rPr>
          <w:rFonts w:asciiTheme="minorHAnsi" w:hAnsiTheme="minorHAnsi"/>
          <w:bCs/>
        </w:rPr>
        <w:t>, published six times a year, is the official magazine of the Public Library Association </w:t>
      </w:r>
      <w:r w:rsidRPr="006362D5">
        <w:rPr>
          <w:rFonts w:asciiTheme="minorHAnsi" w:hAnsiTheme="minorHAnsi"/>
          <w:bCs/>
        </w:rPr>
        <w:br/>
        <w:t xml:space="preserve">(PLA) and the only ALA magazine devoted exclusively to public libraries. Each issue includes important industry news, PLA and ALA updates, regular columns and feature articles. This year we implemented an editorial calendar, and the Public Libraries Advisory Committee selected a theme for each issue. You can see the </w:t>
      </w:r>
      <w:hyperlink r:id="rId10" w:tooltip="http://www.ala.org/pla/resources/publications/publiclibraries/writeforpl" w:history="1">
        <w:r w:rsidRPr="006362D5">
          <w:rPr>
            <w:rStyle w:val="Hyperlink"/>
            <w:rFonts w:asciiTheme="minorHAnsi" w:hAnsiTheme="minorHAnsi"/>
            <w:bCs/>
          </w:rPr>
          <w:t>editorial calendar or the remainder of 2020 here</w:t>
        </w:r>
      </w:hyperlink>
      <w:r w:rsidRPr="006362D5">
        <w:rPr>
          <w:rFonts w:asciiTheme="minorHAnsi" w:hAnsiTheme="minorHAnsi"/>
          <w:bCs/>
        </w:rPr>
        <w:t>.</w:t>
      </w:r>
    </w:p>
    <w:p w14:paraId="26F556EB" w14:textId="77777777" w:rsidR="006362D5" w:rsidRPr="006362D5" w:rsidRDefault="006362D5" w:rsidP="006362D5">
      <w:pPr>
        <w:rPr>
          <w:rFonts w:asciiTheme="minorHAnsi" w:hAnsiTheme="minorHAnsi"/>
          <w:bCs/>
        </w:rPr>
      </w:pPr>
      <w:r w:rsidRPr="006362D5">
        <w:rPr>
          <w:rFonts w:asciiTheme="minorHAnsi" w:hAnsiTheme="minorHAnsi"/>
          <w:bCs/>
        </w:rPr>
        <w:t>Current Circulation Numbers </w:t>
      </w:r>
      <w:r w:rsidRPr="006362D5">
        <w:rPr>
          <w:rFonts w:asciiTheme="minorHAnsi" w:hAnsiTheme="minorHAnsi"/>
          <w:bCs/>
        </w:rPr>
        <w:br/>
        <w:t>Personal Members 9459 + Subscribers 468 = 9,927 total. </w:t>
      </w:r>
    </w:p>
    <w:p w14:paraId="2D1433F0" w14:textId="77777777" w:rsidR="006362D5" w:rsidRPr="006362D5" w:rsidRDefault="006362D5" w:rsidP="006362D5">
      <w:pPr>
        <w:rPr>
          <w:rFonts w:asciiTheme="minorHAnsi" w:hAnsiTheme="minorHAnsi"/>
          <w:bCs/>
        </w:rPr>
      </w:pPr>
      <w:r w:rsidRPr="006362D5">
        <w:rPr>
          <w:rFonts w:asciiTheme="minorHAnsi" w:hAnsiTheme="minorHAnsi"/>
          <w:bCs/>
          <w:i/>
          <w:iCs/>
        </w:rPr>
        <w:br/>
        <w:t>Public Libraries</w:t>
      </w:r>
      <w:r w:rsidRPr="006362D5">
        <w:rPr>
          <w:rFonts w:asciiTheme="minorHAnsi" w:hAnsiTheme="minorHAnsi"/>
          <w:bCs/>
        </w:rPr>
        <w:t xml:space="preserve"> Online </w:t>
      </w:r>
      <w:r w:rsidRPr="006362D5">
        <w:rPr>
          <w:rFonts w:asciiTheme="minorHAnsi" w:hAnsiTheme="minorHAnsi"/>
          <w:bCs/>
        </w:rPr>
        <w:br/>
        <w:t xml:space="preserve">Like the print iteration PL Online focuses on issues and topics that matter to public libraries and public librarianship. Updated several times per week, the site features selections from the print magazine as well as unique content from our team of writers. The site averages approximately 8,000 views per week. In recent weeks, writers have focused on Covid-19 and its impact on libraries, with articles like </w:t>
      </w:r>
      <w:hyperlink r:id="rId11" w:tooltip="http://publiclibrariesonline.org/2020/04/collaborative-resource-sharing-in-difficult-times/" w:history="1">
        <w:r w:rsidRPr="006362D5">
          <w:rPr>
            <w:rStyle w:val="Hyperlink"/>
            <w:rFonts w:asciiTheme="minorHAnsi" w:hAnsiTheme="minorHAnsi"/>
            <w:bCs/>
          </w:rPr>
          <w:t>Collaborative Resource Sharing in Difficult Times</w:t>
        </w:r>
      </w:hyperlink>
      <w:r w:rsidRPr="006362D5">
        <w:rPr>
          <w:rFonts w:asciiTheme="minorHAnsi" w:hAnsiTheme="minorHAnsi"/>
          <w:bCs/>
        </w:rPr>
        <w:t xml:space="preserve">, </w:t>
      </w:r>
      <w:hyperlink r:id="rId12" w:tooltip="http://publiclibrariesonline.org/2020/03/combating-stress-during-times-of-crisis/" w:history="1">
        <w:r w:rsidRPr="006362D5">
          <w:rPr>
            <w:rStyle w:val="Hyperlink"/>
            <w:rFonts w:asciiTheme="minorHAnsi" w:hAnsiTheme="minorHAnsi"/>
            <w:bCs/>
          </w:rPr>
          <w:t>Combating Stress During Times of Crisis</w:t>
        </w:r>
      </w:hyperlink>
      <w:r w:rsidRPr="006362D5">
        <w:rPr>
          <w:rFonts w:asciiTheme="minorHAnsi" w:hAnsiTheme="minorHAnsi"/>
          <w:bCs/>
        </w:rPr>
        <w:t>, and many more.</w:t>
      </w:r>
    </w:p>
    <w:p w14:paraId="7B194B5C" w14:textId="77777777" w:rsidR="006362D5" w:rsidRPr="006362D5" w:rsidRDefault="006362D5" w:rsidP="006362D5">
      <w:pPr>
        <w:rPr>
          <w:rFonts w:asciiTheme="minorHAnsi" w:hAnsiTheme="minorHAnsi"/>
          <w:bCs/>
        </w:rPr>
      </w:pPr>
      <w:r w:rsidRPr="006362D5">
        <w:rPr>
          <w:rFonts w:asciiTheme="minorHAnsi" w:hAnsiTheme="minorHAnsi"/>
          <w:bCs/>
        </w:rPr>
        <w:br/>
        <w:t>FYI: The Public Libraries Podcast </w:t>
      </w:r>
      <w:r w:rsidRPr="006362D5">
        <w:rPr>
          <w:rFonts w:asciiTheme="minorHAnsi" w:hAnsiTheme="minorHAnsi"/>
          <w:bCs/>
        </w:rPr>
        <w:br/>
        <w:t>In 2016 PLA started podcasting as another way to explore a variety of topics in-depth and to also bring great information to our members and readers. To date we have recorded 45 podcasts. 15,605 persons are currently subscribed via RSS and other apps, compared to 10,576  at this time last year. </w:t>
      </w:r>
    </w:p>
    <w:p w14:paraId="146D0C13" w14:textId="77777777" w:rsidR="006362D5" w:rsidRPr="006362D5" w:rsidRDefault="006362D5" w:rsidP="006362D5">
      <w:pPr>
        <w:rPr>
          <w:rFonts w:asciiTheme="minorHAnsi" w:hAnsiTheme="minorHAnsi"/>
          <w:bCs/>
        </w:rPr>
      </w:pPr>
      <w:r w:rsidRPr="006362D5">
        <w:rPr>
          <w:rFonts w:asciiTheme="minorHAnsi" w:hAnsiTheme="minorHAnsi"/>
          <w:bCs/>
        </w:rPr>
        <w:br/>
        <w:t>Publications</w:t>
      </w:r>
      <w:r w:rsidRPr="006362D5">
        <w:rPr>
          <w:rFonts w:asciiTheme="minorHAnsi" w:hAnsiTheme="minorHAnsi"/>
          <w:bCs/>
        </w:rPr>
        <w:br/>
        <w:t>In this fiscal year we have released three publications:</w:t>
      </w:r>
    </w:p>
    <w:p w14:paraId="3674EDEC" w14:textId="77777777" w:rsidR="006362D5" w:rsidRPr="006362D5" w:rsidRDefault="006362D5" w:rsidP="006362D5">
      <w:pPr>
        <w:rPr>
          <w:rFonts w:asciiTheme="minorHAnsi" w:hAnsiTheme="minorHAnsi"/>
          <w:bCs/>
        </w:rPr>
      </w:pPr>
    </w:p>
    <w:p w14:paraId="3ED85957" w14:textId="77777777" w:rsidR="006362D5" w:rsidRPr="006362D5" w:rsidRDefault="006362D5" w:rsidP="006362D5">
      <w:pPr>
        <w:numPr>
          <w:ilvl w:val="0"/>
          <w:numId w:val="28"/>
        </w:numPr>
        <w:rPr>
          <w:rFonts w:asciiTheme="minorHAnsi" w:hAnsiTheme="minorHAnsi"/>
          <w:bCs/>
        </w:rPr>
      </w:pPr>
      <w:r w:rsidRPr="006362D5">
        <w:rPr>
          <w:rFonts w:asciiTheme="minorHAnsi" w:hAnsiTheme="minorHAnsi"/>
          <w:bCs/>
        </w:rPr>
        <w:t>Space Planning: A PLA Guide by David Vinjamuri - (released October, 2019) Sales to date: 244 of the print version and 32 of the ebook. In addition, 219 copies of this book were provided to attendees of the PLA Space Planning Workshops. Sales revenue for this product to date: $5,762 direct sales; $4,249.35 sale to Space Planning Workshop attendees. Total sales revenue for this product to date: $10,011.35</w:t>
      </w:r>
    </w:p>
    <w:p w14:paraId="0CE839F2" w14:textId="77777777" w:rsidR="006362D5" w:rsidRPr="006362D5" w:rsidRDefault="006362D5" w:rsidP="006362D5">
      <w:pPr>
        <w:numPr>
          <w:ilvl w:val="0"/>
          <w:numId w:val="28"/>
        </w:numPr>
        <w:rPr>
          <w:rFonts w:asciiTheme="minorHAnsi" w:hAnsiTheme="minorHAnsi"/>
          <w:bCs/>
        </w:rPr>
      </w:pPr>
      <w:r w:rsidRPr="006362D5">
        <w:rPr>
          <w:rFonts w:asciiTheme="minorHAnsi" w:hAnsiTheme="minorHAnsi"/>
          <w:bCs/>
        </w:rPr>
        <w:t>Early Literacy Calendar: (released December, 2019) Sales to date: 231. Sales revenue for this product to date: $5,313</w:t>
      </w:r>
    </w:p>
    <w:p w14:paraId="4403BC80" w14:textId="77777777" w:rsidR="006362D5" w:rsidRPr="006362D5" w:rsidRDefault="006362D5" w:rsidP="006362D5">
      <w:pPr>
        <w:numPr>
          <w:ilvl w:val="0"/>
          <w:numId w:val="28"/>
        </w:numPr>
        <w:rPr>
          <w:rFonts w:asciiTheme="minorHAnsi" w:hAnsiTheme="minorHAnsi"/>
          <w:bCs/>
        </w:rPr>
      </w:pPr>
      <w:r w:rsidRPr="006362D5">
        <w:rPr>
          <w:rFonts w:asciiTheme="minorHAnsi" w:hAnsiTheme="minorHAnsi"/>
          <w:bCs/>
        </w:rPr>
        <w:t>PLA 2020: Ten Essential Programs (released March, 2020) Sales to date: 33. Sales revenue for this product to date: $594.00.</w:t>
      </w:r>
    </w:p>
    <w:p w14:paraId="55B352B6" w14:textId="5B78EDED" w:rsidR="005200B4" w:rsidRPr="006362D5" w:rsidRDefault="005200B4" w:rsidP="005200B4">
      <w:pPr>
        <w:rPr>
          <w:rFonts w:asciiTheme="minorHAnsi" w:hAnsiTheme="minorHAnsi"/>
          <w:bCs/>
        </w:rPr>
      </w:pPr>
    </w:p>
    <w:p w14:paraId="494C86D2" w14:textId="77777777" w:rsidR="005200B4" w:rsidRPr="005200B4" w:rsidRDefault="005200B4" w:rsidP="005200B4">
      <w:pPr>
        <w:rPr>
          <w:rFonts w:asciiTheme="minorHAnsi" w:hAnsiTheme="minorHAnsi"/>
          <w:b/>
        </w:rPr>
      </w:pPr>
    </w:p>
    <w:p w14:paraId="1D74B000" w14:textId="20BFE866" w:rsidR="005200B4" w:rsidRDefault="005200B4" w:rsidP="005200B4">
      <w:pPr>
        <w:rPr>
          <w:rFonts w:asciiTheme="minorHAnsi" w:hAnsiTheme="minorHAnsi"/>
          <w:b/>
        </w:rPr>
      </w:pPr>
      <w:r w:rsidRPr="005200B4">
        <w:rPr>
          <w:rFonts w:asciiTheme="minorHAnsi" w:hAnsiTheme="minorHAnsi"/>
          <w:b/>
        </w:rPr>
        <w:t>STAFFING</w:t>
      </w:r>
    </w:p>
    <w:p w14:paraId="771FDD15" w14:textId="59F63FD5" w:rsidR="009219CD" w:rsidRPr="005200B4" w:rsidRDefault="005200B4" w:rsidP="00F85EDE">
      <w:pPr>
        <w:rPr>
          <w:rFonts w:ascii="Calibri" w:eastAsiaTheme="minorHAnsi" w:hAnsi="Calibri" w:cs="Calibri"/>
          <w:i/>
          <w:iCs/>
        </w:rPr>
      </w:pPr>
      <w:r>
        <w:rPr>
          <w:rFonts w:ascii="Calibri" w:eastAsiaTheme="minorHAnsi" w:hAnsi="Calibri" w:cs="Calibri"/>
          <w:i/>
          <w:iCs/>
        </w:rPr>
        <w:t>Submitted by Scott Allen, Deputy Director</w:t>
      </w:r>
    </w:p>
    <w:p w14:paraId="2B5B0FE3" w14:textId="77777777" w:rsidR="009F0B98" w:rsidRDefault="009F0B98" w:rsidP="009F0B98">
      <w:pPr>
        <w:rPr>
          <w:rFonts w:ascii="Calibri" w:eastAsiaTheme="minorHAnsi" w:hAnsi="Calibri" w:cs="Calibri"/>
        </w:rPr>
      </w:pPr>
    </w:p>
    <w:p w14:paraId="193DC6E4" w14:textId="4FFCABE3" w:rsidR="009F0B98" w:rsidRPr="009F0B98" w:rsidRDefault="009F0B98" w:rsidP="009F0B98">
      <w:pPr>
        <w:rPr>
          <w:rFonts w:ascii="Calibri" w:eastAsiaTheme="minorHAnsi" w:hAnsi="Calibri" w:cs="Calibri"/>
        </w:rPr>
      </w:pPr>
      <w:r w:rsidRPr="009F0B98">
        <w:rPr>
          <w:rFonts w:ascii="Calibri" w:eastAsiaTheme="minorHAnsi" w:hAnsi="Calibri" w:cs="Calibri"/>
        </w:rPr>
        <w:t>As of April 2020, PLA has 13 FTE positions filled, with the equivalent of 7 FTEs supported by general PLA funds and 6 FTEs supported by grant funds. Open positions on the PLA organizational chart as of April 2020 include the following 5 roles: Deputy Director, Programs; Meeting &amp; Special Events Planner; Manager, Communications; Program Manager (digital literacy and employment support programming); and Program Coordinator (data projects). Two contractors integral to PLA operations and currently filling the duties of the Deputy Director, Programs and Meeting &amp; Special Events Planner.</w:t>
      </w:r>
    </w:p>
    <w:p w14:paraId="1B8201A6" w14:textId="77777777" w:rsidR="00751566" w:rsidRPr="009F0B98" w:rsidRDefault="00751566" w:rsidP="00F85EDE">
      <w:pPr>
        <w:rPr>
          <w:rFonts w:ascii="Calibri" w:eastAsiaTheme="minorHAnsi" w:hAnsi="Calibri" w:cs="Calibri"/>
        </w:rPr>
      </w:pPr>
    </w:p>
    <w:sectPr w:rsidR="00751566" w:rsidRPr="009F0B98" w:rsidSect="00C450B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7A69" w14:textId="77777777" w:rsidR="00E140D2" w:rsidRDefault="00E140D2" w:rsidP="00835953">
      <w:r>
        <w:separator/>
      </w:r>
    </w:p>
  </w:endnote>
  <w:endnote w:type="continuationSeparator" w:id="0">
    <w:p w14:paraId="7612F011" w14:textId="77777777" w:rsidR="00E140D2" w:rsidRDefault="00E140D2"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3759510A"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C3D2" w14:textId="77777777" w:rsidR="00E140D2" w:rsidRDefault="00E140D2" w:rsidP="00835953">
      <w:r>
        <w:separator/>
      </w:r>
    </w:p>
  </w:footnote>
  <w:footnote w:type="continuationSeparator" w:id="0">
    <w:p w14:paraId="02DF1EAA" w14:textId="77777777" w:rsidR="00E140D2" w:rsidRDefault="00E140D2"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A0D58D6" w14:textId="73A60C7F" w:rsidR="00CB6F49" w:rsidRDefault="00E87670" w:rsidP="00427B50">
    <w:pPr>
      <w:pStyle w:val="Header"/>
      <w:jc w:val="right"/>
      <w:rPr>
        <w:rFonts w:asciiTheme="minorHAnsi" w:hAnsiTheme="minorHAnsi"/>
      </w:rPr>
    </w:pPr>
    <w:r>
      <w:rPr>
        <w:rFonts w:asciiTheme="minorHAnsi" w:hAnsiTheme="minorHAnsi"/>
      </w:rPr>
      <w:t>Spring</w:t>
    </w:r>
    <w:r w:rsidR="00CB6F49" w:rsidRPr="00CB6F49">
      <w:rPr>
        <w:rFonts w:asciiTheme="minorHAnsi" w:hAnsiTheme="minorHAnsi"/>
      </w:rPr>
      <w:t xml:space="preserve"> 2020 Board Meeting </w:t>
    </w:r>
  </w:p>
  <w:p w14:paraId="1CD6F1DB" w14:textId="7308E0FF"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5373EA">
      <w:rPr>
        <w:rFonts w:asciiTheme="minorHAnsi" w:hAnsiTheme="minorHAnsi"/>
      </w:rPr>
      <w:t>49</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666"/>
    <w:multiLevelType w:val="hybridMultilevel"/>
    <w:tmpl w:val="7DC4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4DF5"/>
    <w:multiLevelType w:val="hybridMultilevel"/>
    <w:tmpl w:val="C59A2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0A5D40"/>
    <w:multiLevelType w:val="multilevel"/>
    <w:tmpl w:val="572EF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25416"/>
    <w:multiLevelType w:val="hybridMultilevel"/>
    <w:tmpl w:val="57DE43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9B41FF"/>
    <w:multiLevelType w:val="hybridMultilevel"/>
    <w:tmpl w:val="18D86DD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24"/>
  </w:num>
  <w:num w:numId="6">
    <w:abstractNumId w:val="25"/>
  </w:num>
  <w:num w:numId="7">
    <w:abstractNumId w:val="22"/>
  </w:num>
  <w:num w:numId="8">
    <w:abstractNumId w:val="16"/>
  </w:num>
  <w:num w:numId="9">
    <w:abstractNumId w:val="14"/>
  </w:num>
  <w:num w:numId="10">
    <w:abstractNumId w:val="7"/>
  </w:num>
  <w:num w:numId="11">
    <w:abstractNumId w:val="17"/>
  </w:num>
  <w:num w:numId="12">
    <w:abstractNumId w:val="0"/>
  </w:num>
  <w:num w:numId="13">
    <w:abstractNumId w:val="8"/>
  </w:num>
  <w:num w:numId="14">
    <w:abstractNumId w:val="12"/>
  </w:num>
  <w:num w:numId="15">
    <w:abstractNumId w:val="1"/>
  </w:num>
  <w:num w:numId="16">
    <w:abstractNumId w:val="5"/>
  </w:num>
  <w:num w:numId="17">
    <w:abstractNumId w:val="26"/>
  </w:num>
  <w:num w:numId="18">
    <w:abstractNumId w:val="6"/>
  </w:num>
  <w:num w:numId="19">
    <w:abstractNumId w:val="4"/>
  </w:num>
  <w:num w:numId="20">
    <w:abstractNumId w:val="20"/>
  </w:num>
  <w:num w:numId="21">
    <w:abstractNumId w:val="10"/>
  </w:num>
  <w:num w:numId="22">
    <w:abstractNumId w:val="11"/>
  </w:num>
  <w:num w:numId="23">
    <w:abstractNumId w:val="19"/>
  </w:num>
  <w:num w:numId="24">
    <w:abstractNumId w:val="15"/>
  </w:num>
  <w:num w:numId="25">
    <w:abstractNumId w:val="27"/>
  </w:num>
  <w:num w:numId="26">
    <w:abstractNumId w:val="2"/>
  </w:num>
  <w:num w:numId="27">
    <w:abstractNumId w:val="13"/>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5B55"/>
    <w:rsid w:val="000116FE"/>
    <w:rsid w:val="00021DB7"/>
    <w:rsid w:val="00025335"/>
    <w:rsid w:val="000332C9"/>
    <w:rsid w:val="000359ED"/>
    <w:rsid w:val="0004704A"/>
    <w:rsid w:val="0005048D"/>
    <w:rsid w:val="00066E72"/>
    <w:rsid w:val="00076442"/>
    <w:rsid w:val="0008161D"/>
    <w:rsid w:val="000A053F"/>
    <w:rsid w:val="000A3B14"/>
    <w:rsid w:val="000A7E59"/>
    <w:rsid w:val="000C5E0A"/>
    <w:rsid w:val="000D793A"/>
    <w:rsid w:val="000E1469"/>
    <w:rsid w:val="000E190D"/>
    <w:rsid w:val="000E1B52"/>
    <w:rsid w:val="000E5BCA"/>
    <w:rsid w:val="000F6932"/>
    <w:rsid w:val="00105AEE"/>
    <w:rsid w:val="001122F3"/>
    <w:rsid w:val="00151A36"/>
    <w:rsid w:val="00156525"/>
    <w:rsid w:val="00162E05"/>
    <w:rsid w:val="00164145"/>
    <w:rsid w:val="0017246B"/>
    <w:rsid w:val="001734F8"/>
    <w:rsid w:val="00173AEE"/>
    <w:rsid w:val="001856F8"/>
    <w:rsid w:val="001A709A"/>
    <w:rsid w:val="001C1FCD"/>
    <w:rsid w:val="001D1269"/>
    <w:rsid w:val="001F52A2"/>
    <w:rsid w:val="00203593"/>
    <w:rsid w:val="0021042E"/>
    <w:rsid w:val="00217969"/>
    <w:rsid w:val="00226B41"/>
    <w:rsid w:val="0023120E"/>
    <w:rsid w:val="0023449D"/>
    <w:rsid w:val="002406B9"/>
    <w:rsid w:val="002427CC"/>
    <w:rsid w:val="002466C4"/>
    <w:rsid w:val="00247C0D"/>
    <w:rsid w:val="002500FC"/>
    <w:rsid w:val="00256710"/>
    <w:rsid w:val="00270DB5"/>
    <w:rsid w:val="00273FD6"/>
    <w:rsid w:val="002B06F9"/>
    <w:rsid w:val="002B765E"/>
    <w:rsid w:val="002D6D92"/>
    <w:rsid w:val="002E3A1B"/>
    <w:rsid w:val="002E7B05"/>
    <w:rsid w:val="003022FD"/>
    <w:rsid w:val="00305AE2"/>
    <w:rsid w:val="00307E02"/>
    <w:rsid w:val="00326D13"/>
    <w:rsid w:val="00342CE7"/>
    <w:rsid w:val="003532CE"/>
    <w:rsid w:val="00353E2D"/>
    <w:rsid w:val="003712CD"/>
    <w:rsid w:val="00375084"/>
    <w:rsid w:val="00381330"/>
    <w:rsid w:val="00386245"/>
    <w:rsid w:val="003865DE"/>
    <w:rsid w:val="0039488C"/>
    <w:rsid w:val="00397384"/>
    <w:rsid w:val="003D02AE"/>
    <w:rsid w:val="003D196C"/>
    <w:rsid w:val="003D2C5D"/>
    <w:rsid w:val="003E7778"/>
    <w:rsid w:val="0042524D"/>
    <w:rsid w:val="00425F1F"/>
    <w:rsid w:val="00427B50"/>
    <w:rsid w:val="004351F1"/>
    <w:rsid w:val="0043774E"/>
    <w:rsid w:val="004433B2"/>
    <w:rsid w:val="004547C4"/>
    <w:rsid w:val="004567CA"/>
    <w:rsid w:val="0046669C"/>
    <w:rsid w:val="004C199C"/>
    <w:rsid w:val="004C70CD"/>
    <w:rsid w:val="004D3C8E"/>
    <w:rsid w:val="0050103E"/>
    <w:rsid w:val="00503F82"/>
    <w:rsid w:val="005200B4"/>
    <w:rsid w:val="00524B4A"/>
    <w:rsid w:val="005373EA"/>
    <w:rsid w:val="00540DEB"/>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62D5"/>
    <w:rsid w:val="00637AA4"/>
    <w:rsid w:val="00645B29"/>
    <w:rsid w:val="00651831"/>
    <w:rsid w:val="00663F1F"/>
    <w:rsid w:val="00667DAE"/>
    <w:rsid w:val="0067319A"/>
    <w:rsid w:val="00675743"/>
    <w:rsid w:val="0068110B"/>
    <w:rsid w:val="00686011"/>
    <w:rsid w:val="00692F37"/>
    <w:rsid w:val="00694B07"/>
    <w:rsid w:val="0069719D"/>
    <w:rsid w:val="006A4455"/>
    <w:rsid w:val="006B4DF8"/>
    <w:rsid w:val="006B7262"/>
    <w:rsid w:val="006C052E"/>
    <w:rsid w:val="006C7BD5"/>
    <w:rsid w:val="006D0EFC"/>
    <w:rsid w:val="006E23C7"/>
    <w:rsid w:val="006E38E2"/>
    <w:rsid w:val="00702831"/>
    <w:rsid w:val="00705AD6"/>
    <w:rsid w:val="00712A8F"/>
    <w:rsid w:val="007215F6"/>
    <w:rsid w:val="00721958"/>
    <w:rsid w:val="007343B2"/>
    <w:rsid w:val="00744EC4"/>
    <w:rsid w:val="00746EBB"/>
    <w:rsid w:val="00751566"/>
    <w:rsid w:val="007569B0"/>
    <w:rsid w:val="0076016D"/>
    <w:rsid w:val="00763510"/>
    <w:rsid w:val="00763BC8"/>
    <w:rsid w:val="00771CA1"/>
    <w:rsid w:val="007753A1"/>
    <w:rsid w:val="0077729C"/>
    <w:rsid w:val="007834C5"/>
    <w:rsid w:val="00785C59"/>
    <w:rsid w:val="0079490D"/>
    <w:rsid w:val="00796F2E"/>
    <w:rsid w:val="007A210D"/>
    <w:rsid w:val="007C51C6"/>
    <w:rsid w:val="007D430A"/>
    <w:rsid w:val="007E059E"/>
    <w:rsid w:val="0080316C"/>
    <w:rsid w:val="00816B32"/>
    <w:rsid w:val="0082048C"/>
    <w:rsid w:val="008305E0"/>
    <w:rsid w:val="00835953"/>
    <w:rsid w:val="0087313F"/>
    <w:rsid w:val="008767A3"/>
    <w:rsid w:val="00880AAD"/>
    <w:rsid w:val="008812E9"/>
    <w:rsid w:val="0089738B"/>
    <w:rsid w:val="008A0476"/>
    <w:rsid w:val="008A0C4F"/>
    <w:rsid w:val="008A0E90"/>
    <w:rsid w:val="008A51AF"/>
    <w:rsid w:val="008A7A09"/>
    <w:rsid w:val="008C61E9"/>
    <w:rsid w:val="008C6AC5"/>
    <w:rsid w:val="008E0B46"/>
    <w:rsid w:val="008E39E3"/>
    <w:rsid w:val="008E56F5"/>
    <w:rsid w:val="008F082B"/>
    <w:rsid w:val="008F0E17"/>
    <w:rsid w:val="008F3E8D"/>
    <w:rsid w:val="0090328F"/>
    <w:rsid w:val="00912A95"/>
    <w:rsid w:val="009204C9"/>
    <w:rsid w:val="009219CD"/>
    <w:rsid w:val="009223C0"/>
    <w:rsid w:val="00931C4E"/>
    <w:rsid w:val="00935422"/>
    <w:rsid w:val="00944261"/>
    <w:rsid w:val="009517AA"/>
    <w:rsid w:val="00953A95"/>
    <w:rsid w:val="00957BDC"/>
    <w:rsid w:val="0097672F"/>
    <w:rsid w:val="009800D9"/>
    <w:rsid w:val="00985D4E"/>
    <w:rsid w:val="0098675F"/>
    <w:rsid w:val="00994013"/>
    <w:rsid w:val="009B35FC"/>
    <w:rsid w:val="009B76FB"/>
    <w:rsid w:val="009C5517"/>
    <w:rsid w:val="009F0B98"/>
    <w:rsid w:val="00A1377D"/>
    <w:rsid w:val="00A14EF4"/>
    <w:rsid w:val="00A15DD4"/>
    <w:rsid w:val="00A16121"/>
    <w:rsid w:val="00A22CB1"/>
    <w:rsid w:val="00A25B34"/>
    <w:rsid w:val="00A269D0"/>
    <w:rsid w:val="00A32844"/>
    <w:rsid w:val="00A37744"/>
    <w:rsid w:val="00A41365"/>
    <w:rsid w:val="00A4461B"/>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4959"/>
    <w:rsid w:val="00B66C34"/>
    <w:rsid w:val="00B76D52"/>
    <w:rsid w:val="00B86363"/>
    <w:rsid w:val="00B95697"/>
    <w:rsid w:val="00BA406A"/>
    <w:rsid w:val="00BB5BF0"/>
    <w:rsid w:val="00BD5035"/>
    <w:rsid w:val="00BD61C0"/>
    <w:rsid w:val="00BF5AFD"/>
    <w:rsid w:val="00BF6F45"/>
    <w:rsid w:val="00C02820"/>
    <w:rsid w:val="00C07B3F"/>
    <w:rsid w:val="00C12BCB"/>
    <w:rsid w:val="00C271BF"/>
    <w:rsid w:val="00C33993"/>
    <w:rsid w:val="00C415C9"/>
    <w:rsid w:val="00C450B6"/>
    <w:rsid w:val="00C512A0"/>
    <w:rsid w:val="00C70CDA"/>
    <w:rsid w:val="00C75495"/>
    <w:rsid w:val="00C758C7"/>
    <w:rsid w:val="00C819D0"/>
    <w:rsid w:val="00C874FD"/>
    <w:rsid w:val="00C95C49"/>
    <w:rsid w:val="00CA4E0B"/>
    <w:rsid w:val="00CB3199"/>
    <w:rsid w:val="00CB6F49"/>
    <w:rsid w:val="00CC29EF"/>
    <w:rsid w:val="00CD72B5"/>
    <w:rsid w:val="00CE22E6"/>
    <w:rsid w:val="00CE2628"/>
    <w:rsid w:val="00CE4BA4"/>
    <w:rsid w:val="00CF75BF"/>
    <w:rsid w:val="00D0639D"/>
    <w:rsid w:val="00D15DEB"/>
    <w:rsid w:val="00D3381C"/>
    <w:rsid w:val="00D413DF"/>
    <w:rsid w:val="00D44DD8"/>
    <w:rsid w:val="00D63777"/>
    <w:rsid w:val="00D6774D"/>
    <w:rsid w:val="00D707A9"/>
    <w:rsid w:val="00D7260A"/>
    <w:rsid w:val="00D73441"/>
    <w:rsid w:val="00D73C7A"/>
    <w:rsid w:val="00D771E3"/>
    <w:rsid w:val="00D815B2"/>
    <w:rsid w:val="00D94E01"/>
    <w:rsid w:val="00DA25E3"/>
    <w:rsid w:val="00DB63BA"/>
    <w:rsid w:val="00DD1B11"/>
    <w:rsid w:val="00DD1BF2"/>
    <w:rsid w:val="00DD4881"/>
    <w:rsid w:val="00DE7E9F"/>
    <w:rsid w:val="00E058A3"/>
    <w:rsid w:val="00E11877"/>
    <w:rsid w:val="00E140D2"/>
    <w:rsid w:val="00E271E2"/>
    <w:rsid w:val="00E6018F"/>
    <w:rsid w:val="00E7181F"/>
    <w:rsid w:val="00E72F92"/>
    <w:rsid w:val="00E772EB"/>
    <w:rsid w:val="00E83506"/>
    <w:rsid w:val="00E87670"/>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54634"/>
    <w:rsid w:val="00F62109"/>
    <w:rsid w:val="00F6345B"/>
    <w:rsid w:val="00F63979"/>
    <w:rsid w:val="00F85EDE"/>
    <w:rsid w:val="00F902E4"/>
    <w:rsid w:val="00F93728"/>
    <w:rsid w:val="00F969F9"/>
    <w:rsid w:val="00FA30D8"/>
    <w:rsid w:val="00FA7148"/>
    <w:rsid w:val="00FB6359"/>
    <w:rsid w:val="00FD09E2"/>
    <w:rsid w:val="00FE4AF6"/>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200B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39"/>
    <w:rsid w:val="00F54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4">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577597094">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831916790">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989822739">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29765186">
      <w:bodyDiv w:val="1"/>
      <w:marLeft w:val="0"/>
      <w:marRight w:val="0"/>
      <w:marTop w:val="0"/>
      <w:marBottom w:val="0"/>
      <w:divBdr>
        <w:top w:val="none" w:sz="0" w:space="0" w:color="auto"/>
        <w:left w:val="none" w:sz="0" w:space="0" w:color="auto"/>
        <w:bottom w:val="none" w:sz="0" w:space="0" w:color="auto"/>
        <w:right w:val="none" w:sz="0" w:space="0" w:color="auto"/>
      </w:divBdr>
    </w:div>
    <w:div w:id="158455915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670476981">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ews/press-releases/2020/04/public-library-association-seeks-volunteers-committees-task-forces-a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librariesonline.org/2020/03/combating-stress-during-times-of-cri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librariesonline.org/2020/04/collaborative-resource-sharing-in-difficult-ti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org/pla/resources/publications/publiclibraries/writefor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51CB-89F0-4711-AC01-B3A12935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9</cp:revision>
  <dcterms:created xsi:type="dcterms:W3CDTF">2020-03-29T15:19:00Z</dcterms:created>
  <dcterms:modified xsi:type="dcterms:W3CDTF">2020-04-21T18:08:00Z</dcterms:modified>
</cp:coreProperties>
</file>