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5D78" w14:textId="61BD223D" w:rsidR="00D3328E" w:rsidRPr="006446E6" w:rsidRDefault="00D3328E" w:rsidP="00D34667">
      <w:pPr>
        <w:rPr>
          <w:rFonts w:asciiTheme="minorHAnsi" w:hAnsiTheme="minorHAnsi" w:cstheme="minorHAnsi"/>
          <w:b/>
        </w:rPr>
      </w:pPr>
      <w:r w:rsidRPr="006446E6">
        <w:rPr>
          <w:rFonts w:asciiTheme="minorHAnsi" w:hAnsiTheme="minorHAnsi" w:cstheme="minorHAnsi"/>
          <w:b/>
        </w:rPr>
        <w:t>Public Library Association</w:t>
      </w:r>
    </w:p>
    <w:p w14:paraId="2FD765B6" w14:textId="7399C8ED" w:rsidR="00074D3D" w:rsidRPr="006446E6" w:rsidRDefault="007C389B" w:rsidP="00D34667">
      <w:pPr>
        <w:rPr>
          <w:rFonts w:asciiTheme="minorHAnsi" w:hAnsiTheme="minorHAnsi" w:cstheme="minorHAnsi"/>
          <w:b/>
        </w:rPr>
      </w:pPr>
      <w:r w:rsidRPr="006446E6">
        <w:rPr>
          <w:rFonts w:asciiTheme="minorHAnsi" w:hAnsiTheme="minorHAnsi" w:cstheme="minorHAnsi"/>
          <w:b/>
        </w:rPr>
        <w:t>FY2</w:t>
      </w:r>
      <w:r w:rsidR="00C26C5A" w:rsidRPr="006446E6">
        <w:rPr>
          <w:rFonts w:asciiTheme="minorHAnsi" w:hAnsiTheme="minorHAnsi" w:cstheme="minorHAnsi"/>
          <w:b/>
        </w:rPr>
        <w:t>2</w:t>
      </w:r>
      <w:r w:rsidR="00080039">
        <w:rPr>
          <w:rFonts w:asciiTheme="minorHAnsi" w:hAnsiTheme="minorHAnsi" w:cstheme="minorHAnsi"/>
          <w:b/>
        </w:rPr>
        <w:t xml:space="preserve"> January 2022 </w:t>
      </w:r>
      <w:r w:rsidR="006F132A" w:rsidRPr="006446E6">
        <w:rPr>
          <w:rFonts w:asciiTheme="minorHAnsi" w:hAnsiTheme="minorHAnsi" w:cstheme="minorHAnsi"/>
          <w:b/>
        </w:rPr>
        <w:t>Financial Narrative</w:t>
      </w:r>
    </w:p>
    <w:p w14:paraId="2236E6BD" w14:textId="77777777" w:rsidR="00C26C5A" w:rsidRPr="006446E6" w:rsidRDefault="00C26C5A" w:rsidP="00074D3D">
      <w:pPr>
        <w:rPr>
          <w:rFonts w:asciiTheme="minorHAnsi" w:hAnsiTheme="minorHAnsi" w:cstheme="minorHAnsi"/>
          <w:b/>
        </w:rPr>
      </w:pPr>
    </w:p>
    <w:p w14:paraId="24B22834" w14:textId="139B9C35" w:rsidR="00074D3D" w:rsidRPr="006446E6" w:rsidRDefault="00ED5FF5" w:rsidP="00074D3D">
      <w:pPr>
        <w:rPr>
          <w:rFonts w:asciiTheme="minorHAnsi" w:hAnsiTheme="minorHAnsi" w:cstheme="minorHAnsi"/>
          <w:b/>
        </w:rPr>
      </w:pPr>
      <w:r w:rsidRPr="006446E6">
        <w:rPr>
          <w:rFonts w:asciiTheme="minorHAnsi" w:hAnsiTheme="minorHAnsi" w:cstheme="minorHAnsi"/>
          <w:b/>
        </w:rPr>
        <w:t>F</w:t>
      </w:r>
      <w:r w:rsidR="00074D3D" w:rsidRPr="006446E6">
        <w:rPr>
          <w:rFonts w:asciiTheme="minorHAnsi" w:hAnsiTheme="minorHAnsi" w:cstheme="minorHAnsi"/>
          <w:b/>
        </w:rPr>
        <w:t>Y2</w:t>
      </w:r>
      <w:r w:rsidR="00C26C5A" w:rsidRPr="006446E6">
        <w:rPr>
          <w:rFonts w:asciiTheme="minorHAnsi" w:hAnsiTheme="minorHAnsi" w:cstheme="minorHAnsi"/>
          <w:b/>
        </w:rPr>
        <w:t>2</w:t>
      </w:r>
      <w:r w:rsidR="00074D3D" w:rsidRPr="006446E6">
        <w:rPr>
          <w:rFonts w:asciiTheme="minorHAnsi" w:hAnsiTheme="minorHAnsi" w:cstheme="minorHAnsi"/>
          <w:b/>
        </w:rPr>
        <w:t xml:space="preserve"> Operating Budget as of </w:t>
      </w:r>
      <w:r w:rsidR="00080039">
        <w:rPr>
          <w:rFonts w:asciiTheme="minorHAnsi" w:hAnsiTheme="minorHAnsi" w:cstheme="minorHAnsi"/>
          <w:b/>
        </w:rPr>
        <w:t>January</w:t>
      </w:r>
      <w:r w:rsidR="00074D3D" w:rsidRPr="006446E6">
        <w:rPr>
          <w:rFonts w:asciiTheme="minorHAnsi" w:hAnsiTheme="minorHAnsi" w:cstheme="minorHAnsi"/>
          <w:b/>
        </w:rPr>
        <w:t xml:space="preserve"> 202</w:t>
      </w:r>
      <w:r w:rsidR="00080039">
        <w:rPr>
          <w:rFonts w:asciiTheme="minorHAnsi" w:hAnsiTheme="minorHAnsi" w:cstheme="minorHAnsi"/>
          <w:b/>
        </w:rPr>
        <w:t>2</w:t>
      </w:r>
    </w:p>
    <w:tbl>
      <w:tblPr>
        <w:tblW w:w="911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796"/>
        <w:gridCol w:w="1922"/>
        <w:gridCol w:w="1710"/>
      </w:tblGrid>
      <w:tr w:rsidR="00C26C5A" w:rsidRPr="006446E6" w14:paraId="53DCECFD" w14:textId="77777777" w:rsidTr="002C177E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3C1AD117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GENERAL FUND (12-401)</w:t>
            </w:r>
          </w:p>
          <w:p w14:paraId="6BD438E4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  <w:i/>
                <w:iCs/>
              </w:rPr>
            </w:pPr>
            <w:r w:rsidRPr="006446E6">
              <w:rPr>
                <w:rFonts w:asciiTheme="minorHAnsi" w:hAnsiTheme="minorHAnsi" w:cstheme="minorHAnsi"/>
                <w:b/>
                <w:i/>
                <w:iCs/>
              </w:rPr>
              <w:t>Including Conference</w:t>
            </w:r>
          </w:p>
          <w:p w14:paraId="4797855A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1AE3B7B9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1796" w:type="dxa"/>
            <w:shd w:val="clear" w:color="auto" w:fill="auto"/>
            <w:noWrap/>
            <w:hideMark/>
          </w:tcPr>
          <w:p w14:paraId="2D0BE882" w14:textId="313C7ADC" w:rsidR="00C26C5A" w:rsidRPr="006446E6" w:rsidRDefault="00080039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</w:t>
            </w:r>
            <w:r w:rsidR="002B3C10" w:rsidRPr="006446E6">
              <w:rPr>
                <w:rFonts w:asciiTheme="minorHAnsi" w:hAnsiTheme="minorHAnsi" w:cstheme="minorHAnsi"/>
                <w:b/>
              </w:rPr>
              <w:t xml:space="preserve"> 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3CE394D3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YTD Budget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14:paraId="01D13514" w14:textId="1B5A4D6A" w:rsidR="00C26C5A" w:rsidRPr="006446E6" w:rsidRDefault="00080039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</w:t>
            </w:r>
            <w:r w:rsidR="00C26C5A" w:rsidRPr="006446E6">
              <w:rPr>
                <w:rFonts w:asciiTheme="minorHAnsi" w:hAnsiTheme="minorHAnsi" w:cstheme="minorHAnsi"/>
                <w:b/>
              </w:rPr>
              <w:t xml:space="preserve"> 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51EDEC3F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YTD Actual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F8D1EA2" w14:textId="49BA337F" w:rsidR="00C26C5A" w:rsidRPr="006446E6" w:rsidRDefault="00080039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</w:t>
            </w:r>
            <w:r w:rsidR="00C26C5A" w:rsidRPr="006446E6">
              <w:rPr>
                <w:rFonts w:asciiTheme="minorHAnsi" w:hAnsiTheme="minorHAnsi" w:cstheme="minorHAnsi"/>
                <w:b/>
              </w:rPr>
              <w:t xml:space="preserve"> 202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C26C5A" w:rsidRPr="006446E6">
              <w:rPr>
                <w:rFonts w:asciiTheme="minorHAnsi" w:hAnsiTheme="minorHAnsi" w:cstheme="minorHAnsi"/>
                <w:b/>
              </w:rPr>
              <w:t xml:space="preserve"> Variance</w:t>
            </w:r>
          </w:p>
        </w:tc>
      </w:tr>
      <w:tr w:rsidR="00080039" w:rsidRPr="006446E6" w14:paraId="4E2F7DF5" w14:textId="77777777" w:rsidTr="002C177E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5D7C9254" w14:textId="77777777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Total Revenues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F069A5A" w14:textId="65783589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</w:rPr>
            </w:pPr>
            <w:r w:rsidRPr="00310C52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270,000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B5C2F83" w14:textId="64CD570F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$309,110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A976CA2" w14:textId="449108FE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F095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9,110</w:t>
            </w:r>
          </w:p>
        </w:tc>
      </w:tr>
      <w:tr w:rsidR="00080039" w:rsidRPr="006446E6" w14:paraId="09F0CB55" w14:textId="77777777" w:rsidTr="002C177E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0F000A8E" w14:textId="77777777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Total Expenses before OH and tax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FA1A84E" w14:textId="661939C4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($</w:t>
            </w:r>
            <w:r w:rsidR="00FE400F">
              <w:rPr>
                <w:rFonts w:ascii="Arial" w:hAnsi="Arial" w:cs="Arial"/>
                <w:sz w:val="20"/>
                <w:szCs w:val="20"/>
              </w:rPr>
              <w:t>587,453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7C26D16" w14:textId="731A6B35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($</w:t>
            </w:r>
            <w:r w:rsidR="00FE400F">
              <w:rPr>
                <w:rFonts w:ascii="Arial" w:hAnsi="Arial" w:cs="Arial"/>
                <w:sz w:val="20"/>
                <w:szCs w:val="20"/>
              </w:rPr>
              <w:t>459,838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DFBA0A" w14:textId="415DEEA5" w:rsidR="00080039" w:rsidRPr="006446E6" w:rsidRDefault="00BF0950" w:rsidP="0008003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039">
              <w:rPr>
                <w:rFonts w:ascii="Arial" w:hAnsi="Arial" w:cs="Arial"/>
                <w:sz w:val="20"/>
                <w:szCs w:val="20"/>
              </w:rPr>
              <w:t>$</w:t>
            </w:r>
            <w:r w:rsidR="00FE400F">
              <w:rPr>
                <w:rFonts w:ascii="Arial" w:hAnsi="Arial" w:cs="Arial"/>
                <w:sz w:val="20"/>
                <w:szCs w:val="20"/>
              </w:rPr>
              <w:t>127,615</w:t>
            </w:r>
          </w:p>
        </w:tc>
      </w:tr>
      <w:tr w:rsidR="00080039" w:rsidRPr="006446E6" w14:paraId="7032B14F" w14:textId="77777777" w:rsidTr="002C177E">
        <w:trPr>
          <w:trHeight w:val="287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75B52A1B" w14:textId="77777777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Overhead and Tax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21D50C9" w14:textId="301A069D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($8,458)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9B0F5F9" w14:textId="50CD0CB4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($10,176)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D95230" w14:textId="2A9126E6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($1,718)</w:t>
            </w:r>
          </w:p>
        </w:tc>
      </w:tr>
      <w:tr w:rsidR="00C26C5A" w:rsidRPr="006446E6" w14:paraId="5528B90C" w14:textId="77777777" w:rsidTr="002C177E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63C9148A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425E141" w14:textId="77777777" w:rsidR="00C26C5A" w:rsidRPr="006446E6" w:rsidRDefault="00C26C5A" w:rsidP="00572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C3F3C67" w14:textId="77777777" w:rsidR="00C26C5A" w:rsidRPr="006446E6" w:rsidRDefault="00C26C5A" w:rsidP="00572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0FD0154" w14:textId="77777777" w:rsidR="00C26C5A" w:rsidRPr="006446E6" w:rsidRDefault="00C26C5A" w:rsidP="0057269F">
            <w:pPr>
              <w:rPr>
                <w:rFonts w:asciiTheme="minorHAnsi" w:hAnsiTheme="minorHAnsi" w:cstheme="minorHAnsi"/>
              </w:rPr>
            </w:pPr>
          </w:p>
        </w:tc>
      </w:tr>
      <w:tr w:rsidR="00C26C5A" w:rsidRPr="006446E6" w14:paraId="358A129B" w14:textId="77777777" w:rsidTr="002C177E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164FF0C8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3D4DFF5" w14:textId="77777777" w:rsidR="00C26C5A" w:rsidRPr="006446E6" w:rsidRDefault="00C26C5A" w:rsidP="0057269F">
            <w:pPr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YTD Budget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8A06F6D" w14:textId="77777777" w:rsidR="00C26C5A" w:rsidRPr="006446E6" w:rsidRDefault="00C26C5A" w:rsidP="0057269F">
            <w:pPr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YTD Actual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DDF95FE" w14:textId="77777777" w:rsidR="00C26C5A" w:rsidRPr="006446E6" w:rsidRDefault="00C26C5A" w:rsidP="0057269F">
            <w:pPr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Variance</w:t>
            </w:r>
          </w:p>
        </w:tc>
      </w:tr>
      <w:tr w:rsidR="00080039" w:rsidRPr="006446E6" w14:paraId="079A84DE" w14:textId="77777777" w:rsidTr="002C177E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0CF89C5A" w14:textId="77777777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Net Revenue (Expense)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892EC95" w14:textId="372CC335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($325,911)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78AD955" w14:textId="63FBB775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($160,904)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7D7A" w14:textId="58D77A58" w:rsidR="00080039" w:rsidRPr="006446E6" w:rsidRDefault="00080039" w:rsidP="0008003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$165,007</w:t>
            </w:r>
          </w:p>
        </w:tc>
      </w:tr>
      <w:tr w:rsidR="00C26C5A" w:rsidRPr="006446E6" w14:paraId="2EEA813B" w14:textId="77777777" w:rsidTr="002C177E">
        <w:trPr>
          <w:trHeight w:val="323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4DE8006E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8655640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2AAAA5E" w14:textId="75AD674F" w:rsidR="00C26C5A" w:rsidRPr="006446E6" w:rsidRDefault="003373F0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FY22 </w:t>
            </w:r>
            <w:r w:rsidR="00C26C5A" w:rsidRPr="006446E6">
              <w:rPr>
                <w:rFonts w:asciiTheme="minorHAnsi" w:hAnsiTheme="minorHAnsi" w:cstheme="minorHAnsi"/>
                <w:b/>
              </w:rPr>
              <w:t>Beginning N</w:t>
            </w:r>
            <w:r>
              <w:rPr>
                <w:rFonts w:asciiTheme="minorHAnsi" w:hAnsiTheme="minorHAnsi" w:cstheme="minorHAnsi"/>
                <w:b/>
              </w:rPr>
              <w:t xml:space="preserve">et </w:t>
            </w:r>
            <w:r w:rsidR="00C26C5A" w:rsidRPr="006446E6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sset </w:t>
            </w:r>
            <w:r w:rsidR="00C26C5A" w:rsidRPr="006446E6">
              <w:rPr>
                <w:rFonts w:asciiTheme="minorHAnsi" w:hAnsiTheme="minorHAnsi" w:cstheme="minorHAnsi"/>
                <w:b/>
              </w:rPr>
              <w:t>B</w:t>
            </w:r>
            <w:r>
              <w:rPr>
                <w:rFonts w:asciiTheme="minorHAnsi" w:hAnsiTheme="minorHAnsi" w:cstheme="minorHAnsi"/>
                <w:b/>
              </w:rPr>
              <w:t>alance</w:t>
            </w:r>
          </w:p>
        </w:tc>
        <w:tc>
          <w:tcPr>
            <w:tcW w:w="1796" w:type="dxa"/>
          </w:tcPr>
          <w:p w14:paraId="2856BF2D" w14:textId="4D20E988" w:rsidR="00C26C5A" w:rsidRPr="002C62CC" w:rsidRDefault="00C26C5A" w:rsidP="0057269F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2F0F1D3" w14:textId="4DD1447B" w:rsidR="00C26C5A" w:rsidRPr="006446E6" w:rsidRDefault="00C26C5A" w:rsidP="005726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079E247" w14:textId="77777777" w:rsidR="00C26C5A" w:rsidRPr="006446E6" w:rsidRDefault="00C26C5A" w:rsidP="0057269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6C5A" w:rsidRPr="006446E6" w14:paraId="131DFCBD" w14:textId="77777777" w:rsidTr="002C177E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756C7A30" w14:textId="0E5E7D4F" w:rsidR="00C26C5A" w:rsidRPr="006446E6" w:rsidRDefault="000A0405" w:rsidP="0057269F">
            <w:pPr>
              <w:jc w:val="right"/>
              <w:rPr>
                <w:rFonts w:asciiTheme="minorHAnsi" w:hAnsiTheme="minorHAnsi" w:cstheme="minorHAnsi"/>
              </w:rPr>
            </w:pPr>
            <w:r w:rsidRPr="006446E6">
              <w:rPr>
                <w:rFonts w:asciiTheme="minorHAnsi" w:hAnsiTheme="minorHAnsi" w:cstheme="minorHAnsi"/>
              </w:rPr>
              <w:t>$4,506,979</w:t>
            </w:r>
          </w:p>
        </w:tc>
        <w:tc>
          <w:tcPr>
            <w:tcW w:w="1796" w:type="dxa"/>
          </w:tcPr>
          <w:p w14:paraId="5D9887C2" w14:textId="581A91F6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F9D154A" w14:textId="44441A4F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467C5F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26C5A" w:rsidRPr="006446E6" w14:paraId="16E19C6B" w14:textId="77777777" w:rsidTr="002C177E">
        <w:trPr>
          <w:trHeight w:val="255"/>
        </w:trPr>
        <w:tc>
          <w:tcPr>
            <w:tcW w:w="3684" w:type="dxa"/>
            <w:shd w:val="clear" w:color="auto" w:fill="D9D9D9" w:themeFill="background1" w:themeFillShade="D9"/>
            <w:noWrap/>
            <w:vAlign w:val="bottom"/>
          </w:tcPr>
          <w:p w14:paraId="0075A94B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</w:p>
          <w:p w14:paraId="3CEC526D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</w:p>
          <w:p w14:paraId="5122F192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14:paraId="449A4867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noWrap/>
            <w:vAlign w:val="bottom"/>
          </w:tcPr>
          <w:p w14:paraId="6DD87381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bottom"/>
          </w:tcPr>
          <w:p w14:paraId="23D3FEC5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171"/>
        <w:gridCol w:w="4919"/>
      </w:tblGrid>
      <w:tr w:rsidR="003373F0" w14:paraId="2BC4FD0D" w14:textId="77777777" w:rsidTr="00754529">
        <w:trPr>
          <w:trHeight w:val="440"/>
        </w:trPr>
        <w:tc>
          <w:tcPr>
            <w:tcW w:w="4171" w:type="dxa"/>
            <w:vAlign w:val="bottom"/>
          </w:tcPr>
          <w:p w14:paraId="6B6918C8" w14:textId="77777777" w:rsidR="003373F0" w:rsidRPr="00F10E1E" w:rsidRDefault="003373F0" w:rsidP="005356D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10E1E">
              <w:rPr>
                <w:rFonts w:asciiTheme="minorHAnsi" w:hAnsiTheme="minorHAnsi" w:cstheme="minorHAnsi"/>
                <w:b/>
                <w:bCs/>
              </w:rPr>
              <w:t xml:space="preserve">LONG TERM 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F10E1E">
              <w:rPr>
                <w:rFonts w:asciiTheme="minorHAnsi" w:hAnsiTheme="minorHAnsi" w:cstheme="minorHAnsi"/>
                <w:b/>
                <w:bCs/>
              </w:rPr>
              <w:t>NVESTMENT</w:t>
            </w:r>
          </w:p>
        </w:tc>
        <w:tc>
          <w:tcPr>
            <w:tcW w:w="4919" w:type="dxa"/>
            <w:vAlign w:val="bottom"/>
          </w:tcPr>
          <w:p w14:paraId="39E89C67" w14:textId="2E0F95CB" w:rsidR="003373F0" w:rsidRPr="00F10E1E" w:rsidRDefault="003373F0" w:rsidP="005356D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10E1E">
              <w:rPr>
                <w:rFonts w:asciiTheme="minorHAnsi" w:hAnsiTheme="minorHAnsi" w:cstheme="minorHAnsi"/>
                <w:b/>
                <w:bCs/>
              </w:rPr>
              <w:t>FY2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="00080039">
              <w:rPr>
                <w:rFonts w:asciiTheme="minorHAnsi" w:hAnsiTheme="minorHAnsi" w:cstheme="minorHAnsi"/>
                <w:b/>
                <w:bCs/>
              </w:rPr>
              <w:t xml:space="preserve">January 2022 </w:t>
            </w:r>
            <w:r w:rsidRPr="00F10E1E">
              <w:rPr>
                <w:rFonts w:asciiTheme="minorHAnsi" w:hAnsiTheme="minorHAnsi" w:cstheme="minorHAnsi"/>
                <w:b/>
                <w:bCs/>
              </w:rPr>
              <w:t>Actual</w:t>
            </w:r>
          </w:p>
        </w:tc>
      </w:tr>
      <w:tr w:rsidR="003373F0" w14:paraId="25082AFB" w14:textId="77777777" w:rsidTr="00754529">
        <w:trPr>
          <w:trHeight w:val="413"/>
        </w:trPr>
        <w:tc>
          <w:tcPr>
            <w:tcW w:w="4171" w:type="dxa"/>
            <w:vAlign w:val="bottom"/>
          </w:tcPr>
          <w:p w14:paraId="3F2CA933" w14:textId="06274A31" w:rsidR="003373F0" w:rsidRPr="007506EF" w:rsidRDefault="003373F0" w:rsidP="005356D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506EF">
              <w:rPr>
                <w:rFonts w:asciiTheme="minorHAnsi" w:hAnsiTheme="minorHAnsi" w:cstheme="minorHAnsi"/>
                <w:b/>
                <w:bCs/>
              </w:rPr>
              <w:t>Beginning Balance FY2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919" w:type="dxa"/>
            <w:vAlign w:val="bottom"/>
          </w:tcPr>
          <w:p w14:paraId="2F63DC53" w14:textId="1AFD256F" w:rsidR="003373F0" w:rsidRDefault="003373F0" w:rsidP="00535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$2,142,877</w:t>
            </w:r>
          </w:p>
        </w:tc>
      </w:tr>
      <w:tr w:rsidR="003373F0" w14:paraId="7D0CABC0" w14:textId="77777777" w:rsidTr="00754529">
        <w:trPr>
          <w:trHeight w:val="431"/>
        </w:trPr>
        <w:tc>
          <w:tcPr>
            <w:tcW w:w="4171" w:type="dxa"/>
            <w:vAlign w:val="bottom"/>
          </w:tcPr>
          <w:p w14:paraId="456595F5" w14:textId="77852E13" w:rsidR="003373F0" w:rsidRPr="007506EF" w:rsidRDefault="003373F0" w:rsidP="005356D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506EF">
              <w:rPr>
                <w:rFonts w:asciiTheme="minorHAnsi" w:hAnsiTheme="minorHAnsi" w:cstheme="minorHAnsi"/>
                <w:b/>
                <w:bCs/>
              </w:rPr>
              <w:t>Interest/Dividends FY2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919" w:type="dxa"/>
            <w:vAlign w:val="bottom"/>
          </w:tcPr>
          <w:p w14:paraId="6536A960" w14:textId="1DFAC967" w:rsidR="003373F0" w:rsidRDefault="003373F0" w:rsidP="00535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080039">
              <w:rPr>
                <w:rFonts w:asciiTheme="minorHAnsi" w:hAnsiTheme="minorHAnsi" w:cstheme="minorHAnsi"/>
              </w:rPr>
              <w:t>51,393</w:t>
            </w:r>
          </w:p>
        </w:tc>
      </w:tr>
      <w:tr w:rsidR="003373F0" w14:paraId="3D8A5758" w14:textId="77777777" w:rsidTr="00754529">
        <w:trPr>
          <w:trHeight w:val="440"/>
        </w:trPr>
        <w:tc>
          <w:tcPr>
            <w:tcW w:w="4171" w:type="dxa"/>
            <w:vAlign w:val="bottom"/>
          </w:tcPr>
          <w:p w14:paraId="6A25E9D2" w14:textId="44A44698" w:rsidR="003373F0" w:rsidRPr="007506EF" w:rsidRDefault="003373F0" w:rsidP="005356D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506EF">
              <w:rPr>
                <w:rFonts w:asciiTheme="minorHAnsi" w:hAnsiTheme="minorHAnsi" w:cstheme="minorHAnsi"/>
                <w:b/>
                <w:bCs/>
              </w:rPr>
              <w:t>Expenses FY2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919" w:type="dxa"/>
            <w:vAlign w:val="bottom"/>
          </w:tcPr>
          <w:p w14:paraId="4B880DE8" w14:textId="4177504A" w:rsidR="003373F0" w:rsidRDefault="003373F0" w:rsidP="00535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($</w:t>
            </w:r>
            <w:r w:rsidR="00080039">
              <w:rPr>
                <w:rFonts w:asciiTheme="minorHAnsi" w:hAnsiTheme="minorHAnsi" w:cstheme="minorHAnsi"/>
              </w:rPr>
              <w:t>5,340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080039" w14:paraId="4ECF64B0" w14:textId="77777777" w:rsidTr="00754529">
        <w:trPr>
          <w:trHeight w:val="440"/>
        </w:trPr>
        <w:tc>
          <w:tcPr>
            <w:tcW w:w="4171" w:type="dxa"/>
            <w:vAlign w:val="bottom"/>
          </w:tcPr>
          <w:p w14:paraId="304D4370" w14:textId="59356645" w:rsidR="00080039" w:rsidRPr="007506EF" w:rsidRDefault="00080039" w:rsidP="005356D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Realized Gaines</w:t>
            </w:r>
          </w:p>
        </w:tc>
        <w:tc>
          <w:tcPr>
            <w:tcW w:w="4919" w:type="dxa"/>
            <w:vAlign w:val="bottom"/>
          </w:tcPr>
          <w:p w14:paraId="1F20F7CE" w14:textId="0340B223" w:rsidR="00080039" w:rsidRDefault="00080039" w:rsidP="00535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$77,575</w:t>
            </w:r>
          </w:p>
        </w:tc>
      </w:tr>
      <w:tr w:rsidR="003373F0" w14:paraId="6A6317D0" w14:textId="77777777" w:rsidTr="00754529">
        <w:trPr>
          <w:trHeight w:val="440"/>
        </w:trPr>
        <w:tc>
          <w:tcPr>
            <w:tcW w:w="4171" w:type="dxa"/>
            <w:vAlign w:val="bottom"/>
          </w:tcPr>
          <w:p w14:paraId="7F45B18B" w14:textId="441CDC5A" w:rsidR="003373F0" w:rsidRPr="007506EF" w:rsidRDefault="00080039" w:rsidP="005356D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Unrealized Gaines</w:t>
            </w:r>
          </w:p>
        </w:tc>
        <w:tc>
          <w:tcPr>
            <w:tcW w:w="4919" w:type="dxa"/>
            <w:vAlign w:val="bottom"/>
          </w:tcPr>
          <w:p w14:paraId="2FB914E3" w14:textId="1244F89F" w:rsidR="003373F0" w:rsidRDefault="00080039" w:rsidP="00535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($170,808)</w:t>
            </w:r>
          </w:p>
        </w:tc>
      </w:tr>
      <w:tr w:rsidR="003373F0" w14:paraId="7D77FACF" w14:textId="77777777" w:rsidTr="00754529">
        <w:trPr>
          <w:trHeight w:val="404"/>
        </w:trPr>
        <w:tc>
          <w:tcPr>
            <w:tcW w:w="4171" w:type="dxa"/>
            <w:vAlign w:val="bottom"/>
          </w:tcPr>
          <w:p w14:paraId="76956E1C" w14:textId="299D8C75" w:rsidR="003373F0" w:rsidRPr="007506EF" w:rsidRDefault="003373F0" w:rsidP="005356D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506EF">
              <w:rPr>
                <w:rFonts w:asciiTheme="minorHAnsi" w:hAnsiTheme="minorHAnsi" w:cstheme="minorHAnsi"/>
                <w:b/>
                <w:bCs/>
              </w:rPr>
              <w:t>Ending Net Assets FY2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919" w:type="dxa"/>
            <w:vAlign w:val="bottom"/>
          </w:tcPr>
          <w:p w14:paraId="5DAE296C" w14:textId="520C24A2" w:rsidR="003373F0" w:rsidRDefault="003373F0" w:rsidP="00535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$2,</w:t>
            </w:r>
            <w:r w:rsidR="00080039">
              <w:rPr>
                <w:rFonts w:asciiTheme="minorHAnsi" w:hAnsiTheme="minorHAnsi" w:cstheme="minorHAnsi"/>
              </w:rPr>
              <w:t>095,697</w:t>
            </w:r>
          </w:p>
        </w:tc>
      </w:tr>
    </w:tbl>
    <w:p w14:paraId="281D097C" w14:textId="77777777" w:rsidR="002C62CC" w:rsidRPr="002C62CC" w:rsidRDefault="002C62CC" w:rsidP="00163145">
      <w:pPr>
        <w:rPr>
          <w:rFonts w:asciiTheme="minorHAnsi" w:hAnsiTheme="minorHAnsi" w:cstheme="minorHAnsi"/>
          <w:color w:val="FF0000"/>
        </w:rPr>
      </w:pPr>
    </w:p>
    <w:p w14:paraId="4A579575" w14:textId="09EE5FB0" w:rsidR="00C26C5A" w:rsidRPr="006446E6" w:rsidRDefault="00C26C5A" w:rsidP="00066FDA">
      <w:pPr>
        <w:rPr>
          <w:rFonts w:asciiTheme="minorHAnsi" w:hAnsiTheme="minorHAnsi" w:cstheme="minorHAnsi"/>
        </w:rPr>
      </w:pPr>
    </w:p>
    <w:p w14:paraId="414CE4FA" w14:textId="78124610" w:rsidR="0077529F" w:rsidRPr="006446E6" w:rsidRDefault="00FC72B4" w:rsidP="00C4715C">
      <w:pPr>
        <w:rPr>
          <w:rFonts w:asciiTheme="minorHAnsi" w:hAnsiTheme="minorHAnsi" w:cstheme="minorHAnsi"/>
        </w:rPr>
      </w:pPr>
      <w:r w:rsidRPr="006446E6">
        <w:rPr>
          <w:rFonts w:asciiTheme="minorHAnsi" w:hAnsiTheme="minorHAnsi" w:cstheme="minorHAnsi"/>
          <w:u w:val="single"/>
        </w:rPr>
        <w:t>Operating Budget:</w:t>
      </w:r>
      <w:r w:rsidRPr="006446E6">
        <w:rPr>
          <w:rFonts w:asciiTheme="minorHAnsi" w:hAnsiTheme="minorHAnsi" w:cstheme="minorHAnsi"/>
        </w:rPr>
        <w:t xml:space="preserve"> </w:t>
      </w:r>
      <w:r w:rsidR="0077529F" w:rsidRPr="006446E6">
        <w:rPr>
          <w:rFonts w:asciiTheme="minorHAnsi" w:hAnsiTheme="minorHAnsi" w:cstheme="minorHAnsi"/>
        </w:rPr>
        <w:t xml:space="preserve"> </w:t>
      </w:r>
      <w:r w:rsidR="00C4715C" w:rsidRPr="006446E6">
        <w:rPr>
          <w:rFonts w:asciiTheme="minorHAnsi" w:hAnsiTheme="minorHAnsi" w:cstheme="minorHAnsi"/>
        </w:rPr>
        <w:t>As of</w:t>
      </w:r>
      <w:r w:rsidR="00CC0A08" w:rsidRPr="006446E6">
        <w:rPr>
          <w:rFonts w:asciiTheme="minorHAnsi" w:hAnsiTheme="minorHAnsi" w:cstheme="minorHAnsi"/>
        </w:rPr>
        <w:t xml:space="preserve"> </w:t>
      </w:r>
      <w:r w:rsidR="00080039">
        <w:rPr>
          <w:rFonts w:asciiTheme="minorHAnsi" w:hAnsiTheme="minorHAnsi" w:cstheme="minorHAnsi"/>
        </w:rPr>
        <w:t>January</w:t>
      </w:r>
      <w:r w:rsidR="00C6183F" w:rsidRPr="006446E6">
        <w:rPr>
          <w:rFonts w:asciiTheme="minorHAnsi" w:hAnsiTheme="minorHAnsi" w:cstheme="minorHAnsi"/>
        </w:rPr>
        <w:t xml:space="preserve"> 202</w:t>
      </w:r>
      <w:r w:rsidR="00206C4B">
        <w:rPr>
          <w:rFonts w:asciiTheme="minorHAnsi" w:hAnsiTheme="minorHAnsi" w:cstheme="minorHAnsi"/>
        </w:rPr>
        <w:t>2</w:t>
      </w:r>
      <w:r w:rsidR="00C4715C" w:rsidRPr="006446E6">
        <w:rPr>
          <w:rFonts w:asciiTheme="minorHAnsi" w:hAnsiTheme="minorHAnsi" w:cstheme="minorHAnsi"/>
        </w:rPr>
        <w:t>, PLA ha</w:t>
      </w:r>
      <w:r w:rsidR="00E80B1E" w:rsidRPr="006446E6">
        <w:rPr>
          <w:rFonts w:asciiTheme="minorHAnsi" w:hAnsiTheme="minorHAnsi" w:cstheme="minorHAnsi"/>
        </w:rPr>
        <w:t>s</w:t>
      </w:r>
      <w:r w:rsidR="0036151E" w:rsidRPr="006446E6">
        <w:rPr>
          <w:rFonts w:asciiTheme="minorHAnsi" w:hAnsiTheme="minorHAnsi" w:cstheme="minorHAnsi"/>
        </w:rPr>
        <w:t xml:space="preserve"> </w:t>
      </w:r>
      <w:r w:rsidR="00E80B1E" w:rsidRPr="006446E6">
        <w:rPr>
          <w:rFonts w:asciiTheme="minorHAnsi" w:hAnsiTheme="minorHAnsi" w:cstheme="minorHAnsi"/>
        </w:rPr>
        <w:t>actua</w:t>
      </w:r>
      <w:r w:rsidR="007A3F8C" w:rsidRPr="006446E6">
        <w:rPr>
          <w:rFonts w:asciiTheme="minorHAnsi" w:hAnsiTheme="minorHAnsi" w:cstheme="minorHAnsi"/>
        </w:rPr>
        <w:t>l</w:t>
      </w:r>
      <w:r w:rsidR="00E80B1E" w:rsidRPr="006446E6">
        <w:rPr>
          <w:rFonts w:asciiTheme="minorHAnsi" w:hAnsiTheme="minorHAnsi" w:cstheme="minorHAnsi"/>
        </w:rPr>
        <w:t xml:space="preserve"> </w:t>
      </w:r>
      <w:r w:rsidR="0036151E" w:rsidRPr="006446E6">
        <w:rPr>
          <w:rFonts w:asciiTheme="minorHAnsi" w:hAnsiTheme="minorHAnsi" w:cstheme="minorHAnsi"/>
        </w:rPr>
        <w:t>expense</w:t>
      </w:r>
      <w:r w:rsidR="00645FAF" w:rsidRPr="006446E6">
        <w:rPr>
          <w:rFonts w:asciiTheme="minorHAnsi" w:hAnsiTheme="minorHAnsi" w:cstheme="minorHAnsi"/>
        </w:rPr>
        <w:t>s</w:t>
      </w:r>
      <w:r w:rsidR="0036151E" w:rsidRPr="006446E6">
        <w:rPr>
          <w:rFonts w:asciiTheme="minorHAnsi" w:hAnsiTheme="minorHAnsi" w:cstheme="minorHAnsi"/>
        </w:rPr>
        <w:t xml:space="preserve"> of $</w:t>
      </w:r>
      <w:r w:rsidR="00FE400F">
        <w:rPr>
          <w:rFonts w:asciiTheme="minorHAnsi" w:hAnsiTheme="minorHAnsi" w:cstheme="minorHAnsi"/>
        </w:rPr>
        <w:t>459,838</w:t>
      </w:r>
      <w:r w:rsidR="00D62C25" w:rsidRPr="006446E6">
        <w:rPr>
          <w:rFonts w:asciiTheme="minorHAnsi" w:hAnsiTheme="minorHAnsi" w:cstheme="minorHAnsi"/>
        </w:rPr>
        <w:t xml:space="preserve"> </w:t>
      </w:r>
      <w:r w:rsidR="00E80B1E" w:rsidRPr="006446E6">
        <w:rPr>
          <w:rFonts w:asciiTheme="minorHAnsi" w:hAnsiTheme="minorHAnsi" w:cstheme="minorHAnsi"/>
        </w:rPr>
        <w:t>compared to budget</w:t>
      </w:r>
      <w:r w:rsidR="00645FAF" w:rsidRPr="006446E6">
        <w:rPr>
          <w:rFonts w:asciiTheme="minorHAnsi" w:hAnsiTheme="minorHAnsi" w:cstheme="minorHAnsi"/>
        </w:rPr>
        <w:t>ed</w:t>
      </w:r>
      <w:r w:rsidR="00E80B1E" w:rsidRPr="006446E6">
        <w:rPr>
          <w:rFonts w:asciiTheme="minorHAnsi" w:hAnsiTheme="minorHAnsi" w:cstheme="minorHAnsi"/>
        </w:rPr>
        <w:t xml:space="preserve"> </w:t>
      </w:r>
      <w:r w:rsidR="0036151E" w:rsidRPr="006446E6">
        <w:rPr>
          <w:rFonts w:asciiTheme="minorHAnsi" w:hAnsiTheme="minorHAnsi" w:cstheme="minorHAnsi"/>
        </w:rPr>
        <w:t>expense</w:t>
      </w:r>
      <w:r w:rsidR="00645FAF" w:rsidRPr="006446E6">
        <w:rPr>
          <w:rFonts w:asciiTheme="minorHAnsi" w:hAnsiTheme="minorHAnsi" w:cstheme="minorHAnsi"/>
        </w:rPr>
        <w:t>s</w:t>
      </w:r>
      <w:r w:rsidR="0036151E" w:rsidRPr="006446E6">
        <w:rPr>
          <w:rFonts w:asciiTheme="minorHAnsi" w:hAnsiTheme="minorHAnsi" w:cstheme="minorHAnsi"/>
        </w:rPr>
        <w:t xml:space="preserve"> of</w:t>
      </w:r>
      <w:r w:rsidR="00E80B1E" w:rsidRPr="006446E6">
        <w:rPr>
          <w:rFonts w:asciiTheme="minorHAnsi" w:hAnsiTheme="minorHAnsi" w:cstheme="minorHAnsi"/>
        </w:rPr>
        <w:t xml:space="preserve"> $</w:t>
      </w:r>
      <w:r w:rsidR="00FE400F">
        <w:rPr>
          <w:rFonts w:asciiTheme="minorHAnsi" w:hAnsiTheme="minorHAnsi" w:cstheme="minorHAnsi"/>
        </w:rPr>
        <w:t>587,453</w:t>
      </w:r>
      <w:r w:rsidR="007459C5">
        <w:rPr>
          <w:rFonts w:asciiTheme="minorHAnsi" w:hAnsiTheme="minorHAnsi" w:cstheme="minorHAnsi"/>
        </w:rPr>
        <w:t>, coming in 20% under budget</w:t>
      </w:r>
      <w:r w:rsidR="00E80B1E" w:rsidRPr="006446E6">
        <w:rPr>
          <w:rFonts w:asciiTheme="minorHAnsi" w:hAnsiTheme="minorHAnsi" w:cstheme="minorHAnsi"/>
        </w:rPr>
        <w:t xml:space="preserve">. </w:t>
      </w:r>
      <w:r w:rsidR="00710FE6" w:rsidRPr="006446E6">
        <w:rPr>
          <w:rFonts w:asciiTheme="minorHAnsi" w:hAnsiTheme="minorHAnsi" w:cstheme="minorHAnsi"/>
        </w:rPr>
        <w:t xml:space="preserve">Although </w:t>
      </w:r>
      <w:r w:rsidR="00D62C25" w:rsidRPr="006446E6">
        <w:rPr>
          <w:rFonts w:asciiTheme="minorHAnsi" w:hAnsiTheme="minorHAnsi" w:cstheme="minorHAnsi"/>
        </w:rPr>
        <w:t>FY22</w:t>
      </w:r>
      <w:r w:rsidR="00710FE6" w:rsidRPr="006446E6">
        <w:rPr>
          <w:rFonts w:asciiTheme="minorHAnsi" w:hAnsiTheme="minorHAnsi" w:cstheme="minorHAnsi"/>
        </w:rPr>
        <w:t xml:space="preserve"> is a conference year (with a budgeted net of $8</w:t>
      </w:r>
      <w:r w:rsidR="00FE400F">
        <w:rPr>
          <w:rFonts w:asciiTheme="minorHAnsi" w:hAnsiTheme="minorHAnsi" w:cstheme="minorHAnsi"/>
        </w:rPr>
        <w:t>51,748</w:t>
      </w:r>
      <w:r w:rsidR="00710FE6" w:rsidRPr="006446E6">
        <w:rPr>
          <w:rFonts w:asciiTheme="minorHAnsi" w:hAnsiTheme="minorHAnsi" w:cstheme="minorHAnsi"/>
        </w:rPr>
        <w:t xml:space="preserve">) </w:t>
      </w:r>
      <w:r w:rsidR="00FE400F">
        <w:rPr>
          <w:rFonts w:asciiTheme="minorHAnsi" w:hAnsiTheme="minorHAnsi" w:cstheme="minorHAnsi"/>
        </w:rPr>
        <w:t xml:space="preserve">January </w:t>
      </w:r>
      <w:r w:rsidR="00710FE6" w:rsidRPr="006446E6">
        <w:rPr>
          <w:rFonts w:asciiTheme="minorHAnsi" w:hAnsiTheme="minorHAnsi" w:cstheme="minorHAnsi"/>
        </w:rPr>
        <w:t xml:space="preserve">is budgeted to a deficit. Conference revenue will be realized </w:t>
      </w:r>
      <w:r w:rsidR="00FE400F">
        <w:rPr>
          <w:rFonts w:asciiTheme="minorHAnsi" w:hAnsiTheme="minorHAnsi" w:cstheme="minorHAnsi"/>
        </w:rPr>
        <w:t>largely in FY22 Q3</w:t>
      </w:r>
      <w:r w:rsidR="00710FE6" w:rsidRPr="006446E6">
        <w:rPr>
          <w:rFonts w:asciiTheme="minorHAnsi" w:hAnsiTheme="minorHAnsi" w:cstheme="minorHAnsi"/>
        </w:rPr>
        <w:t xml:space="preserve">. </w:t>
      </w:r>
      <w:r w:rsidR="00AD0415">
        <w:rPr>
          <w:rFonts w:asciiTheme="minorHAnsi" w:hAnsiTheme="minorHAnsi" w:cstheme="minorHAnsi"/>
        </w:rPr>
        <w:t>Th</w:t>
      </w:r>
      <w:r w:rsidR="00BF0950">
        <w:rPr>
          <w:rFonts w:asciiTheme="minorHAnsi" w:hAnsiTheme="minorHAnsi" w:cstheme="minorHAnsi"/>
        </w:rPr>
        <w:t>e results are</w:t>
      </w:r>
      <w:r w:rsidR="00AD0415">
        <w:rPr>
          <w:rFonts w:asciiTheme="minorHAnsi" w:hAnsiTheme="minorHAnsi" w:cstheme="minorHAnsi"/>
        </w:rPr>
        <w:t xml:space="preserve"> </w:t>
      </w:r>
      <w:r w:rsidR="00051D01" w:rsidRPr="006446E6">
        <w:rPr>
          <w:rFonts w:asciiTheme="minorHAnsi" w:hAnsiTheme="minorHAnsi" w:cstheme="minorHAnsi"/>
        </w:rPr>
        <w:t xml:space="preserve">generally due to </w:t>
      </w:r>
      <w:r w:rsidR="00A862E1" w:rsidRPr="006446E6">
        <w:rPr>
          <w:rFonts w:asciiTheme="minorHAnsi" w:hAnsiTheme="minorHAnsi" w:cstheme="minorHAnsi"/>
        </w:rPr>
        <w:t xml:space="preserve">staff attrition, timing of conference expenses, and stronger than </w:t>
      </w:r>
      <w:r w:rsidR="00AD0415">
        <w:rPr>
          <w:rFonts w:asciiTheme="minorHAnsi" w:hAnsiTheme="minorHAnsi" w:cstheme="minorHAnsi"/>
        </w:rPr>
        <w:t>publication sales</w:t>
      </w:r>
      <w:r w:rsidR="00A862E1" w:rsidRPr="006446E6">
        <w:rPr>
          <w:rFonts w:asciiTheme="minorHAnsi" w:hAnsiTheme="minorHAnsi" w:cstheme="minorHAnsi"/>
        </w:rPr>
        <w:t xml:space="preserve">. </w:t>
      </w:r>
    </w:p>
    <w:p w14:paraId="0025D073" w14:textId="0C8C5ED1" w:rsidR="001906E9" w:rsidRPr="006446E6" w:rsidRDefault="001906E9" w:rsidP="007F0F3D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u w:val="single"/>
        </w:rPr>
      </w:pPr>
      <w:r w:rsidRPr="006446E6">
        <w:rPr>
          <w:rFonts w:asciiTheme="minorHAnsi" w:hAnsiTheme="minorHAnsi" w:cstheme="minorHAnsi"/>
        </w:rPr>
        <w:t>Spending on administrative costs (staff, board management) is below budget (</w:t>
      </w:r>
      <w:r w:rsidR="00AD0415">
        <w:rPr>
          <w:rFonts w:asciiTheme="minorHAnsi" w:hAnsiTheme="minorHAnsi" w:cstheme="minorHAnsi"/>
        </w:rPr>
        <w:t>21%</w:t>
      </w:r>
      <w:r w:rsidRPr="006446E6">
        <w:rPr>
          <w:rFonts w:asciiTheme="minorHAnsi" w:hAnsiTheme="minorHAnsi" w:cstheme="minorHAnsi"/>
        </w:rPr>
        <w:t xml:space="preserve"> variance), due to open positions.</w:t>
      </w:r>
    </w:p>
    <w:p w14:paraId="0D218A10" w14:textId="3D159888" w:rsidR="00ED0ABE" w:rsidRPr="00ED0ABE" w:rsidRDefault="00A86AC5" w:rsidP="00ED0ABE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u w:val="single"/>
        </w:rPr>
      </w:pPr>
      <w:r w:rsidRPr="006446E6">
        <w:rPr>
          <w:rFonts w:asciiTheme="minorHAnsi" w:hAnsiTheme="minorHAnsi" w:cstheme="minorHAnsi"/>
        </w:rPr>
        <w:t>Dues</w:t>
      </w:r>
      <w:r w:rsidR="00415C44" w:rsidRPr="006446E6">
        <w:rPr>
          <w:rFonts w:asciiTheme="minorHAnsi" w:hAnsiTheme="minorHAnsi" w:cstheme="minorHAnsi"/>
        </w:rPr>
        <w:t xml:space="preserve"> revenue </w:t>
      </w:r>
      <w:r w:rsidR="001906E9" w:rsidRPr="006446E6">
        <w:rPr>
          <w:rFonts w:asciiTheme="minorHAnsi" w:hAnsiTheme="minorHAnsi" w:cstheme="minorHAnsi"/>
        </w:rPr>
        <w:t xml:space="preserve">is </w:t>
      </w:r>
      <w:r w:rsidR="00AD0415">
        <w:rPr>
          <w:rFonts w:asciiTheme="minorHAnsi" w:hAnsiTheme="minorHAnsi" w:cstheme="minorHAnsi"/>
        </w:rPr>
        <w:t xml:space="preserve">12% </w:t>
      </w:r>
      <w:r w:rsidR="00A862E1" w:rsidRPr="006446E6">
        <w:rPr>
          <w:rFonts w:asciiTheme="minorHAnsi" w:hAnsiTheme="minorHAnsi" w:cstheme="minorHAnsi"/>
        </w:rPr>
        <w:t>ahead of budget</w:t>
      </w:r>
      <w:r w:rsidR="001906E9" w:rsidRPr="006446E6">
        <w:rPr>
          <w:rFonts w:asciiTheme="minorHAnsi" w:hAnsiTheme="minorHAnsi" w:cstheme="minorHAnsi"/>
        </w:rPr>
        <w:t>, with</w:t>
      </w:r>
      <w:r w:rsidR="00FF3881" w:rsidRPr="006446E6">
        <w:rPr>
          <w:rFonts w:asciiTheme="minorHAnsi" w:hAnsiTheme="minorHAnsi" w:cstheme="minorHAnsi"/>
        </w:rPr>
        <w:t xml:space="preserve"> $</w:t>
      </w:r>
      <w:r w:rsidR="00AD0415">
        <w:rPr>
          <w:rFonts w:asciiTheme="minorHAnsi" w:hAnsiTheme="minorHAnsi" w:cstheme="minorHAnsi"/>
        </w:rPr>
        <w:t>217,670</w:t>
      </w:r>
      <w:r w:rsidR="00FF3881" w:rsidRPr="006446E6">
        <w:rPr>
          <w:rFonts w:asciiTheme="minorHAnsi" w:hAnsiTheme="minorHAnsi" w:cstheme="minorHAnsi"/>
        </w:rPr>
        <w:t xml:space="preserve"> collected against a budget of </w:t>
      </w:r>
      <w:r w:rsidR="001906E9" w:rsidRPr="006446E6">
        <w:rPr>
          <w:rFonts w:asciiTheme="minorHAnsi" w:hAnsiTheme="minorHAnsi" w:cstheme="minorHAnsi"/>
        </w:rPr>
        <w:t>$</w:t>
      </w:r>
      <w:r w:rsidR="00AD0415">
        <w:rPr>
          <w:rFonts w:asciiTheme="minorHAnsi" w:hAnsiTheme="minorHAnsi" w:cstheme="minorHAnsi"/>
        </w:rPr>
        <w:t>194,792</w:t>
      </w:r>
      <w:r w:rsidR="001906E9" w:rsidRPr="006446E6">
        <w:rPr>
          <w:rFonts w:asciiTheme="minorHAnsi" w:hAnsiTheme="minorHAnsi" w:cstheme="minorHAnsi"/>
        </w:rPr>
        <w:t>.</w:t>
      </w:r>
      <w:r w:rsidR="00D62C25" w:rsidRPr="006446E6">
        <w:rPr>
          <w:rFonts w:asciiTheme="minorHAnsi" w:hAnsiTheme="minorHAnsi" w:cstheme="minorHAnsi"/>
        </w:rPr>
        <w:t xml:space="preserve"> </w:t>
      </w:r>
      <w:r w:rsidR="00BF0950">
        <w:rPr>
          <w:rFonts w:asciiTheme="minorHAnsi" w:hAnsiTheme="minorHAnsi" w:cstheme="minorHAnsi"/>
        </w:rPr>
        <w:t>Dues e</w:t>
      </w:r>
      <w:r w:rsidR="00D62C25" w:rsidRPr="006446E6">
        <w:rPr>
          <w:rFonts w:asciiTheme="minorHAnsi" w:hAnsiTheme="minorHAnsi" w:cstheme="minorHAnsi"/>
        </w:rPr>
        <w:t>xpenses</w:t>
      </w:r>
      <w:r w:rsidR="00BF0950">
        <w:rPr>
          <w:rFonts w:asciiTheme="minorHAnsi" w:hAnsiTheme="minorHAnsi" w:cstheme="minorHAnsi"/>
        </w:rPr>
        <w:t>, mostly promotional,</w:t>
      </w:r>
      <w:r w:rsidR="00D62C25" w:rsidRPr="006446E6">
        <w:rPr>
          <w:rFonts w:asciiTheme="minorHAnsi" w:hAnsiTheme="minorHAnsi" w:cstheme="minorHAnsi"/>
        </w:rPr>
        <w:t xml:space="preserve"> are behind due to delayed conference registration opening. </w:t>
      </w:r>
      <w:bookmarkStart w:id="0" w:name="_Hlk100524613"/>
    </w:p>
    <w:p w14:paraId="459AA635" w14:textId="4673C871" w:rsidR="00ED0ABE" w:rsidRPr="00ED0ABE" w:rsidRDefault="00ED0ABE" w:rsidP="00ED0ABE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u w:val="single"/>
        </w:rPr>
      </w:pPr>
      <w:r w:rsidRPr="00ED0ABE">
        <w:rPr>
          <w:rFonts w:ascii="Calibri" w:hAnsi="Calibri" w:cs="Calibri"/>
        </w:rPr>
        <w:lastRenderedPageBreak/>
        <w:t xml:space="preserve">PLA Web CE revenue lagged behind budget. Due to staffing shortages, PLA suspended production of new </w:t>
      </w:r>
      <w:r w:rsidR="00FC5486">
        <w:rPr>
          <w:rFonts w:ascii="Calibri" w:hAnsi="Calibri" w:cs="Calibri"/>
        </w:rPr>
        <w:t xml:space="preserve">paid </w:t>
      </w:r>
      <w:r w:rsidRPr="00ED0ABE">
        <w:rPr>
          <w:rFonts w:ascii="Calibri" w:hAnsi="Calibri" w:cs="Calibri"/>
        </w:rPr>
        <w:t>Web CE in order to focus on the production of the PLA 2022 National Conference, including the expanded Virtual Conference.</w:t>
      </w:r>
    </w:p>
    <w:p w14:paraId="0BBA9854" w14:textId="77777777" w:rsidR="00BF0950" w:rsidRPr="006C0E2A" w:rsidRDefault="00BF0950" w:rsidP="00696659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u w:val="single"/>
        </w:rPr>
      </w:pPr>
      <w:r w:rsidRPr="006C0E2A">
        <w:rPr>
          <w:rFonts w:asciiTheme="minorHAnsi" w:hAnsiTheme="minorHAnsi" w:cstheme="minorHAnsi"/>
        </w:rPr>
        <w:t>PLA publications comprise three budgets:</w:t>
      </w:r>
    </w:p>
    <w:p w14:paraId="521D4160" w14:textId="291AAE75" w:rsidR="00BF0950" w:rsidRPr="006C0E2A" w:rsidRDefault="00BF0950" w:rsidP="00BF0950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u w:val="single"/>
        </w:rPr>
      </w:pPr>
      <w:r w:rsidRPr="006C0E2A">
        <w:rPr>
          <w:rFonts w:asciiTheme="minorHAnsi" w:hAnsiTheme="minorHAnsi" w:cstheme="minorHAnsi"/>
          <w:i/>
          <w:iCs/>
        </w:rPr>
        <w:t xml:space="preserve">Public Libraries </w:t>
      </w:r>
      <w:r w:rsidRPr="006C0E2A">
        <w:rPr>
          <w:rFonts w:asciiTheme="minorHAnsi" w:hAnsiTheme="minorHAnsi" w:cstheme="minorHAnsi"/>
        </w:rPr>
        <w:t xml:space="preserve">magazine: Continuing with the pandemic practice of publishing </w:t>
      </w:r>
      <w:proofErr w:type="gramStart"/>
      <w:r w:rsidRPr="006C0E2A">
        <w:rPr>
          <w:rFonts w:asciiTheme="minorHAnsi" w:hAnsiTheme="minorHAnsi" w:cstheme="minorHAnsi"/>
        </w:rPr>
        <w:t>a number of</w:t>
      </w:r>
      <w:proofErr w:type="gramEnd"/>
      <w:r w:rsidRPr="006C0E2A">
        <w:rPr>
          <w:rFonts w:asciiTheme="minorHAnsi" w:hAnsiTheme="minorHAnsi" w:cstheme="minorHAnsi"/>
        </w:rPr>
        <w:t xml:space="preserve"> </w:t>
      </w:r>
      <w:r w:rsidRPr="006C0E2A">
        <w:rPr>
          <w:rFonts w:asciiTheme="minorHAnsi" w:hAnsiTheme="minorHAnsi" w:cstheme="minorHAnsi"/>
          <w:i/>
          <w:iCs/>
        </w:rPr>
        <w:t xml:space="preserve">Public Libraries </w:t>
      </w:r>
      <w:r w:rsidRPr="006C0E2A">
        <w:rPr>
          <w:rFonts w:asciiTheme="minorHAnsi" w:hAnsiTheme="minorHAnsi" w:cstheme="minorHAnsi"/>
        </w:rPr>
        <w:t>editions digitally rather than in print contributes to its lower than budgeted expenses of $33,926 (over a budgeted $</w:t>
      </w:r>
      <w:r w:rsidR="00D20568">
        <w:rPr>
          <w:rFonts w:asciiTheme="minorHAnsi" w:hAnsiTheme="minorHAnsi" w:cstheme="minorHAnsi"/>
        </w:rPr>
        <w:t>45,604</w:t>
      </w:r>
      <w:r w:rsidRPr="006C0E2A">
        <w:rPr>
          <w:rFonts w:asciiTheme="minorHAnsi" w:hAnsiTheme="minorHAnsi" w:cstheme="minorHAnsi"/>
        </w:rPr>
        <w:t>).</w:t>
      </w:r>
    </w:p>
    <w:p w14:paraId="52F3F95A" w14:textId="46CA67A5" w:rsidR="00F2378D" w:rsidRPr="006C0E2A" w:rsidRDefault="00F2378D" w:rsidP="00BF0950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u w:val="single"/>
        </w:rPr>
      </w:pPr>
      <w:r w:rsidRPr="006C0E2A">
        <w:rPr>
          <w:rFonts w:asciiTheme="minorHAnsi" w:hAnsiTheme="minorHAnsi" w:cstheme="minorHAnsi"/>
        </w:rPr>
        <w:t>Every Child Ready to Read (ECRR) revenue budgeted at $2K, came in at $13,593. The dramatic upswing in revenue was due to large state library agency purchases; This gain, minus expenses ($3,734) and overhead on sales ($1,082), places the PLA-ALSC product on firm ground, netting $5,974 to da</w:t>
      </w:r>
      <w:r w:rsidR="00C86B4A">
        <w:rPr>
          <w:rFonts w:asciiTheme="minorHAnsi" w:hAnsiTheme="minorHAnsi" w:cstheme="minorHAnsi"/>
        </w:rPr>
        <w:t>te.</w:t>
      </w:r>
    </w:p>
    <w:p w14:paraId="00683216" w14:textId="69032B86" w:rsidR="00B54D65" w:rsidRPr="006C0E2A" w:rsidRDefault="00F2378D" w:rsidP="00BF0950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u w:val="single"/>
        </w:rPr>
      </w:pPr>
      <w:r w:rsidRPr="006C0E2A">
        <w:rPr>
          <w:rFonts w:asciiTheme="minorHAnsi" w:hAnsiTheme="minorHAnsi" w:cstheme="minorHAnsi"/>
        </w:rPr>
        <w:t>PLA publications (products</w:t>
      </w:r>
      <w:r w:rsidR="006C0E2A">
        <w:rPr>
          <w:rFonts w:asciiTheme="minorHAnsi" w:hAnsiTheme="minorHAnsi" w:cstheme="minorHAnsi"/>
        </w:rPr>
        <w:t xml:space="preserve"> </w:t>
      </w:r>
      <w:r w:rsidRPr="006C0E2A">
        <w:rPr>
          <w:rFonts w:asciiTheme="minorHAnsi" w:hAnsiTheme="minorHAnsi" w:cstheme="minorHAnsi"/>
        </w:rPr>
        <w:t xml:space="preserve">available through the ALA online store) are notably overbudget with only $24 in recorded sales (against a budgeted $8K), and $15K incurred in </w:t>
      </w:r>
      <w:r w:rsidR="006C0E2A" w:rsidRPr="006C0E2A">
        <w:rPr>
          <w:rFonts w:asciiTheme="minorHAnsi" w:hAnsiTheme="minorHAnsi" w:cstheme="minorHAnsi"/>
        </w:rPr>
        <w:t xml:space="preserve">the </w:t>
      </w:r>
      <w:r w:rsidRPr="006C0E2A">
        <w:rPr>
          <w:rFonts w:asciiTheme="minorHAnsi" w:hAnsiTheme="minorHAnsi" w:cstheme="minorHAnsi"/>
        </w:rPr>
        <w:t xml:space="preserve">design and printing </w:t>
      </w:r>
      <w:r w:rsidR="006C0E2A" w:rsidRPr="006C0E2A">
        <w:rPr>
          <w:rFonts w:asciiTheme="minorHAnsi" w:hAnsiTheme="minorHAnsi" w:cstheme="minorHAnsi"/>
        </w:rPr>
        <w:t xml:space="preserve">of </w:t>
      </w:r>
      <w:r w:rsidR="006C0E2A" w:rsidRPr="006C0E2A">
        <w:rPr>
          <w:rFonts w:asciiTheme="minorHAnsi" w:hAnsiTheme="minorHAnsi" w:cstheme="minorHAnsi"/>
          <w:i/>
          <w:iCs/>
        </w:rPr>
        <w:t xml:space="preserve">Strategic Planning for Public Libraries. </w:t>
      </w:r>
      <w:r w:rsidR="006C0E2A" w:rsidRPr="006C0E2A">
        <w:rPr>
          <w:rFonts w:asciiTheme="minorHAnsi" w:hAnsiTheme="minorHAnsi" w:cstheme="minorHAnsi"/>
        </w:rPr>
        <w:t xml:space="preserve">Pandemic-related delays in the release of both the strategic planning title and the PLA Early Literacy Calendar mean that sales revenue will be realized later in the year. </w:t>
      </w:r>
    </w:p>
    <w:bookmarkEnd w:id="0"/>
    <w:p w14:paraId="4076453C" w14:textId="2C0E159F" w:rsidR="0069733C" w:rsidRPr="006446E6" w:rsidRDefault="0069733C" w:rsidP="007F0F3D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u w:val="single"/>
        </w:rPr>
      </w:pPr>
      <w:r w:rsidRPr="006C0E2A">
        <w:rPr>
          <w:rFonts w:asciiTheme="minorHAnsi" w:hAnsiTheme="minorHAnsi" w:cstheme="minorHAnsi"/>
        </w:rPr>
        <w:t xml:space="preserve">By </w:t>
      </w:r>
      <w:r w:rsidR="00080039" w:rsidRPr="006C0E2A">
        <w:rPr>
          <w:rFonts w:asciiTheme="minorHAnsi" w:hAnsiTheme="minorHAnsi" w:cstheme="minorHAnsi"/>
        </w:rPr>
        <w:t>January</w:t>
      </w:r>
      <w:r w:rsidRPr="006C0E2A">
        <w:rPr>
          <w:rFonts w:asciiTheme="minorHAnsi" w:hAnsiTheme="minorHAnsi" w:cstheme="minorHAnsi"/>
        </w:rPr>
        <w:t xml:space="preserve"> 202</w:t>
      </w:r>
      <w:r w:rsidR="00DA4014" w:rsidRPr="006C0E2A">
        <w:rPr>
          <w:rFonts w:asciiTheme="minorHAnsi" w:hAnsiTheme="minorHAnsi" w:cstheme="minorHAnsi"/>
        </w:rPr>
        <w:t>2</w:t>
      </w:r>
      <w:r w:rsidRPr="006C0E2A">
        <w:rPr>
          <w:rFonts w:asciiTheme="minorHAnsi" w:hAnsiTheme="minorHAnsi" w:cstheme="minorHAnsi"/>
        </w:rPr>
        <w:t>, PLA had budgeted to spend $</w:t>
      </w:r>
      <w:r w:rsidR="00F55B89" w:rsidRPr="006C0E2A">
        <w:rPr>
          <w:rFonts w:asciiTheme="minorHAnsi" w:hAnsiTheme="minorHAnsi" w:cstheme="minorHAnsi"/>
        </w:rPr>
        <w:t>1</w:t>
      </w:r>
      <w:r w:rsidR="00DA4014" w:rsidRPr="006C0E2A">
        <w:rPr>
          <w:rFonts w:asciiTheme="minorHAnsi" w:hAnsiTheme="minorHAnsi" w:cstheme="minorHAnsi"/>
        </w:rPr>
        <w:t>90,218</w:t>
      </w:r>
      <w:r w:rsidRPr="006C0E2A">
        <w:rPr>
          <w:rFonts w:asciiTheme="minorHAnsi" w:hAnsiTheme="minorHAnsi" w:cstheme="minorHAnsi"/>
        </w:rPr>
        <w:t xml:space="preserve"> on </w:t>
      </w:r>
      <w:r w:rsidR="00645FAF" w:rsidRPr="006C0E2A">
        <w:rPr>
          <w:rFonts w:asciiTheme="minorHAnsi" w:hAnsiTheme="minorHAnsi" w:cstheme="minorHAnsi"/>
        </w:rPr>
        <w:t>conference expenses,</w:t>
      </w:r>
      <w:r w:rsidR="00645FAF" w:rsidRPr="006446E6">
        <w:rPr>
          <w:rFonts w:asciiTheme="minorHAnsi" w:hAnsiTheme="minorHAnsi" w:cstheme="minorHAnsi"/>
        </w:rPr>
        <w:t xml:space="preserve"> including </w:t>
      </w:r>
      <w:r w:rsidRPr="006446E6">
        <w:rPr>
          <w:rFonts w:asciiTheme="minorHAnsi" w:hAnsiTheme="minorHAnsi" w:cstheme="minorHAnsi"/>
        </w:rPr>
        <w:t xml:space="preserve">conference promotion, site visits, </w:t>
      </w:r>
      <w:r w:rsidR="00F55B89" w:rsidRPr="006446E6">
        <w:rPr>
          <w:rFonts w:asciiTheme="minorHAnsi" w:hAnsiTheme="minorHAnsi" w:cstheme="minorHAnsi"/>
        </w:rPr>
        <w:t>vendor deposits and speaker fees</w:t>
      </w:r>
      <w:r w:rsidR="0021269D" w:rsidRPr="006446E6">
        <w:rPr>
          <w:rFonts w:asciiTheme="minorHAnsi" w:hAnsiTheme="minorHAnsi" w:cstheme="minorHAnsi"/>
        </w:rPr>
        <w:t xml:space="preserve">. </w:t>
      </w:r>
      <w:r w:rsidR="00645FAF" w:rsidRPr="006446E6">
        <w:rPr>
          <w:rFonts w:asciiTheme="minorHAnsi" w:hAnsiTheme="minorHAnsi" w:cstheme="minorHAnsi"/>
        </w:rPr>
        <w:t xml:space="preserve">Pandemic </w:t>
      </w:r>
      <w:r w:rsidR="004F31CD" w:rsidRPr="006446E6">
        <w:rPr>
          <w:rFonts w:asciiTheme="minorHAnsi" w:hAnsiTheme="minorHAnsi" w:cstheme="minorHAnsi"/>
        </w:rPr>
        <w:t xml:space="preserve">related delays (travel restrictions presenting site visits, </w:t>
      </w:r>
      <w:r w:rsidR="0021269D" w:rsidRPr="006446E6">
        <w:rPr>
          <w:rFonts w:asciiTheme="minorHAnsi" w:hAnsiTheme="minorHAnsi" w:cstheme="minorHAnsi"/>
        </w:rPr>
        <w:t>venue,</w:t>
      </w:r>
      <w:r w:rsidR="004F31CD" w:rsidRPr="006446E6">
        <w:rPr>
          <w:rFonts w:asciiTheme="minorHAnsi" w:hAnsiTheme="minorHAnsi" w:cstheme="minorHAnsi"/>
        </w:rPr>
        <w:t xml:space="preserve"> and speaker negotiations, </w:t>
      </w:r>
      <w:r w:rsidR="00DD5D25" w:rsidRPr="006446E6">
        <w:rPr>
          <w:rFonts w:asciiTheme="minorHAnsi" w:hAnsiTheme="minorHAnsi" w:cstheme="minorHAnsi"/>
        </w:rPr>
        <w:t>etc.</w:t>
      </w:r>
      <w:r w:rsidR="0021269D" w:rsidRPr="006446E6">
        <w:rPr>
          <w:rFonts w:asciiTheme="minorHAnsi" w:hAnsiTheme="minorHAnsi" w:cstheme="minorHAnsi"/>
        </w:rPr>
        <w:t>…</w:t>
      </w:r>
      <w:r w:rsidR="004F31CD" w:rsidRPr="006446E6">
        <w:rPr>
          <w:rFonts w:asciiTheme="minorHAnsi" w:hAnsiTheme="minorHAnsi" w:cstheme="minorHAnsi"/>
        </w:rPr>
        <w:t xml:space="preserve">) are the primary reason for </w:t>
      </w:r>
      <w:r w:rsidR="00947F8C">
        <w:rPr>
          <w:rFonts w:asciiTheme="minorHAnsi" w:hAnsiTheme="minorHAnsi" w:cstheme="minorHAnsi"/>
        </w:rPr>
        <w:t xml:space="preserve">the 30% </w:t>
      </w:r>
      <w:r w:rsidR="004F31CD" w:rsidRPr="006446E6">
        <w:rPr>
          <w:rFonts w:asciiTheme="minorHAnsi" w:hAnsiTheme="minorHAnsi" w:cstheme="minorHAnsi"/>
        </w:rPr>
        <w:t xml:space="preserve">lower than budgeted expenses of </w:t>
      </w:r>
      <w:r w:rsidRPr="006446E6">
        <w:rPr>
          <w:rFonts w:asciiTheme="minorHAnsi" w:hAnsiTheme="minorHAnsi" w:cstheme="minorHAnsi"/>
        </w:rPr>
        <w:t>only $</w:t>
      </w:r>
      <w:r w:rsidR="00947F8C">
        <w:rPr>
          <w:rFonts w:asciiTheme="minorHAnsi" w:hAnsiTheme="minorHAnsi" w:cstheme="minorHAnsi"/>
        </w:rPr>
        <w:t>134,305</w:t>
      </w:r>
      <w:r w:rsidR="004F31CD" w:rsidRPr="006446E6">
        <w:rPr>
          <w:rFonts w:asciiTheme="minorHAnsi" w:hAnsiTheme="minorHAnsi" w:cstheme="minorHAnsi"/>
        </w:rPr>
        <w:t>.</w:t>
      </w:r>
      <w:r w:rsidR="00E86636" w:rsidRPr="006446E6">
        <w:rPr>
          <w:rFonts w:asciiTheme="minorHAnsi" w:hAnsiTheme="minorHAnsi" w:cstheme="minorHAnsi"/>
        </w:rPr>
        <w:t xml:space="preserve"> </w:t>
      </w:r>
      <w:r w:rsidR="00F55B89" w:rsidRPr="006446E6">
        <w:rPr>
          <w:rFonts w:asciiTheme="minorHAnsi" w:hAnsiTheme="minorHAnsi" w:cstheme="minorHAnsi"/>
        </w:rPr>
        <w:t xml:space="preserve">Most conference expenses and revenues will be realized </w:t>
      </w:r>
      <w:r w:rsidR="00E86636" w:rsidRPr="006446E6">
        <w:rPr>
          <w:rFonts w:asciiTheme="minorHAnsi" w:hAnsiTheme="minorHAnsi" w:cstheme="minorHAnsi"/>
        </w:rPr>
        <w:t>by mid/late FY2</w:t>
      </w:r>
      <w:r w:rsidR="00D17F41" w:rsidRPr="006446E6">
        <w:rPr>
          <w:rFonts w:asciiTheme="minorHAnsi" w:hAnsiTheme="minorHAnsi" w:cstheme="minorHAnsi"/>
        </w:rPr>
        <w:t>2.</w:t>
      </w:r>
    </w:p>
    <w:p w14:paraId="5644DED8" w14:textId="3261BB95" w:rsidR="006446E6" w:rsidRDefault="006446E6" w:rsidP="006446E6">
      <w:pPr>
        <w:rPr>
          <w:rFonts w:asciiTheme="minorHAnsi" w:hAnsiTheme="minorHAnsi" w:cstheme="minorHAnsi"/>
          <w:u w:val="single"/>
        </w:rPr>
      </w:pPr>
    </w:p>
    <w:p w14:paraId="6A6623DC" w14:textId="6E517B0A" w:rsidR="006446E6" w:rsidRPr="00FA5025" w:rsidRDefault="006446E6" w:rsidP="006446E6">
      <w:pPr>
        <w:rPr>
          <w:rFonts w:asciiTheme="minorHAnsi" w:hAnsiTheme="minorHAnsi" w:cstheme="minorHAnsi"/>
          <w:strike/>
          <w:color w:val="FF0000"/>
          <w:u w:val="single"/>
        </w:rPr>
      </w:pPr>
      <w:r w:rsidRPr="006446E6">
        <w:rPr>
          <w:rFonts w:asciiTheme="minorHAnsi" w:hAnsiTheme="minorHAnsi" w:cstheme="minorHAnsi"/>
          <w:u w:val="single"/>
        </w:rPr>
        <w:t>Long Term Investments</w:t>
      </w:r>
      <w:r>
        <w:rPr>
          <w:rFonts w:asciiTheme="minorHAnsi" w:hAnsiTheme="minorHAnsi" w:cstheme="minorHAnsi"/>
          <w:u w:val="single"/>
        </w:rPr>
        <w:t>:</w:t>
      </w:r>
      <w:r w:rsidR="00D30FB3">
        <w:rPr>
          <w:rFonts w:asciiTheme="minorHAnsi" w:hAnsiTheme="minorHAnsi" w:cstheme="minorHAnsi"/>
        </w:rPr>
        <w:t xml:space="preserve"> </w:t>
      </w:r>
      <w:r w:rsidRPr="006446E6">
        <w:rPr>
          <w:rFonts w:asciiTheme="minorHAnsi" w:hAnsiTheme="minorHAnsi" w:cstheme="minorHAnsi"/>
        </w:rPr>
        <w:t>Beginning Long Term Investment</w:t>
      </w:r>
      <w:r>
        <w:rPr>
          <w:rFonts w:asciiTheme="minorHAnsi" w:hAnsiTheme="minorHAnsi" w:cstheme="minorHAnsi"/>
        </w:rPr>
        <w:t xml:space="preserve"> (LTI)</w:t>
      </w:r>
      <w:r w:rsidRPr="006446E6">
        <w:rPr>
          <w:rFonts w:asciiTheme="minorHAnsi" w:hAnsiTheme="minorHAnsi" w:cstheme="minorHAnsi"/>
        </w:rPr>
        <w:t xml:space="preserve"> Net Assets appear as $2,142,877 in FY22 close, but as $1,761,881 in the FY22Q1 Performance Reports</w:t>
      </w:r>
      <w:r w:rsidR="00D30FB3">
        <w:rPr>
          <w:rFonts w:asciiTheme="minorHAnsi" w:hAnsiTheme="minorHAnsi" w:cstheme="minorHAnsi"/>
        </w:rPr>
        <w:t>, and the January 2022 financials</w:t>
      </w:r>
      <w:r w:rsidRPr="006446E6">
        <w:rPr>
          <w:rFonts w:asciiTheme="minorHAnsi" w:hAnsiTheme="minorHAnsi" w:cstheme="minorHAnsi"/>
        </w:rPr>
        <w:t>. Per K. Brown, ALA Senior Financial Analyst, this figure will correct to the $2,142,877</w:t>
      </w:r>
      <w:r w:rsidR="00D30FB3">
        <w:rPr>
          <w:rFonts w:asciiTheme="minorHAnsi" w:hAnsiTheme="minorHAnsi" w:cstheme="minorHAnsi"/>
        </w:rPr>
        <w:t xml:space="preserve"> beginning balance by the FY22 Q3 report. </w:t>
      </w:r>
    </w:p>
    <w:p w14:paraId="0312D65C" w14:textId="07D9467F" w:rsidR="00415C44" w:rsidRPr="006446E6" w:rsidRDefault="00415C44" w:rsidP="007F0F3D">
      <w:pPr>
        <w:ind w:left="360"/>
        <w:rPr>
          <w:rFonts w:asciiTheme="minorHAnsi" w:hAnsiTheme="minorHAnsi" w:cstheme="minorHAnsi"/>
          <w:u w:val="single"/>
        </w:rPr>
      </w:pPr>
    </w:p>
    <w:p w14:paraId="5585770F" w14:textId="4097C737" w:rsidR="00874050" w:rsidRPr="006446E6" w:rsidRDefault="00761259" w:rsidP="00D166BC">
      <w:pPr>
        <w:rPr>
          <w:rFonts w:asciiTheme="minorHAnsi" w:hAnsiTheme="minorHAnsi" w:cstheme="minorHAnsi"/>
        </w:rPr>
      </w:pPr>
      <w:r w:rsidRPr="006446E6">
        <w:rPr>
          <w:rFonts w:asciiTheme="minorHAnsi" w:hAnsiTheme="minorHAnsi" w:cstheme="minorHAnsi"/>
          <w:u w:val="single"/>
        </w:rPr>
        <w:t>Grant Budgets</w:t>
      </w:r>
      <w:r w:rsidR="00FC72B4" w:rsidRPr="006446E6">
        <w:rPr>
          <w:rFonts w:asciiTheme="minorHAnsi" w:hAnsiTheme="minorHAnsi" w:cstheme="minorHAnsi"/>
          <w:u w:val="single"/>
        </w:rPr>
        <w:t>:</w:t>
      </w:r>
      <w:r w:rsidR="00FC72B4" w:rsidRPr="006446E6">
        <w:rPr>
          <w:rFonts w:asciiTheme="minorHAnsi" w:hAnsiTheme="minorHAnsi" w:cstheme="minorHAnsi"/>
        </w:rPr>
        <w:t xml:space="preserve"> </w:t>
      </w:r>
    </w:p>
    <w:p w14:paraId="473C2BC6" w14:textId="56286F3B" w:rsidR="00874050" w:rsidRPr="006446E6" w:rsidRDefault="00874050" w:rsidP="00D166BC">
      <w:pPr>
        <w:rPr>
          <w:rFonts w:asciiTheme="minorHAnsi" w:hAnsiTheme="minorHAnsi" w:cstheme="minorHAnsi"/>
        </w:rPr>
      </w:pPr>
    </w:p>
    <w:tbl>
      <w:tblPr>
        <w:tblW w:w="911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890"/>
        <w:gridCol w:w="1828"/>
        <w:gridCol w:w="1710"/>
      </w:tblGrid>
      <w:tr w:rsidR="00C26C5A" w:rsidRPr="006446E6" w14:paraId="6D756475" w14:textId="77777777" w:rsidTr="0057269F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5B64D6E9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  <w:i/>
                <w:iCs/>
              </w:rPr>
            </w:pPr>
            <w:r w:rsidRPr="006446E6">
              <w:rPr>
                <w:rFonts w:asciiTheme="minorHAnsi" w:hAnsiTheme="minorHAnsi" w:cstheme="minorHAnsi"/>
                <w:b/>
              </w:rPr>
              <w:t>GRANT FUNDS (47&amp;48)</w:t>
            </w:r>
          </w:p>
          <w:p w14:paraId="4695893A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71BE5514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01EDAB15" w14:textId="1CD823CD" w:rsidR="004B2855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FY</w:t>
            </w:r>
            <w:r w:rsidR="00031C2A">
              <w:rPr>
                <w:rFonts w:asciiTheme="minorHAnsi" w:hAnsiTheme="minorHAnsi" w:cstheme="minorHAnsi"/>
                <w:b/>
              </w:rPr>
              <w:t>22 Jan</w:t>
            </w:r>
            <w:r w:rsidR="00946C72">
              <w:rPr>
                <w:rFonts w:asciiTheme="minorHAnsi" w:hAnsiTheme="minorHAnsi" w:cstheme="minorHAnsi"/>
                <w:b/>
              </w:rPr>
              <w:t>uary</w:t>
            </w:r>
            <w:r w:rsidR="004B2855" w:rsidRPr="006446E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DD2C665" w14:textId="6A34AD6A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 xml:space="preserve"> Budget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69F25103" w14:textId="77485185" w:rsidR="00C26C5A" w:rsidRPr="006446E6" w:rsidRDefault="00C26C5A" w:rsidP="004B285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FY</w:t>
            </w:r>
            <w:r w:rsidR="004B2855" w:rsidRPr="006446E6">
              <w:rPr>
                <w:rFonts w:asciiTheme="minorHAnsi" w:hAnsiTheme="minorHAnsi" w:cstheme="minorHAnsi"/>
                <w:b/>
              </w:rPr>
              <w:t>22</w:t>
            </w:r>
            <w:r w:rsidR="00031C2A">
              <w:rPr>
                <w:rFonts w:asciiTheme="minorHAnsi" w:hAnsiTheme="minorHAnsi" w:cstheme="minorHAnsi"/>
                <w:b/>
              </w:rPr>
              <w:t xml:space="preserve"> January</w:t>
            </w:r>
            <w:r w:rsidR="004B2855" w:rsidRPr="006446E6">
              <w:rPr>
                <w:rFonts w:asciiTheme="minorHAnsi" w:hAnsiTheme="minorHAnsi" w:cstheme="minorHAnsi"/>
                <w:b/>
              </w:rPr>
              <w:t xml:space="preserve"> </w:t>
            </w:r>
            <w:r w:rsidRPr="006446E6">
              <w:rPr>
                <w:rFonts w:asciiTheme="minorHAnsi" w:hAnsiTheme="minorHAnsi" w:cstheme="minorHAnsi"/>
                <w:b/>
              </w:rPr>
              <w:t>YTD Actual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01AC146" w14:textId="7A541463" w:rsidR="00C26C5A" w:rsidRPr="006446E6" w:rsidRDefault="00C26C5A" w:rsidP="004B285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FY</w:t>
            </w:r>
            <w:r w:rsidR="004B2855" w:rsidRPr="006446E6">
              <w:rPr>
                <w:rFonts w:asciiTheme="minorHAnsi" w:hAnsiTheme="minorHAnsi" w:cstheme="minorHAnsi"/>
                <w:b/>
              </w:rPr>
              <w:t xml:space="preserve">22 </w:t>
            </w:r>
            <w:r w:rsidR="00946C72">
              <w:rPr>
                <w:rFonts w:asciiTheme="minorHAnsi" w:hAnsiTheme="minorHAnsi" w:cstheme="minorHAnsi"/>
                <w:b/>
              </w:rPr>
              <w:t>January</w:t>
            </w:r>
            <w:r w:rsidRPr="006446E6">
              <w:rPr>
                <w:rFonts w:asciiTheme="minorHAnsi" w:hAnsiTheme="minorHAnsi" w:cstheme="minorHAnsi"/>
                <w:b/>
              </w:rPr>
              <w:t xml:space="preserve"> </w:t>
            </w:r>
            <w:r w:rsidR="004B2855" w:rsidRPr="006446E6">
              <w:rPr>
                <w:rFonts w:asciiTheme="minorHAnsi" w:hAnsiTheme="minorHAnsi" w:cstheme="minorHAnsi"/>
                <w:b/>
              </w:rPr>
              <w:t>V</w:t>
            </w:r>
            <w:r w:rsidRPr="006446E6">
              <w:rPr>
                <w:rFonts w:asciiTheme="minorHAnsi" w:hAnsiTheme="minorHAnsi" w:cstheme="minorHAnsi"/>
                <w:b/>
              </w:rPr>
              <w:t>ariance</w:t>
            </w:r>
          </w:p>
        </w:tc>
      </w:tr>
      <w:tr w:rsidR="00C26C5A" w:rsidRPr="006446E6" w14:paraId="57646FD4" w14:textId="77777777" w:rsidTr="0057269F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4B9BC807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Total Revenues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558132" w14:textId="0B024EA8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  <w:r w:rsidRPr="006446E6">
              <w:rPr>
                <w:rFonts w:asciiTheme="minorHAnsi" w:hAnsiTheme="minorHAnsi" w:cstheme="minorHAnsi"/>
              </w:rPr>
              <w:t>$</w:t>
            </w:r>
            <w:r w:rsidR="00946C72">
              <w:rPr>
                <w:rFonts w:asciiTheme="minorHAnsi" w:hAnsiTheme="minorHAnsi" w:cstheme="minorHAnsi"/>
              </w:rPr>
              <w:t>623</w:t>
            </w:r>
            <w:r w:rsidR="00D17F41" w:rsidRPr="006446E6">
              <w:rPr>
                <w:rFonts w:asciiTheme="minorHAnsi" w:hAnsiTheme="minorHAnsi" w:cstheme="minorHAnsi"/>
              </w:rPr>
              <w:t>,</w:t>
            </w:r>
            <w:r w:rsidR="00946C72">
              <w:rPr>
                <w:rFonts w:asciiTheme="minorHAnsi" w:hAnsiTheme="minorHAnsi" w:cstheme="minorHAnsi"/>
              </w:rPr>
              <w:t>081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54A2E0A" w14:textId="73B7ADB3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  <w:r w:rsidRPr="006446E6">
              <w:rPr>
                <w:rFonts w:asciiTheme="minorHAnsi" w:hAnsiTheme="minorHAnsi" w:cstheme="minorHAnsi"/>
              </w:rPr>
              <w:t>$</w:t>
            </w:r>
            <w:r w:rsidR="00946C72">
              <w:rPr>
                <w:rFonts w:asciiTheme="minorHAnsi" w:hAnsiTheme="minorHAnsi" w:cstheme="minorHAnsi"/>
              </w:rPr>
              <w:t>517,264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D4E510" w14:textId="7569F017" w:rsidR="00C26C5A" w:rsidRPr="0090341E" w:rsidRDefault="007D09D5" w:rsidP="007D09D5">
            <w:pPr>
              <w:jc w:val="right"/>
              <w:rPr>
                <w:rFonts w:asciiTheme="minorHAnsi" w:hAnsiTheme="minorHAnsi" w:cstheme="minorHAnsi"/>
              </w:rPr>
            </w:pPr>
            <w:r w:rsidRPr="0090341E">
              <w:rPr>
                <w:rFonts w:asciiTheme="minorHAnsi" w:hAnsiTheme="minorHAnsi" w:cstheme="minorHAnsi"/>
              </w:rPr>
              <w:t>(</w:t>
            </w:r>
            <w:r w:rsidR="00C26C5A" w:rsidRPr="0090341E">
              <w:rPr>
                <w:rFonts w:asciiTheme="minorHAnsi" w:hAnsiTheme="minorHAnsi" w:cstheme="minorHAnsi"/>
              </w:rPr>
              <w:t>$</w:t>
            </w:r>
            <w:r w:rsidR="00946C72">
              <w:rPr>
                <w:rFonts w:asciiTheme="minorHAnsi" w:hAnsiTheme="minorHAnsi" w:cstheme="minorHAnsi"/>
              </w:rPr>
              <w:t>105,817</w:t>
            </w:r>
            <w:r w:rsidRPr="0090341E">
              <w:rPr>
                <w:rFonts w:asciiTheme="minorHAnsi" w:hAnsiTheme="minorHAnsi" w:cstheme="minorHAnsi"/>
              </w:rPr>
              <w:t>)</w:t>
            </w:r>
          </w:p>
        </w:tc>
      </w:tr>
      <w:tr w:rsidR="00C26C5A" w:rsidRPr="00FF3A65" w14:paraId="643003A3" w14:textId="77777777" w:rsidTr="0057269F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4322E9C3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Total Expenses before OH and tax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6EBE33" w14:textId="5532066C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  <w:r w:rsidRPr="006446E6">
              <w:rPr>
                <w:rFonts w:asciiTheme="minorHAnsi" w:hAnsiTheme="minorHAnsi" w:cstheme="minorHAnsi"/>
              </w:rPr>
              <w:t>($</w:t>
            </w:r>
            <w:r w:rsidR="00946C72">
              <w:rPr>
                <w:rFonts w:asciiTheme="minorHAnsi" w:hAnsiTheme="minorHAnsi" w:cstheme="minorHAnsi"/>
              </w:rPr>
              <w:t>546,858</w:t>
            </w:r>
            <w:r w:rsidRPr="006446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C8374A3" w14:textId="6F7055B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  <w:r w:rsidRPr="006446E6">
              <w:rPr>
                <w:rFonts w:asciiTheme="minorHAnsi" w:hAnsiTheme="minorHAnsi" w:cstheme="minorHAnsi"/>
              </w:rPr>
              <w:t>($</w:t>
            </w:r>
            <w:r w:rsidR="00946C72">
              <w:rPr>
                <w:rFonts w:asciiTheme="minorHAnsi" w:hAnsiTheme="minorHAnsi" w:cstheme="minorHAnsi"/>
              </w:rPr>
              <w:t>479,927</w:t>
            </w:r>
            <w:r w:rsidRPr="006446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A1E36FB" w14:textId="2A853ADB" w:rsidR="00C26C5A" w:rsidRPr="0090341E" w:rsidRDefault="00FF3A65" w:rsidP="007D09D5">
            <w:pPr>
              <w:jc w:val="right"/>
              <w:rPr>
                <w:rFonts w:asciiTheme="minorHAnsi" w:hAnsiTheme="minorHAnsi" w:cstheme="minorHAnsi"/>
              </w:rPr>
            </w:pPr>
            <w:r w:rsidRPr="0090341E">
              <w:rPr>
                <w:rFonts w:asciiTheme="minorHAnsi" w:hAnsiTheme="minorHAnsi" w:cstheme="minorHAnsi"/>
              </w:rPr>
              <w:t xml:space="preserve"> </w:t>
            </w:r>
            <w:r w:rsidR="00D17F41" w:rsidRPr="0090341E">
              <w:rPr>
                <w:rFonts w:asciiTheme="minorHAnsi" w:hAnsiTheme="minorHAnsi" w:cstheme="minorHAnsi"/>
              </w:rPr>
              <w:t>$</w:t>
            </w:r>
            <w:r w:rsidR="00946C72">
              <w:rPr>
                <w:rFonts w:asciiTheme="minorHAnsi" w:hAnsiTheme="minorHAnsi" w:cstheme="minorHAnsi"/>
              </w:rPr>
              <w:t>66,931</w:t>
            </w:r>
          </w:p>
        </w:tc>
      </w:tr>
      <w:tr w:rsidR="00C26C5A" w:rsidRPr="006446E6" w14:paraId="20B73158" w14:textId="77777777" w:rsidTr="0057269F">
        <w:trPr>
          <w:trHeight w:val="287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210876DB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 xml:space="preserve">Overhead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C485F3" w14:textId="251E190C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  <w:r w:rsidRPr="006446E6">
              <w:rPr>
                <w:rFonts w:asciiTheme="minorHAnsi" w:hAnsiTheme="minorHAnsi" w:cstheme="minorHAnsi"/>
              </w:rPr>
              <w:t>(</w:t>
            </w:r>
            <w:r w:rsidR="00D17F41" w:rsidRPr="006446E6">
              <w:rPr>
                <w:rFonts w:asciiTheme="minorHAnsi" w:hAnsiTheme="minorHAnsi" w:cstheme="minorHAnsi"/>
              </w:rPr>
              <w:t>$</w:t>
            </w:r>
            <w:r w:rsidR="00946C72">
              <w:rPr>
                <w:rFonts w:asciiTheme="minorHAnsi" w:hAnsiTheme="minorHAnsi" w:cstheme="minorHAnsi"/>
              </w:rPr>
              <w:t>65,067</w:t>
            </w:r>
            <w:r w:rsidRPr="006446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A53A5AC" w14:textId="63669D14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  <w:r w:rsidRPr="006446E6">
              <w:rPr>
                <w:rFonts w:asciiTheme="minorHAnsi" w:hAnsiTheme="minorHAnsi" w:cstheme="minorHAnsi"/>
              </w:rPr>
              <w:t>($</w:t>
            </w:r>
            <w:r w:rsidR="00946C72">
              <w:rPr>
                <w:rFonts w:asciiTheme="minorHAnsi" w:hAnsiTheme="minorHAnsi" w:cstheme="minorHAnsi"/>
              </w:rPr>
              <w:t>37,337</w:t>
            </w:r>
            <w:r w:rsidRPr="006446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607B4FC" w14:textId="40736B47" w:rsidR="00C26C5A" w:rsidRPr="0090341E" w:rsidRDefault="00C26C5A" w:rsidP="007D09D5">
            <w:pPr>
              <w:jc w:val="right"/>
              <w:rPr>
                <w:rFonts w:asciiTheme="minorHAnsi" w:hAnsiTheme="minorHAnsi" w:cstheme="minorHAnsi"/>
              </w:rPr>
            </w:pPr>
            <w:r w:rsidRPr="0090341E">
              <w:rPr>
                <w:rFonts w:asciiTheme="minorHAnsi" w:hAnsiTheme="minorHAnsi" w:cstheme="minorHAnsi"/>
              </w:rPr>
              <w:t>$</w:t>
            </w:r>
            <w:r w:rsidR="00946C72">
              <w:rPr>
                <w:rFonts w:asciiTheme="minorHAnsi" w:hAnsiTheme="minorHAnsi" w:cstheme="minorHAnsi"/>
              </w:rPr>
              <w:t>27,730</w:t>
            </w:r>
          </w:p>
        </w:tc>
      </w:tr>
      <w:tr w:rsidR="00C26C5A" w:rsidRPr="006446E6" w14:paraId="265F0D26" w14:textId="77777777" w:rsidTr="0057269F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2EECB1F2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735480" w14:textId="77777777" w:rsidR="00C26C5A" w:rsidRPr="006446E6" w:rsidRDefault="00C26C5A" w:rsidP="00572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87D8631" w14:textId="77777777" w:rsidR="00C26C5A" w:rsidRPr="006446E6" w:rsidRDefault="00C26C5A" w:rsidP="00572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29201E2" w14:textId="77777777" w:rsidR="00C26C5A" w:rsidRPr="0090341E" w:rsidRDefault="00C26C5A" w:rsidP="007D09D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26C5A" w:rsidRPr="006446E6" w14:paraId="3A0625D9" w14:textId="77777777" w:rsidTr="0057269F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278840AD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125E678" w14:textId="77777777" w:rsidR="00C26C5A" w:rsidRPr="006446E6" w:rsidRDefault="00C26C5A" w:rsidP="0057269F">
            <w:pPr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YTD Budget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6075739" w14:textId="77777777" w:rsidR="00C26C5A" w:rsidRPr="006446E6" w:rsidRDefault="00C26C5A" w:rsidP="0057269F">
            <w:pPr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YTD Actual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2A9E014" w14:textId="77777777" w:rsidR="00C26C5A" w:rsidRPr="0090341E" w:rsidRDefault="00C26C5A" w:rsidP="007D09D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0341E">
              <w:rPr>
                <w:rFonts w:asciiTheme="minorHAnsi" w:hAnsiTheme="minorHAnsi" w:cstheme="minorHAnsi"/>
                <w:b/>
              </w:rPr>
              <w:t>Variance</w:t>
            </w:r>
          </w:p>
        </w:tc>
      </w:tr>
      <w:tr w:rsidR="00C26C5A" w:rsidRPr="006446E6" w14:paraId="23BF7C0C" w14:textId="77777777" w:rsidTr="0057269F">
        <w:trPr>
          <w:trHeight w:val="255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14:paraId="18E6D3B8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446E6">
              <w:rPr>
                <w:rFonts w:asciiTheme="minorHAnsi" w:hAnsiTheme="minorHAnsi" w:cstheme="minorHAnsi"/>
                <w:b/>
              </w:rPr>
              <w:t>Net Revenue (Expense)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55042C" w14:textId="40B32AC3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  <w:r w:rsidRPr="006446E6">
              <w:rPr>
                <w:rFonts w:asciiTheme="minorHAnsi" w:hAnsiTheme="minorHAnsi" w:cstheme="minorHAnsi"/>
              </w:rPr>
              <w:t>$</w:t>
            </w:r>
            <w:r w:rsidR="00946C72">
              <w:rPr>
                <w:rFonts w:asciiTheme="minorHAnsi" w:hAnsiTheme="minorHAnsi" w:cstheme="minorHAnsi"/>
              </w:rPr>
              <w:t>11,156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A8DED04" w14:textId="77777777" w:rsidR="00C26C5A" w:rsidRPr="006446E6" w:rsidRDefault="00C26C5A" w:rsidP="0057269F">
            <w:pPr>
              <w:jc w:val="right"/>
              <w:rPr>
                <w:rFonts w:asciiTheme="minorHAnsi" w:hAnsiTheme="minorHAnsi" w:cstheme="minorHAnsi"/>
              </w:rPr>
            </w:pPr>
            <w:r w:rsidRPr="006446E6">
              <w:rPr>
                <w:rFonts w:asciiTheme="minorHAnsi" w:hAnsiTheme="minorHAnsi" w:cstheme="minorHAnsi"/>
              </w:rPr>
              <w:t>($0)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4E9" w14:textId="2B4A19F6" w:rsidR="00C26C5A" w:rsidRPr="006446E6" w:rsidRDefault="0090341E" w:rsidP="007D09D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C26C5A" w:rsidRPr="006446E6">
              <w:rPr>
                <w:rFonts w:asciiTheme="minorHAnsi" w:hAnsiTheme="minorHAnsi" w:cstheme="minorHAnsi"/>
              </w:rPr>
              <w:t>$</w:t>
            </w:r>
            <w:r w:rsidR="00946C72">
              <w:rPr>
                <w:rFonts w:asciiTheme="minorHAnsi" w:hAnsiTheme="minorHAnsi" w:cstheme="minorHAnsi"/>
              </w:rPr>
              <w:t>11,156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14:paraId="68401EF2" w14:textId="7E49CDCF" w:rsidR="00C26C5A" w:rsidRPr="006446E6" w:rsidRDefault="00C26C5A" w:rsidP="00D166BC">
      <w:pPr>
        <w:rPr>
          <w:rFonts w:asciiTheme="minorHAnsi" w:hAnsiTheme="minorHAnsi" w:cstheme="minorHAnsi"/>
        </w:rPr>
      </w:pPr>
    </w:p>
    <w:p w14:paraId="39110988" w14:textId="42200F7A" w:rsidR="004E0C78" w:rsidRPr="00FF3A65" w:rsidRDefault="00874050" w:rsidP="00D166BC">
      <w:pPr>
        <w:rPr>
          <w:rFonts w:asciiTheme="minorHAnsi" w:hAnsiTheme="minorHAnsi" w:cstheme="minorHAnsi"/>
          <w:color w:val="FF0000"/>
        </w:rPr>
      </w:pPr>
      <w:r w:rsidRPr="006446E6">
        <w:rPr>
          <w:rFonts w:asciiTheme="minorHAnsi" w:hAnsiTheme="minorHAnsi" w:cstheme="minorHAnsi"/>
        </w:rPr>
        <w:t xml:space="preserve">As of </w:t>
      </w:r>
      <w:r w:rsidR="00080039">
        <w:rPr>
          <w:rFonts w:asciiTheme="minorHAnsi" w:hAnsiTheme="minorHAnsi" w:cstheme="minorHAnsi"/>
        </w:rPr>
        <w:t>January</w:t>
      </w:r>
      <w:r w:rsidRPr="006446E6">
        <w:rPr>
          <w:rFonts w:asciiTheme="minorHAnsi" w:hAnsiTheme="minorHAnsi" w:cstheme="minorHAnsi"/>
        </w:rPr>
        <w:t xml:space="preserve"> 202</w:t>
      </w:r>
      <w:r w:rsidR="00946C72">
        <w:rPr>
          <w:rFonts w:asciiTheme="minorHAnsi" w:hAnsiTheme="minorHAnsi" w:cstheme="minorHAnsi"/>
        </w:rPr>
        <w:t>2</w:t>
      </w:r>
      <w:r w:rsidRPr="006446E6">
        <w:rPr>
          <w:rFonts w:asciiTheme="minorHAnsi" w:hAnsiTheme="minorHAnsi" w:cstheme="minorHAnsi"/>
        </w:rPr>
        <w:t>, PLA had spent $</w:t>
      </w:r>
      <w:r w:rsidR="00946C72">
        <w:rPr>
          <w:rFonts w:asciiTheme="minorHAnsi" w:hAnsiTheme="minorHAnsi" w:cstheme="minorHAnsi"/>
        </w:rPr>
        <w:t>479,927</w:t>
      </w:r>
      <w:r w:rsidRPr="006446E6">
        <w:rPr>
          <w:rFonts w:asciiTheme="minorHAnsi" w:hAnsiTheme="minorHAnsi" w:cstheme="minorHAnsi"/>
        </w:rPr>
        <w:t xml:space="preserve"> in grant funds compared to a budgeted amount of $</w:t>
      </w:r>
      <w:r w:rsidR="00946C72">
        <w:rPr>
          <w:rFonts w:asciiTheme="minorHAnsi" w:hAnsiTheme="minorHAnsi" w:cstheme="minorHAnsi"/>
        </w:rPr>
        <w:t>546,858</w:t>
      </w:r>
      <w:r w:rsidR="004B4538">
        <w:rPr>
          <w:rFonts w:asciiTheme="minorHAnsi" w:hAnsiTheme="minorHAnsi" w:cstheme="minorHAnsi"/>
        </w:rPr>
        <w:t>,</w:t>
      </w:r>
      <w:r w:rsidR="009938F1" w:rsidRPr="006446E6">
        <w:rPr>
          <w:rFonts w:asciiTheme="minorHAnsi" w:hAnsiTheme="minorHAnsi" w:cstheme="minorHAnsi"/>
        </w:rPr>
        <w:t xml:space="preserve"> running 1</w:t>
      </w:r>
      <w:r w:rsidR="004B4538">
        <w:rPr>
          <w:rFonts w:asciiTheme="minorHAnsi" w:hAnsiTheme="minorHAnsi" w:cstheme="minorHAnsi"/>
        </w:rPr>
        <w:t>3</w:t>
      </w:r>
      <w:r w:rsidR="009938F1" w:rsidRPr="006446E6">
        <w:rPr>
          <w:rFonts w:asciiTheme="minorHAnsi" w:hAnsiTheme="minorHAnsi" w:cstheme="minorHAnsi"/>
        </w:rPr>
        <w:t>% under budget</w:t>
      </w:r>
      <w:r w:rsidRPr="006446E6">
        <w:rPr>
          <w:rFonts w:asciiTheme="minorHAnsi" w:hAnsiTheme="minorHAnsi" w:cstheme="minorHAnsi"/>
        </w:rPr>
        <w:t xml:space="preserve"> for a difference of $</w:t>
      </w:r>
      <w:r w:rsidR="009938F1" w:rsidRPr="006446E6">
        <w:rPr>
          <w:rFonts w:asciiTheme="minorHAnsi" w:hAnsiTheme="minorHAnsi" w:cstheme="minorHAnsi"/>
        </w:rPr>
        <w:t>6</w:t>
      </w:r>
      <w:r w:rsidR="004B4538">
        <w:rPr>
          <w:rFonts w:asciiTheme="minorHAnsi" w:hAnsiTheme="minorHAnsi" w:cstheme="minorHAnsi"/>
        </w:rPr>
        <w:t>6,</w:t>
      </w:r>
      <w:r w:rsidR="009000F4">
        <w:rPr>
          <w:rFonts w:asciiTheme="minorHAnsi" w:hAnsiTheme="minorHAnsi" w:cstheme="minorHAnsi"/>
        </w:rPr>
        <w:t>931</w:t>
      </w:r>
      <w:r w:rsidRPr="006446E6">
        <w:rPr>
          <w:rFonts w:asciiTheme="minorHAnsi" w:hAnsiTheme="minorHAnsi" w:cstheme="minorHAnsi"/>
        </w:rPr>
        <w:t xml:space="preserve">. </w:t>
      </w:r>
      <w:r w:rsidR="009938F1" w:rsidRPr="006446E6">
        <w:rPr>
          <w:rFonts w:asciiTheme="minorHAnsi" w:hAnsiTheme="minorHAnsi" w:cstheme="minorHAnsi"/>
        </w:rPr>
        <w:t xml:space="preserve">This variance is due to </w:t>
      </w:r>
      <w:r w:rsidR="00C125F2" w:rsidRPr="006446E6">
        <w:rPr>
          <w:rFonts w:asciiTheme="minorHAnsi" w:hAnsiTheme="minorHAnsi" w:cstheme="minorHAnsi"/>
        </w:rPr>
        <w:t xml:space="preserve">timing of payments within the AT&amp;T grant budget. </w:t>
      </w:r>
      <w:r w:rsidRPr="006446E6">
        <w:rPr>
          <w:rFonts w:asciiTheme="minorHAnsi" w:hAnsiTheme="minorHAnsi" w:cstheme="minorHAnsi"/>
        </w:rPr>
        <w:t xml:space="preserve">Spending in the grant projects </w:t>
      </w:r>
      <w:r w:rsidRPr="006446E6">
        <w:rPr>
          <w:rFonts w:asciiTheme="minorHAnsi" w:hAnsiTheme="minorHAnsi" w:cstheme="minorHAnsi"/>
          <w:i/>
          <w:iCs/>
        </w:rPr>
        <w:t>which were included in the FY2</w:t>
      </w:r>
      <w:r w:rsidR="009000F4">
        <w:rPr>
          <w:rFonts w:asciiTheme="minorHAnsi" w:hAnsiTheme="minorHAnsi" w:cstheme="minorHAnsi"/>
          <w:i/>
          <w:iCs/>
        </w:rPr>
        <w:t>2</w:t>
      </w:r>
      <w:r w:rsidRPr="006446E6">
        <w:rPr>
          <w:rFonts w:asciiTheme="minorHAnsi" w:hAnsiTheme="minorHAnsi" w:cstheme="minorHAnsi"/>
          <w:i/>
          <w:iCs/>
        </w:rPr>
        <w:t xml:space="preserve"> budget</w:t>
      </w:r>
      <w:r w:rsidRPr="006446E6">
        <w:rPr>
          <w:rFonts w:asciiTheme="minorHAnsi" w:hAnsiTheme="minorHAnsi" w:cstheme="minorHAnsi"/>
        </w:rPr>
        <w:t xml:space="preserve"> (Gates funds) is </w:t>
      </w:r>
      <w:r w:rsidR="009938F1" w:rsidRPr="006446E6">
        <w:rPr>
          <w:rFonts w:asciiTheme="minorHAnsi" w:hAnsiTheme="minorHAnsi" w:cstheme="minorHAnsi"/>
        </w:rPr>
        <w:t>on budget</w:t>
      </w:r>
      <w:r w:rsidRPr="006446E6">
        <w:rPr>
          <w:rFonts w:asciiTheme="minorHAnsi" w:hAnsiTheme="minorHAnsi" w:cstheme="minorHAnsi"/>
        </w:rPr>
        <w:t>: a total of $</w:t>
      </w:r>
      <w:r w:rsidR="00D30FB3">
        <w:rPr>
          <w:rFonts w:asciiTheme="minorHAnsi" w:hAnsiTheme="minorHAnsi" w:cstheme="minorHAnsi"/>
        </w:rPr>
        <w:t>339,522</w:t>
      </w:r>
      <w:r w:rsidRPr="006446E6">
        <w:rPr>
          <w:rFonts w:asciiTheme="minorHAnsi" w:hAnsiTheme="minorHAnsi" w:cstheme="minorHAnsi"/>
        </w:rPr>
        <w:t xml:space="preserve"> been spent against a budget </w:t>
      </w:r>
      <w:r w:rsidRPr="006446E6">
        <w:rPr>
          <w:rFonts w:asciiTheme="minorHAnsi" w:hAnsiTheme="minorHAnsi" w:cstheme="minorHAnsi"/>
        </w:rPr>
        <w:lastRenderedPageBreak/>
        <w:t>of $</w:t>
      </w:r>
      <w:r w:rsidR="00D30FB3">
        <w:rPr>
          <w:rFonts w:asciiTheme="minorHAnsi" w:hAnsiTheme="minorHAnsi" w:cstheme="minorHAnsi"/>
        </w:rPr>
        <w:t>341,775</w:t>
      </w:r>
      <w:r w:rsidRPr="006446E6">
        <w:rPr>
          <w:rFonts w:asciiTheme="minorHAnsi" w:hAnsiTheme="minorHAnsi" w:cstheme="minorHAnsi"/>
        </w:rPr>
        <w:t>. These funds mostly support about half of PLA’s staff salary and benefits</w:t>
      </w:r>
      <w:r w:rsidR="004C5FC3" w:rsidRPr="006446E6">
        <w:rPr>
          <w:rFonts w:asciiTheme="minorHAnsi" w:hAnsiTheme="minorHAnsi" w:cstheme="minorHAnsi"/>
        </w:rPr>
        <w:t xml:space="preserve"> but also include continued support of Project Outcome and </w:t>
      </w:r>
      <w:r w:rsidR="00933122" w:rsidRPr="006446E6">
        <w:rPr>
          <w:rFonts w:asciiTheme="minorHAnsi" w:hAnsiTheme="minorHAnsi" w:cstheme="minorHAnsi"/>
        </w:rPr>
        <w:t>the Benchmark data platform that has replaced PLDS</w:t>
      </w:r>
      <w:r w:rsidR="004A5B7F" w:rsidRPr="006446E6">
        <w:rPr>
          <w:rFonts w:asciiTheme="minorHAnsi" w:hAnsiTheme="minorHAnsi" w:cstheme="minorHAnsi"/>
        </w:rPr>
        <w:t>. The $</w:t>
      </w:r>
      <w:r w:rsidR="00D30FB3">
        <w:rPr>
          <w:rFonts w:asciiTheme="minorHAnsi" w:hAnsiTheme="minorHAnsi" w:cstheme="minorHAnsi"/>
        </w:rPr>
        <w:t>11,156</w:t>
      </w:r>
      <w:r w:rsidR="004A5B7F" w:rsidRPr="006446E6">
        <w:rPr>
          <w:rFonts w:asciiTheme="minorHAnsi" w:hAnsiTheme="minorHAnsi" w:cstheme="minorHAnsi"/>
        </w:rPr>
        <w:t xml:space="preserve"> net revenue shown is due to timing for allocation of overhead. </w:t>
      </w:r>
    </w:p>
    <w:sectPr w:rsidR="004E0C78" w:rsidRPr="00FF3A65" w:rsidSect="008B0E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E9CB" w14:textId="77777777" w:rsidR="00EC009A" w:rsidRDefault="00EC009A" w:rsidP="00D77AFC">
      <w:r>
        <w:separator/>
      </w:r>
    </w:p>
  </w:endnote>
  <w:endnote w:type="continuationSeparator" w:id="0">
    <w:p w14:paraId="0171938B" w14:textId="77777777" w:rsidR="00EC009A" w:rsidRDefault="00EC009A" w:rsidP="00D7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64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ED03F" w14:textId="733D40F9" w:rsidR="00E9616A" w:rsidRDefault="00E96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0E828F" w14:textId="77777777" w:rsidR="00E9616A" w:rsidRDefault="00E96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9C46" w14:textId="77777777" w:rsidR="00EC009A" w:rsidRDefault="00EC009A" w:rsidP="00D77AFC">
      <w:r>
        <w:separator/>
      </w:r>
    </w:p>
  </w:footnote>
  <w:footnote w:type="continuationSeparator" w:id="0">
    <w:p w14:paraId="1C4D8330" w14:textId="77777777" w:rsidR="00EC009A" w:rsidRDefault="00EC009A" w:rsidP="00D7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5110" w14:textId="77777777" w:rsidR="00201DA0" w:rsidRPr="00201DA0" w:rsidRDefault="00201DA0" w:rsidP="00201DA0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201DA0">
      <w:rPr>
        <w:rFonts w:asciiTheme="minorHAnsi" w:hAnsiTheme="minorHAnsi" w:cstheme="minorHAnsi"/>
        <w:sz w:val="22"/>
        <w:szCs w:val="22"/>
      </w:rPr>
      <w:t>PLA Board of Directors</w:t>
    </w:r>
  </w:p>
  <w:p w14:paraId="0065B679" w14:textId="77777777" w:rsidR="00201DA0" w:rsidRPr="00201DA0" w:rsidRDefault="00201DA0" w:rsidP="00201DA0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201DA0">
      <w:rPr>
        <w:rFonts w:asciiTheme="minorHAnsi" w:hAnsiTheme="minorHAnsi" w:cstheme="minorHAnsi"/>
        <w:sz w:val="22"/>
        <w:szCs w:val="22"/>
      </w:rPr>
      <w:t>Annual Conference 2022 Meeting</w:t>
    </w:r>
  </w:p>
  <w:p w14:paraId="1B96D325" w14:textId="52A3908B" w:rsidR="00A61767" w:rsidRDefault="00201DA0" w:rsidP="00201DA0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201DA0">
      <w:rPr>
        <w:rFonts w:asciiTheme="minorHAnsi" w:hAnsiTheme="minorHAnsi" w:cstheme="minorHAnsi"/>
        <w:sz w:val="22"/>
        <w:szCs w:val="22"/>
      </w:rPr>
      <w:t>Document no.: 2022.</w:t>
    </w:r>
    <w:r>
      <w:rPr>
        <w:rFonts w:asciiTheme="minorHAnsi" w:hAnsiTheme="minorHAnsi" w:cstheme="minorHAnsi"/>
        <w:sz w:val="22"/>
        <w:szCs w:val="22"/>
      </w:rPr>
      <w:t>39</w:t>
    </w:r>
  </w:p>
  <w:p w14:paraId="67ED175C" w14:textId="77777777" w:rsidR="00201DA0" w:rsidRDefault="00201DA0" w:rsidP="00201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360"/>
    <w:multiLevelType w:val="hybridMultilevel"/>
    <w:tmpl w:val="355213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0E4828"/>
    <w:multiLevelType w:val="hybridMultilevel"/>
    <w:tmpl w:val="D508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05A4B"/>
    <w:multiLevelType w:val="multilevel"/>
    <w:tmpl w:val="616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460428"/>
    <w:multiLevelType w:val="hybridMultilevel"/>
    <w:tmpl w:val="932A2C60"/>
    <w:lvl w:ilvl="0" w:tplc="1F5EBB86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424D2"/>
    <w:multiLevelType w:val="hybridMultilevel"/>
    <w:tmpl w:val="0F8E2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E7107"/>
    <w:multiLevelType w:val="hybridMultilevel"/>
    <w:tmpl w:val="FE0CDD4C"/>
    <w:lvl w:ilvl="0" w:tplc="3DEC0B96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B10C5"/>
    <w:multiLevelType w:val="hybridMultilevel"/>
    <w:tmpl w:val="322A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37D17"/>
    <w:multiLevelType w:val="hybridMultilevel"/>
    <w:tmpl w:val="7E62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544AC"/>
    <w:multiLevelType w:val="hybridMultilevel"/>
    <w:tmpl w:val="9EC0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0C37"/>
    <w:multiLevelType w:val="hybridMultilevel"/>
    <w:tmpl w:val="7868CA3C"/>
    <w:lvl w:ilvl="0" w:tplc="2AE863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D1A07"/>
    <w:multiLevelType w:val="hybridMultilevel"/>
    <w:tmpl w:val="1EC24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9D15E4"/>
    <w:multiLevelType w:val="hybridMultilevel"/>
    <w:tmpl w:val="03C6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39332">
    <w:abstractNumId w:val="4"/>
  </w:num>
  <w:num w:numId="2" w16cid:durableId="743988996">
    <w:abstractNumId w:val="0"/>
  </w:num>
  <w:num w:numId="3" w16cid:durableId="1732341794">
    <w:abstractNumId w:val="1"/>
  </w:num>
  <w:num w:numId="4" w16cid:durableId="306933911">
    <w:abstractNumId w:val="5"/>
  </w:num>
  <w:num w:numId="5" w16cid:durableId="1180506042">
    <w:abstractNumId w:val="3"/>
  </w:num>
  <w:num w:numId="6" w16cid:durableId="1239945078">
    <w:abstractNumId w:val="7"/>
  </w:num>
  <w:num w:numId="7" w16cid:durableId="678847811">
    <w:abstractNumId w:val="6"/>
  </w:num>
  <w:num w:numId="8" w16cid:durableId="1941450543">
    <w:abstractNumId w:val="8"/>
  </w:num>
  <w:num w:numId="9" w16cid:durableId="1828596897">
    <w:abstractNumId w:val="11"/>
  </w:num>
  <w:num w:numId="10" w16cid:durableId="25840620">
    <w:abstractNumId w:val="10"/>
  </w:num>
  <w:num w:numId="11" w16cid:durableId="546181256">
    <w:abstractNumId w:val="2"/>
  </w:num>
  <w:num w:numId="12" w16cid:durableId="747653875">
    <w:abstractNumId w:val="9"/>
  </w:num>
  <w:num w:numId="13" w16cid:durableId="1879194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4A"/>
    <w:rsid w:val="00001D56"/>
    <w:rsid w:val="00015918"/>
    <w:rsid w:val="00031C2A"/>
    <w:rsid w:val="000328E6"/>
    <w:rsid w:val="0003768C"/>
    <w:rsid w:val="00040694"/>
    <w:rsid w:val="00041EBC"/>
    <w:rsid w:val="000448C0"/>
    <w:rsid w:val="00051745"/>
    <w:rsid w:val="00051D01"/>
    <w:rsid w:val="00052BFE"/>
    <w:rsid w:val="00066FDA"/>
    <w:rsid w:val="00067823"/>
    <w:rsid w:val="00074D3D"/>
    <w:rsid w:val="00080039"/>
    <w:rsid w:val="000825E8"/>
    <w:rsid w:val="0008346F"/>
    <w:rsid w:val="00087570"/>
    <w:rsid w:val="0009611B"/>
    <w:rsid w:val="0009650A"/>
    <w:rsid w:val="000976BD"/>
    <w:rsid w:val="00097DA5"/>
    <w:rsid w:val="000A0405"/>
    <w:rsid w:val="000A512F"/>
    <w:rsid w:val="000B344E"/>
    <w:rsid w:val="000C3AE4"/>
    <w:rsid w:val="000C6E64"/>
    <w:rsid w:val="000C74F9"/>
    <w:rsid w:val="000D543F"/>
    <w:rsid w:val="000E032B"/>
    <w:rsid w:val="00102334"/>
    <w:rsid w:val="00114C41"/>
    <w:rsid w:val="00120674"/>
    <w:rsid w:val="0013289E"/>
    <w:rsid w:val="001355DE"/>
    <w:rsid w:val="0013757B"/>
    <w:rsid w:val="00156E6E"/>
    <w:rsid w:val="0016145B"/>
    <w:rsid w:val="00163145"/>
    <w:rsid w:val="00167281"/>
    <w:rsid w:val="00182C7D"/>
    <w:rsid w:val="001906E9"/>
    <w:rsid w:val="001A6FFA"/>
    <w:rsid w:val="001B335B"/>
    <w:rsid w:val="00201DA0"/>
    <w:rsid w:val="00206C4B"/>
    <w:rsid w:val="002102DD"/>
    <w:rsid w:val="0021269D"/>
    <w:rsid w:val="00216518"/>
    <w:rsid w:val="00217AF7"/>
    <w:rsid w:val="00222866"/>
    <w:rsid w:val="002474F3"/>
    <w:rsid w:val="0025022E"/>
    <w:rsid w:val="00253919"/>
    <w:rsid w:val="002553AC"/>
    <w:rsid w:val="00256C4C"/>
    <w:rsid w:val="00265906"/>
    <w:rsid w:val="00277130"/>
    <w:rsid w:val="00277F2D"/>
    <w:rsid w:val="0028379B"/>
    <w:rsid w:val="00284A57"/>
    <w:rsid w:val="002A4318"/>
    <w:rsid w:val="002A46AE"/>
    <w:rsid w:val="002B1B2B"/>
    <w:rsid w:val="002B3C10"/>
    <w:rsid w:val="002B57F3"/>
    <w:rsid w:val="002C177E"/>
    <w:rsid w:val="002C62CC"/>
    <w:rsid w:val="002C6DFF"/>
    <w:rsid w:val="002D0836"/>
    <w:rsid w:val="002D28C0"/>
    <w:rsid w:val="002D6B21"/>
    <w:rsid w:val="002E6F20"/>
    <w:rsid w:val="002F11F7"/>
    <w:rsid w:val="00302609"/>
    <w:rsid w:val="003053B6"/>
    <w:rsid w:val="00310C52"/>
    <w:rsid w:val="00313C3D"/>
    <w:rsid w:val="00316C04"/>
    <w:rsid w:val="00320312"/>
    <w:rsid w:val="003373F0"/>
    <w:rsid w:val="0034052C"/>
    <w:rsid w:val="00346867"/>
    <w:rsid w:val="00356EBF"/>
    <w:rsid w:val="00357F04"/>
    <w:rsid w:val="0036151E"/>
    <w:rsid w:val="00380AFD"/>
    <w:rsid w:val="0039299D"/>
    <w:rsid w:val="003C3A1D"/>
    <w:rsid w:val="003E5C6C"/>
    <w:rsid w:val="00402835"/>
    <w:rsid w:val="00411519"/>
    <w:rsid w:val="00414458"/>
    <w:rsid w:val="00415C44"/>
    <w:rsid w:val="00421736"/>
    <w:rsid w:val="00424D56"/>
    <w:rsid w:val="00425AF1"/>
    <w:rsid w:val="0043074E"/>
    <w:rsid w:val="00433AD9"/>
    <w:rsid w:val="00437426"/>
    <w:rsid w:val="00442B24"/>
    <w:rsid w:val="00443492"/>
    <w:rsid w:val="00444F51"/>
    <w:rsid w:val="00453763"/>
    <w:rsid w:val="0047062B"/>
    <w:rsid w:val="004738DF"/>
    <w:rsid w:val="00495D7B"/>
    <w:rsid w:val="004A2936"/>
    <w:rsid w:val="004A5B7F"/>
    <w:rsid w:val="004B18B2"/>
    <w:rsid w:val="004B2855"/>
    <w:rsid w:val="004B4538"/>
    <w:rsid w:val="004C3FBF"/>
    <w:rsid w:val="004C5A40"/>
    <w:rsid w:val="004C5FC3"/>
    <w:rsid w:val="004E0C78"/>
    <w:rsid w:val="004E55CB"/>
    <w:rsid w:val="004F31CD"/>
    <w:rsid w:val="00502156"/>
    <w:rsid w:val="0050463F"/>
    <w:rsid w:val="00505428"/>
    <w:rsid w:val="0051293D"/>
    <w:rsid w:val="005224FA"/>
    <w:rsid w:val="0052596A"/>
    <w:rsid w:val="00534DAE"/>
    <w:rsid w:val="00537A47"/>
    <w:rsid w:val="00544DA3"/>
    <w:rsid w:val="00546CF8"/>
    <w:rsid w:val="005477F3"/>
    <w:rsid w:val="0055215A"/>
    <w:rsid w:val="00556C65"/>
    <w:rsid w:val="00562005"/>
    <w:rsid w:val="00573F34"/>
    <w:rsid w:val="00582C53"/>
    <w:rsid w:val="00592D90"/>
    <w:rsid w:val="005957D8"/>
    <w:rsid w:val="005A0633"/>
    <w:rsid w:val="005B6EDE"/>
    <w:rsid w:val="005B7149"/>
    <w:rsid w:val="005D4217"/>
    <w:rsid w:val="005D5242"/>
    <w:rsid w:val="005E03CE"/>
    <w:rsid w:val="005F04AC"/>
    <w:rsid w:val="005F4A89"/>
    <w:rsid w:val="005F5657"/>
    <w:rsid w:val="00626639"/>
    <w:rsid w:val="00626D85"/>
    <w:rsid w:val="00634033"/>
    <w:rsid w:val="00635296"/>
    <w:rsid w:val="006446E6"/>
    <w:rsid w:val="00645C46"/>
    <w:rsid w:val="00645FAF"/>
    <w:rsid w:val="006466F6"/>
    <w:rsid w:val="00683534"/>
    <w:rsid w:val="00693462"/>
    <w:rsid w:val="00693C4B"/>
    <w:rsid w:val="0069733C"/>
    <w:rsid w:val="006A08D9"/>
    <w:rsid w:val="006A40F8"/>
    <w:rsid w:val="006B49AC"/>
    <w:rsid w:val="006C0E2A"/>
    <w:rsid w:val="006C40DE"/>
    <w:rsid w:val="006D629D"/>
    <w:rsid w:val="006E6E65"/>
    <w:rsid w:val="006F0CD3"/>
    <w:rsid w:val="006F132A"/>
    <w:rsid w:val="006F67A0"/>
    <w:rsid w:val="007076AA"/>
    <w:rsid w:val="00710FE6"/>
    <w:rsid w:val="0073345D"/>
    <w:rsid w:val="00733FD1"/>
    <w:rsid w:val="00741B29"/>
    <w:rsid w:val="007459C5"/>
    <w:rsid w:val="00754529"/>
    <w:rsid w:val="00761259"/>
    <w:rsid w:val="0077529F"/>
    <w:rsid w:val="007912E3"/>
    <w:rsid w:val="00792D16"/>
    <w:rsid w:val="007A3F8C"/>
    <w:rsid w:val="007C389B"/>
    <w:rsid w:val="007C43D4"/>
    <w:rsid w:val="007D09D5"/>
    <w:rsid w:val="007D1269"/>
    <w:rsid w:val="007E2A2D"/>
    <w:rsid w:val="007F0F3D"/>
    <w:rsid w:val="007F5DA8"/>
    <w:rsid w:val="008130BC"/>
    <w:rsid w:val="00815F57"/>
    <w:rsid w:val="00817E93"/>
    <w:rsid w:val="00834DB1"/>
    <w:rsid w:val="008374E4"/>
    <w:rsid w:val="00843422"/>
    <w:rsid w:val="0084566C"/>
    <w:rsid w:val="00854B66"/>
    <w:rsid w:val="00867426"/>
    <w:rsid w:val="00874050"/>
    <w:rsid w:val="00876ED5"/>
    <w:rsid w:val="00891532"/>
    <w:rsid w:val="00895B87"/>
    <w:rsid w:val="008B0E11"/>
    <w:rsid w:val="008C0F0B"/>
    <w:rsid w:val="008D1846"/>
    <w:rsid w:val="008E75D2"/>
    <w:rsid w:val="008F3B3E"/>
    <w:rsid w:val="008F4988"/>
    <w:rsid w:val="009000F4"/>
    <w:rsid w:val="0090341E"/>
    <w:rsid w:val="009254D1"/>
    <w:rsid w:val="00926CC8"/>
    <w:rsid w:val="00927FF6"/>
    <w:rsid w:val="00933122"/>
    <w:rsid w:val="00940C83"/>
    <w:rsid w:val="009419BA"/>
    <w:rsid w:val="009453E5"/>
    <w:rsid w:val="00946C72"/>
    <w:rsid w:val="00947F8C"/>
    <w:rsid w:val="00952546"/>
    <w:rsid w:val="00964193"/>
    <w:rsid w:val="00974C47"/>
    <w:rsid w:val="009846CC"/>
    <w:rsid w:val="009938F1"/>
    <w:rsid w:val="009C3E72"/>
    <w:rsid w:val="009C60E0"/>
    <w:rsid w:val="009D0132"/>
    <w:rsid w:val="009E5024"/>
    <w:rsid w:val="009E67A2"/>
    <w:rsid w:val="009F1B79"/>
    <w:rsid w:val="009F6322"/>
    <w:rsid w:val="00A11259"/>
    <w:rsid w:val="00A16D21"/>
    <w:rsid w:val="00A35B5A"/>
    <w:rsid w:val="00A44ACB"/>
    <w:rsid w:val="00A61767"/>
    <w:rsid w:val="00A67305"/>
    <w:rsid w:val="00A82C7C"/>
    <w:rsid w:val="00A85A67"/>
    <w:rsid w:val="00A862E1"/>
    <w:rsid w:val="00A86AC5"/>
    <w:rsid w:val="00AA02AB"/>
    <w:rsid w:val="00AD0415"/>
    <w:rsid w:val="00AD7BB8"/>
    <w:rsid w:val="00AD7E18"/>
    <w:rsid w:val="00AE544A"/>
    <w:rsid w:val="00AF3327"/>
    <w:rsid w:val="00B10D6D"/>
    <w:rsid w:val="00B1101F"/>
    <w:rsid w:val="00B15058"/>
    <w:rsid w:val="00B15D8F"/>
    <w:rsid w:val="00B23696"/>
    <w:rsid w:val="00B33D93"/>
    <w:rsid w:val="00B34B27"/>
    <w:rsid w:val="00B437CD"/>
    <w:rsid w:val="00B45768"/>
    <w:rsid w:val="00B51ABE"/>
    <w:rsid w:val="00B53E86"/>
    <w:rsid w:val="00B54D65"/>
    <w:rsid w:val="00B561F1"/>
    <w:rsid w:val="00B6185A"/>
    <w:rsid w:val="00B65449"/>
    <w:rsid w:val="00B77C41"/>
    <w:rsid w:val="00B77F8D"/>
    <w:rsid w:val="00B822CC"/>
    <w:rsid w:val="00B84F45"/>
    <w:rsid w:val="00B953F8"/>
    <w:rsid w:val="00BA041A"/>
    <w:rsid w:val="00BC1200"/>
    <w:rsid w:val="00BC4143"/>
    <w:rsid w:val="00BD1C6D"/>
    <w:rsid w:val="00BE0549"/>
    <w:rsid w:val="00BF0950"/>
    <w:rsid w:val="00C125F2"/>
    <w:rsid w:val="00C17C8E"/>
    <w:rsid w:val="00C255A8"/>
    <w:rsid w:val="00C26C5A"/>
    <w:rsid w:val="00C27CE6"/>
    <w:rsid w:val="00C31BAC"/>
    <w:rsid w:val="00C343E2"/>
    <w:rsid w:val="00C34D30"/>
    <w:rsid w:val="00C34F2C"/>
    <w:rsid w:val="00C36A58"/>
    <w:rsid w:val="00C3733B"/>
    <w:rsid w:val="00C3761D"/>
    <w:rsid w:val="00C40DB5"/>
    <w:rsid w:val="00C44958"/>
    <w:rsid w:val="00C44CA3"/>
    <w:rsid w:val="00C44CBC"/>
    <w:rsid w:val="00C4715C"/>
    <w:rsid w:val="00C5176C"/>
    <w:rsid w:val="00C544FE"/>
    <w:rsid w:val="00C6183F"/>
    <w:rsid w:val="00C6486A"/>
    <w:rsid w:val="00C716D7"/>
    <w:rsid w:val="00C74202"/>
    <w:rsid w:val="00C7690F"/>
    <w:rsid w:val="00C77E2D"/>
    <w:rsid w:val="00C86B4A"/>
    <w:rsid w:val="00C87549"/>
    <w:rsid w:val="00C943B1"/>
    <w:rsid w:val="00C95314"/>
    <w:rsid w:val="00C95EFB"/>
    <w:rsid w:val="00C97F0F"/>
    <w:rsid w:val="00CA080C"/>
    <w:rsid w:val="00CA3906"/>
    <w:rsid w:val="00CA48A4"/>
    <w:rsid w:val="00CB7EA8"/>
    <w:rsid w:val="00CC0A08"/>
    <w:rsid w:val="00CC2F0A"/>
    <w:rsid w:val="00CE1AA7"/>
    <w:rsid w:val="00D0217D"/>
    <w:rsid w:val="00D100FA"/>
    <w:rsid w:val="00D11622"/>
    <w:rsid w:val="00D1600D"/>
    <w:rsid w:val="00D162C9"/>
    <w:rsid w:val="00D16397"/>
    <w:rsid w:val="00D166BC"/>
    <w:rsid w:val="00D17F41"/>
    <w:rsid w:val="00D20568"/>
    <w:rsid w:val="00D209F0"/>
    <w:rsid w:val="00D30FB3"/>
    <w:rsid w:val="00D3328E"/>
    <w:rsid w:val="00D34667"/>
    <w:rsid w:val="00D44F24"/>
    <w:rsid w:val="00D57D28"/>
    <w:rsid w:val="00D62C25"/>
    <w:rsid w:val="00D6519F"/>
    <w:rsid w:val="00D72B4E"/>
    <w:rsid w:val="00D77AFC"/>
    <w:rsid w:val="00D87AAC"/>
    <w:rsid w:val="00D93C96"/>
    <w:rsid w:val="00DA0FE3"/>
    <w:rsid w:val="00DA3DE8"/>
    <w:rsid w:val="00DA3FCA"/>
    <w:rsid w:val="00DA4014"/>
    <w:rsid w:val="00DB0302"/>
    <w:rsid w:val="00DC0A38"/>
    <w:rsid w:val="00DD2A09"/>
    <w:rsid w:val="00DD5D25"/>
    <w:rsid w:val="00DD76DD"/>
    <w:rsid w:val="00DE04F6"/>
    <w:rsid w:val="00DE17AC"/>
    <w:rsid w:val="00DE6F47"/>
    <w:rsid w:val="00E07A6F"/>
    <w:rsid w:val="00E07AB6"/>
    <w:rsid w:val="00E11993"/>
    <w:rsid w:val="00E23FF2"/>
    <w:rsid w:val="00E30603"/>
    <w:rsid w:val="00E32773"/>
    <w:rsid w:val="00E37F41"/>
    <w:rsid w:val="00E40392"/>
    <w:rsid w:val="00E4126D"/>
    <w:rsid w:val="00E44C87"/>
    <w:rsid w:val="00E572AC"/>
    <w:rsid w:val="00E63BCD"/>
    <w:rsid w:val="00E71946"/>
    <w:rsid w:val="00E769C9"/>
    <w:rsid w:val="00E805CC"/>
    <w:rsid w:val="00E80B1E"/>
    <w:rsid w:val="00E825F5"/>
    <w:rsid w:val="00E83C72"/>
    <w:rsid w:val="00E83CB4"/>
    <w:rsid w:val="00E86636"/>
    <w:rsid w:val="00E91172"/>
    <w:rsid w:val="00E93DC8"/>
    <w:rsid w:val="00E95FF8"/>
    <w:rsid w:val="00E9616A"/>
    <w:rsid w:val="00EB2CF8"/>
    <w:rsid w:val="00EB31FE"/>
    <w:rsid w:val="00EB3851"/>
    <w:rsid w:val="00EC009A"/>
    <w:rsid w:val="00ED0ABE"/>
    <w:rsid w:val="00ED5FF5"/>
    <w:rsid w:val="00ED693C"/>
    <w:rsid w:val="00EE2579"/>
    <w:rsid w:val="00EF3161"/>
    <w:rsid w:val="00EF7E31"/>
    <w:rsid w:val="00F00437"/>
    <w:rsid w:val="00F12736"/>
    <w:rsid w:val="00F209CE"/>
    <w:rsid w:val="00F20B36"/>
    <w:rsid w:val="00F2378D"/>
    <w:rsid w:val="00F2597D"/>
    <w:rsid w:val="00F42F14"/>
    <w:rsid w:val="00F5219B"/>
    <w:rsid w:val="00F5354F"/>
    <w:rsid w:val="00F53D26"/>
    <w:rsid w:val="00F54582"/>
    <w:rsid w:val="00F55B89"/>
    <w:rsid w:val="00F71725"/>
    <w:rsid w:val="00F832E5"/>
    <w:rsid w:val="00F85387"/>
    <w:rsid w:val="00F95B07"/>
    <w:rsid w:val="00FA13C8"/>
    <w:rsid w:val="00FA5025"/>
    <w:rsid w:val="00FB7024"/>
    <w:rsid w:val="00FB7476"/>
    <w:rsid w:val="00FC0D8D"/>
    <w:rsid w:val="00FC5486"/>
    <w:rsid w:val="00FC72B4"/>
    <w:rsid w:val="00FD1E5C"/>
    <w:rsid w:val="00FD2734"/>
    <w:rsid w:val="00FD3569"/>
    <w:rsid w:val="00FE3E89"/>
    <w:rsid w:val="00FE400F"/>
    <w:rsid w:val="00FE5A9E"/>
    <w:rsid w:val="00FE7690"/>
    <w:rsid w:val="00FF34A4"/>
    <w:rsid w:val="00FF3821"/>
    <w:rsid w:val="00FF3881"/>
    <w:rsid w:val="00FF3A65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B6AA8"/>
  <w15:docId w15:val="{670D9D3B-22C3-482F-93B1-F67AB9E7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2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77AFC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77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A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B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2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B7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4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7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87405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2CF5-FFB6-4546-A9EA-0CFDD2B0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Macikas</dc:creator>
  <cp:lastModifiedBy>Megan Stewart</cp:lastModifiedBy>
  <cp:revision>5</cp:revision>
  <cp:lastPrinted>2022-04-30T19:34:00Z</cp:lastPrinted>
  <dcterms:created xsi:type="dcterms:W3CDTF">2022-06-14T15:03:00Z</dcterms:created>
  <dcterms:modified xsi:type="dcterms:W3CDTF">2022-06-17T18:55:00Z</dcterms:modified>
</cp:coreProperties>
</file>