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5B6" w14:textId="2101074F" w:rsidR="00074D3D" w:rsidRDefault="00D3328E" w:rsidP="00D34667">
      <w:pPr>
        <w:rPr>
          <w:rFonts w:asciiTheme="minorHAnsi" w:hAnsiTheme="minorHAnsi" w:cstheme="minorHAnsi"/>
          <w:b/>
        </w:rPr>
      </w:pPr>
      <w:r w:rsidRPr="00310C52">
        <w:rPr>
          <w:rFonts w:asciiTheme="minorHAnsi" w:hAnsiTheme="minorHAnsi" w:cstheme="minorHAnsi"/>
          <w:b/>
        </w:rPr>
        <w:t>Public Library Association</w:t>
      </w:r>
      <w:r w:rsidR="004B0A10">
        <w:rPr>
          <w:rFonts w:asciiTheme="minorHAnsi" w:hAnsiTheme="minorHAnsi" w:cstheme="minorHAnsi"/>
          <w:b/>
        </w:rPr>
        <w:t xml:space="preserve"> - </w:t>
      </w:r>
      <w:r w:rsidR="007C389B">
        <w:rPr>
          <w:rFonts w:asciiTheme="minorHAnsi" w:hAnsiTheme="minorHAnsi" w:cstheme="minorHAnsi"/>
          <w:b/>
        </w:rPr>
        <w:t xml:space="preserve">FY21 – </w:t>
      </w:r>
      <w:r w:rsidR="00313F72">
        <w:rPr>
          <w:rFonts w:asciiTheme="minorHAnsi" w:hAnsiTheme="minorHAnsi" w:cstheme="minorHAnsi"/>
          <w:b/>
        </w:rPr>
        <w:t>February</w:t>
      </w:r>
      <w:r w:rsidR="007C389B">
        <w:rPr>
          <w:rFonts w:asciiTheme="minorHAnsi" w:hAnsiTheme="minorHAnsi" w:cstheme="minorHAnsi"/>
          <w:b/>
        </w:rPr>
        <w:t xml:space="preserve"> 202</w:t>
      </w:r>
      <w:r w:rsidR="00313F72">
        <w:rPr>
          <w:rFonts w:asciiTheme="minorHAnsi" w:hAnsiTheme="minorHAnsi" w:cstheme="minorHAnsi"/>
          <w:b/>
        </w:rPr>
        <w:t>1</w:t>
      </w:r>
      <w:r w:rsidR="00074D3D">
        <w:rPr>
          <w:rFonts w:asciiTheme="minorHAnsi" w:hAnsiTheme="minorHAnsi" w:cstheme="minorHAnsi"/>
          <w:b/>
        </w:rPr>
        <w:t xml:space="preserve"> </w:t>
      </w:r>
      <w:r w:rsidR="006F132A">
        <w:rPr>
          <w:rFonts w:asciiTheme="minorHAnsi" w:hAnsiTheme="minorHAnsi" w:cstheme="minorHAnsi"/>
          <w:b/>
        </w:rPr>
        <w:t>Financial Narrative</w:t>
      </w:r>
      <w:r w:rsidR="00313F72">
        <w:rPr>
          <w:rFonts w:asciiTheme="minorHAnsi" w:hAnsiTheme="minorHAnsi" w:cstheme="minorHAnsi"/>
          <w:b/>
        </w:rPr>
        <w:t xml:space="preserve"> (mid-point)</w:t>
      </w:r>
    </w:p>
    <w:p w14:paraId="5EEC9A9E" w14:textId="1FF121FC" w:rsidR="00074D3D" w:rsidRDefault="00074D3D" w:rsidP="00D34667">
      <w:pPr>
        <w:rPr>
          <w:rFonts w:asciiTheme="minorHAnsi" w:hAnsiTheme="minorHAnsi" w:cstheme="minorHAnsi"/>
          <w:b/>
        </w:rPr>
      </w:pPr>
    </w:p>
    <w:p w14:paraId="24B22834" w14:textId="322C4F78" w:rsidR="00074D3D" w:rsidRDefault="00074D3D" w:rsidP="00074D3D">
      <w:pPr>
        <w:rPr>
          <w:rFonts w:asciiTheme="minorHAnsi" w:hAnsiTheme="minorHAnsi" w:cstheme="minorHAnsi"/>
          <w:b/>
        </w:rPr>
      </w:pPr>
      <w:r w:rsidRPr="00310C52">
        <w:rPr>
          <w:rFonts w:asciiTheme="minorHAnsi" w:hAnsiTheme="minorHAnsi" w:cstheme="minorHAnsi"/>
          <w:b/>
        </w:rPr>
        <w:t>FY2</w:t>
      </w:r>
      <w:r w:rsidR="007C389B">
        <w:rPr>
          <w:rFonts w:asciiTheme="minorHAnsi" w:hAnsiTheme="minorHAnsi" w:cstheme="minorHAnsi"/>
          <w:b/>
        </w:rPr>
        <w:t>1</w:t>
      </w:r>
      <w:r w:rsidRPr="00310C52">
        <w:rPr>
          <w:rFonts w:asciiTheme="minorHAnsi" w:hAnsiTheme="minorHAnsi" w:cstheme="minorHAnsi"/>
          <w:b/>
        </w:rPr>
        <w:t xml:space="preserve"> Operating Budget as of </w:t>
      </w:r>
      <w:r w:rsidR="00313F72">
        <w:rPr>
          <w:rFonts w:asciiTheme="minorHAnsi" w:hAnsiTheme="minorHAnsi" w:cstheme="minorHAnsi"/>
          <w:b/>
        </w:rPr>
        <w:t>February</w:t>
      </w:r>
      <w:r w:rsidRPr="00310C52">
        <w:rPr>
          <w:rFonts w:asciiTheme="minorHAnsi" w:hAnsiTheme="minorHAnsi" w:cstheme="minorHAnsi"/>
          <w:b/>
        </w:rPr>
        <w:t xml:space="preserve"> </w:t>
      </w:r>
      <w:r w:rsidR="00313F72">
        <w:rPr>
          <w:rFonts w:asciiTheme="minorHAnsi" w:hAnsiTheme="minorHAnsi" w:cstheme="minorHAnsi"/>
          <w:b/>
        </w:rPr>
        <w:t>2021</w:t>
      </w:r>
    </w:p>
    <w:p w14:paraId="691AEC32" w14:textId="37B082D2" w:rsidR="00EE2579" w:rsidRDefault="00EE2579" w:rsidP="00066FDA">
      <w:pPr>
        <w:rPr>
          <w:rFonts w:asciiTheme="minorHAnsi" w:hAnsiTheme="minorHAnsi" w:cstheme="minorHAnsi"/>
          <w:u w:val="single"/>
        </w:rPr>
      </w:pPr>
    </w:p>
    <w:tbl>
      <w:tblPr>
        <w:tblW w:w="1038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890"/>
        <w:gridCol w:w="1710"/>
        <w:gridCol w:w="1710"/>
        <w:gridCol w:w="236"/>
        <w:gridCol w:w="1341"/>
      </w:tblGrid>
      <w:tr w:rsidR="00C44CBC" w:rsidRPr="00310C52" w14:paraId="6672BB77" w14:textId="77777777" w:rsidTr="00074D3D">
        <w:trPr>
          <w:gridAfter w:val="2"/>
          <w:wAfter w:w="1577" w:type="dxa"/>
          <w:trHeight w:val="255"/>
        </w:trPr>
        <w:tc>
          <w:tcPr>
            <w:tcW w:w="3500" w:type="dxa"/>
            <w:shd w:val="clear" w:color="auto" w:fill="auto"/>
            <w:noWrap/>
            <w:vAlign w:val="bottom"/>
            <w:hideMark/>
          </w:tcPr>
          <w:p w14:paraId="25FD6C38" w14:textId="77777777" w:rsidR="00C44CBC" w:rsidRDefault="00074D3D" w:rsidP="0007292D">
            <w:pPr>
              <w:jc w:val="right"/>
              <w:rPr>
                <w:rFonts w:ascii="Arial" w:hAnsi="Arial" w:cs="Arial"/>
                <w:b/>
                <w:sz w:val="20"/>
                <w:szCs w:val="20"/>
              </w:rPr>
            </w:pPr>
            <w:r>
              <w:rPr>
                <w:rFonts w:ascii="Arial" w:hAnsi="Arial" w:cs="Arial"/>
                <w:b/>
                <w:sz w:val="20"/>
                <w:szCs w:val="20"/>
              </w:rPr>
              <w:t>GENERAL FUND</w:t>
            </w:r>
          </w:p>
          <w:p w14:paraId="18D810BD" w14:textId="3406EA38" w:rsidR="00074D3D" w:rsidRDefault="00074D3D" w:rsidP="00074D3D">
            <w:pPr>
              <w:jc w:val="right"/>
              <w:rPr>
                <w:rFonts w:ascii="Arial" w:hAnsi="Arial" w:cs="Arial"/>
                <w:b/>
                <w:i/>
                <w:iCs/>
                <w:sz w:val="20"/>
                <w:szCs w:val="20"/>
              </w:rPr>
            </w:pPr>
            <w:r>
              <w:rPr>
                <w:rFonts w:ascii="Arial" w:hAnsi="Arial" w:cs="Arial"/>
                <w:b/>
                <w:i/>
                <w:iCs/>
                <w:sz w:val="20"/>
                <w:szCs w:val="20"/>
              </w:rPr>
              <w:t>Including Conference</w:t>
            </w:r>
          </w:p>
          <w:p w14:paraId="08542BBB" w14:textId="77777777" w:rsidR="00074D3D" w:rsidRDefault="00074D3D" w:rsidP="00074D3D">
            <w:pPr>
              <w:jc w:val="right"/>
              <w:rPr>
                <w:rFonts w:ascii="Arial" w:hAnsi="Arial" w:cs="Arial"/>
                <w:b/>
                <w:i/>
                <w:iCs/>
                <w:sz w:val="20"/>
                <w:szCs w:val="20"/>
              </w:rPr>
            </w:pPr>
          </w:p>
          <w:p w14:paraId="0435F84F" w14:textId="18E80A19" w:rsidR="00074D3D" w:rsidRPr="00074D3D" w:rsidRDefault="00074D3D" w:rsidP="00074D3D">
            <w:pPr>
              <w:jc w:val="right"/>
              <w:rPr>
                <w:rFonts w:ascii="Arial" w:hAnsi="Arial" w:cs="Arial"/>
                <w:b/>
                <w:i/>
                <w:iCs/>
                <w:sz w:val="20"/>
                <w:szCs w:val="20"/>
              </w:rPr>
            </w:pPr>
          </w:p>
        </w:tc>
        <w:tc>
          <w:tcPr>
            <w:tcW w:w="1890" w:type="dxa"/>
            <w:shd w:val="clear" w:color="auto" w:fill="auto"/>
            <w:noWrap/>
            <w:hideMark/>
          </w:tcPr>
          <w:p w14:paraId="6E152B7B" w14:textId="7DA00658" w:rsidR="00C44CBC" w:rsidRPr="00310C52" w:rsidRDefault="00313F72" w:rsidP="00074D3D">
            <w:pPr>
              <w:jc w:val="right"/>
              <w:rPr>
                <w:rFonts w:ascii="Arial" w:hAnsi="Arial" w:cs="Arial"/>
                <w:b/>
                <w:sz w:val="20"/>
                <w:szCs w:val="20"/>
              </w:rPr>
            </w:pPr>
            <w:r>
              <w:rPr>
                <w:rFonts w:ascii="Arial" w:hAnsi="Arial" w:cs="Arial"/>
                <w:b/>
                <w:sz w:val="20"/>
                <w:szCs w:val="20"/>
              </w:rPr>
              <w:t>Feb 2021</w:t>
            </w:r>
          </w:p>
          <w:p w14:paraId="2583ABD8" w14:textId="67D19384" w:rsidR="00C44CBC" w:rsidRPr="00310C52" w:rsidRDefault="00C44CBC" w:rsidP="00074D3D">
            <w:pPr>
              <w:jc w:val="right"/>
              <w:rPr>
                <w:rFonts w:ascii="Arial" w:hAnsi="Arial" w:cs="Arial"/>
                <w:b/>
                <w:sz w:val="20"/>
                <w:szCs w:val="20"/>
              </w:rPr>
            </w:pPr>
            <w:r w:rsidRPr="00310C52">
              <w:rPr>
                <w:rFonts w:ascii="Arial" w:hAnsi="Arial" w:cs="Arial"/>
                <w:b/>
                <w:sz w:val="20"/>
                <w:szCs w:val="20"/>
              </w:rPr>
              <w:t>YTD Budget</w:t>
            </w:r>
          </w:p>
        </w:tc>
        <w:tc>
          <w:tcPr>
            <w:tcW w:w="1710" w:type="dxa"/>
            <w:shd w:val="clear" w:color="auto" w:fill="auto"/>
            <w:noWrap/>
            <w:hideMark/>
          </w:tcPr>
          <w:p w14:paraId="3F5B1810" w14:textId="42A52F9E" w:rsidR="00C44CBC" w:rsidRPr="00310C52" w:rsidRDefault="00313F72" w:rsidP="00074D3D">
            <w:pPr>
              <w:jc w:val="right"/>
              <w:rPr>
                <w:rFonts w:ascii="Arial" w:hAnsi="Arial" w:cs="Arial"/>
                <w:b/>
                <w:sz w:val="20"/>
                <w:szCs w:val="20"/>
              </w:rPr>
            </w:pPr>
            <w:r>
              <w:rPr>
                <w:rFonts w:ascii="Arial" w:hAnsi="Arial" w:cs="Arial"/>
                <w:b/>
                <w:sz w:val="20"/>
                <w:szCs w:val="20"/>
              </w:rPr>
              <w:t>Feb 2021</w:t>
            </w:r>
          </w:p>
          <w:p w14:paraId="47643956" w14:textId="4E5F76BD" w:rsidR="00C44CBC" w:rsidRPr="00310C52" w:rsidRDefault="00C44CBC" w:rsidP="00074D3D">
            <w:pPr>
              <w:jc w:val="right"/>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hideMark/>
          </w:tcPr>
          <w:p w14:paraId="6AF87719" w14:textId="69654664" w:rsidR="00C44CBC" w:rsidRPr="00310C52" w:rsidRDefault="00313F72" w:rsidP="00074D3D">
            <w:pPr>
              <w:jc w:val="right"/>
              <w:rPr>
                <w:rFonts w:ascii="Arial" w:hAnsi="Arial" w:cs="Arial"/>
                <w:b/>
                <w:sz w:val="20"/>
                <w:szCs w:val="20"/>
              </w:rPr>
            </w:pPr>
            <w:r>
              <w:rPr>
                <w:rFonts w:ascii="Arial" w:hAnsi="Arial" w:cs="Arial"/>
                <w:b/>
                <w:sz w:val="20"/>
                <w:szCs w:val="20"/>
              </w:rPr>
              <w:t>Feb 2021</w:t>
            </w:r>
            <w:r w:rsidR="00C44CBC" w:rsidRPr="00310C52">
              <w:rPr>
                <w:rFonts w:ascii="Arial" w:hAnsi="Arial" w:cs="Arial"/>
                <w:b/>
                <w:sz w:val="20"/>
                <w:szCs w:val="20"/>
              </w:rPr>
              <w:t xml:space="preserve"> Variance</w:t>
            </w:r>
          </w:p>
        </w:tc>
      </w:tr>
      <w:tr w:rsidR="00C44CBC" w:rsidRPr="00310C52" w14:paraId="2B1935A9" w14:textId="77777777" w:rsidTr="00357F04">
        <w:trPr>
          <w:gridAfter w:val="2"/>
          <w:wAfter w:w="1577" w:type="dxa"/>
          <w:trHeight w:val="255"/>
        </w:trPr>
        <w:tc>
          <w:tcPr>
            <w:tcW w:w="3500" w:type="dxa"/>
            <w:shd w:val="clear" w:color="auto" w:fill="auto"/>
            <w:noWrap/>
            <w:vAlign w:val="bottom"/>
            <w:hideMark/>
          </w:tcPr>
          <w:p w14:paraId="5A8EAC74" w14:textId="77777777" w:rsidR="00C44CBC" w:rsidRPr="00310C52" w:rsidRDefault="00C44CBC" w:rsidP="0007292D">
            <w:pPr>
              <w:jc w:val="right"/>
              <w:rPr>
                <w:rFonts w:ascii="Arial" w:hAnsi="Arial" w:cs="Arial"/>
                <w:b/>
                <w:sz w:val="20"/>
                <w:szCs w:val="20"/>
              </w:rPr>
            </w:pPr>
            <w:r w:rsidRPr="00310C52">
              <w:rPr>
                <w:rFonts w:ascii="Arial" w:hAnsi="Arial" w:cs="Arial"/>
                <w:b/>
                <w:sz w:val="20"/>
                <w:szCs w:val="20"/>
              </w:rPr>
              <w:t>Total Revenues</w:t>
            </w:r>
          </w:p>
        </w:tc>
        <w:tc>
          <w:tcPr>
            <w:tcW w:w="1890" w:type="dxa"/>
            <w:shd w:val="clear" w:color="auto" w:fill="auto"/>
            <w:noWrap/>
            <w:vAlign w:val="bottom"/>
            <w:hideMark/>
          </w:tcPr>
          <w:p w14:paraId="2E7AD162" w14:textId="5E2FA6E4" w:rsidR="00C44CBC" w:rsidRPr="00310C52" w:rsidRDefault="00C44CBC" w:rsidP="0007292D">
            <w:pPr>
              <w:jc w:val="right"/>
              <w:rPr>
                <w:rFonts w:ascii="Arial" w:hAnsi="Arial" w:cs="Arial"/>
                <w:sz w:val="20"/>
                <w:szCs w:val="20"/>
              </w:rPr>
            </w:pPr>
            <w:r w:rsidRPr="00310C52">
              <w:rPr>
                <w:rFonts w:ascii="Arial" w:hAnsi="Arial" w:cs="Arial"/>
                <w:sz w:val="20"/>
                <w:szCs w:val="20"/>
              </w:rPr>
              <w:t>$</w:t>
            </w:r>
            <w:r w:rsidR="00313F72">
              <w:rPr>
                <w:rFonts w:ascii="Arial" w:hAnsi="Arial" w:cs="Arial"/>
                <w:sz w:val="20"/>
                <w:szCs w:val="20"/>
              </w:rPr>
              <w:t>386,800</w:t>
            </w:r>
          </w:p>
        </w:tc>
        <w:tc>
          <w:tcPr>
            <w:tcW w:w="1710" w:type="dxa"/>
            <w:shd w:val="clear" w:color="auto" w:fill="auto"/>
            <w:noWrap/>
            <w:vAlign w:val="bottom"/>
            <w:hideMark/>
          </w:tcPr>
          <w:p w14:paraId="38BF5E04" w14:textId="649C6840" w:rsidR="00C44CBC" w:rsidRPr="00310C52" w:rsidRDefault="00741B29" w:rsidP="0007292D">
            <w:pPr>
              <w:jc w:val="right"/>
              <w:rPr>
                <w:rFonts w:ascii="Arial" w:hAnsi="Arial" w:cs="Arial"/>
                <w:sz w:val="20"/>
                <w:szCs w:val="20"/>
              </w:rPr>
            </w:pPr>
            <w:r>
              <w:rPr>
                <w:rFonts w:ascii="Arial" w:hAnsi="Arial" w:cs="Arial"/>
                <w:sz w:val="20"/>
                <w:szCs w:val="20"/>
              </w:rPr>
              <w:t>$</w:t>
            </w:r>
            <w:r w:rsidR="00313F72">
              <w:rPr>
                <w:rFonts w:ascii="Arial" w:hAnsi="Arial" w:cs="Arial"/>
                <w:sz w:val="20"/>
                <w:szCs w:val="20"/>
              </w:rPr>
              <w:t>434,996</w:t>
            </w:r>
          </w:p>
        </w:tc>
        <w:tc>
          <w:tcPr>
            <w:tcW w:w="1710" w:type="dxa"/>
            <w:shd w:val="clear" w:color="auto" w:fill="auto"/>
            <w:noWrap/>
            <w:vAlign w:val="bottom"/>
            <w:hideMark/>
          </w:tcPr>
          <w:p w14:paraId="208688E3" w14:textId="7DEDAA2F" w:rsidR="00C44CBC" w:rsidRPr="00310C52" w:rsidRDefault="00313F72" w:rsidP="0007292D">
            <w:pPr>
              <w:jc w:val="right"/>
              <w:rPr>
                <w:rFonts w:ascii="Arial" w:hAnsi="Arial" w:cs="Arial"/>
                <w:sz w:val="20"/>
                <w:szCs w:val="20"/>
              </w:rPr>
            </w:pPr>
            <w:r>
              <w:rPr>
                <w:rFonts w:ascii="Arial" w:hAnsi="Arial" w:cs="Arial"/>
                <w:sz w:val="20"/>
                <w:szCs w:val="20"/>
              </w:rPr>
              <w:t>$48,196</w:t>
            </w:r>
          </w:p>
        </w:tc>
      </w:tr>
      <w:tr w:rsidR="00C44CBC" w:rsidRPr="00310C52" w14:paraId="015A91CA" w14:textId="77777777" w:rsidTr="00357F04">
        <w:trPr>
          <w:gridAfter w:val="2"/>
          <w:wAfter w:w="1577" w:type="dxa"/>
          <w:trHeight w:val="255"/>
        </w:trPr>
        <w:tc>
          <w:tcPr>
            <w:tcW w:w="3500" w:type="dxa"/>
            <w:shd w:val="clear" w:color="auto" w:fill="auto"/>
            <w:noWrap/>
            <w:vAlign w:val="bottom"/>
            <w:hideMark/>
          </w:tcPr>
          <w:p w14:paraId="012C641F"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Total Expenses before OH and tax</w:t>
            </w:r>
          </w:p>
        </w:tc>
        <w:tc>
          <w:tcPr>
            <w:tcW w:w="1890" w:type="dxa"/>
            <w:shd w:val="clear" w:color="auto" w:fill="auto"/>
            <w:noWrap/>
            <w:vAlign w:val="bottom"/>
            <w:hideMark/>
          </w:tcPr>
          <w:p w14:paraId="1F09B6EE" w14:textId="39F73F70"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Pr>
                <w:rFonts w:ascii="Arial" w:hAnsi="Arial" w:cs="Arial"/>
                <w:sz w:val="20"/>
                <w:szCs w:val="20"/>
              </w:rPr>
              <w:t>621,927)</w:t>
            </w:r>
          </w:p>
        </w:tc>
        <w:tc>
          <w:tcPr>
            <w:tcW w:w="1710" w:type="dxa"/>
            <w:shd w:val="clear" w:color="auto" w:fill="auto"/>
            <w:noWrap/>
            <w:vAlign w:val="bottom"/>
            <w:hideMark/>
          </w:tcPr>
          <w:p w14:paraId="52BB8EBE" w14:textId="654A239B"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Pr>
                <w:rFonts w:ascii="Arial" w:hAnsi="Arial" w:cs="Arial"/>
                <w:sz w:val="20"/>
                <w:szCs w:val="20"/>
              </w:rPr>
              <w:t>385,982)</w:t>
            </w:r>
          </w:p>
        </w:tc>
        <w:tc>
          <w:tcPr>
            <w:tcW w:w="1710" w:type="dxa"/>
            <w:shd w:val="clear" w:color="auto" w:fill="auto"/>
            <w:noWrap/>
            <w:vAlign w:val="bottom"/>
            <w:hideMark/>
          </w:tcPr>
          <w:p w14:paraId="006002E7" w14:textId="0431611C" w:rsidR="00C44CBC" w:rsidRPr="00310C52" w:rsidRDefault="00741B29" w:rsidP="00F00437">
            <w:pPr>
              <w:jc w:val="right"/>
              <w:rPr>
                <w:rFonts w:ascii="Arial" w:hAnsi="Arial" w:cs="Arial"/>
                <w:sz w:val="20"/>
                <w:szCs w:val="20"/>
              </w:rPr>
            </w:pPr>
            <w:r>
              <w:rPr>
                <w:rFonts w:ascii="Arial" w:hAnsi="Arial" w:cs="Arial"/>
                <w:sz w:val="20"/>
                <w:szCs w:val="20"/>
              </w:rPr>
              <w:t>$</w:t>
            </w:r>
            <w:r w:rsidR="00313F72">
              <w:rPr>
                <w:rFonts w:ascii="Arial" w:hAnsi="Arial" w:cs="Arial"/>
                <w:sz w:val="20"/>
                <w:szCs w:val="20"/>
              </w:rPr>
              <w:t>235,945</w:t>
            </w:r>
          </w:p>
        </w:tc>
      </w:tr>
      <w:tr w:rsidR="00C44CBC" w:rsidRPr="00310C52" w14:paraId="2928CB3B" w14:textId="77777777" w:rsidTr="00357F04">
        <w:trPr>
          <w:gridAfter w:val="2"/>
          <w:wAfter w:w="1577" w:type="dxa"/>
          <w:trHeight w:val="255"/>
        </w:trPr>
        <w:tc>
          <w:tcPr>
            <w:tcW w:w="3500" w:type="dxa"/>
            <w:shd w:val="clear" w:color="auto" w:fill="auto"/>
            <w:noWrap/>
            <w:vAlign w:val="bottom"/>
            <w:hideMark/>
          </w:tcPr>
          <w:p w14:paraId="5515594B"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Overhead and Tax</w:t>
            </w:r>
          </w:p>
        </w:tc>
        <w:tc>
          <w:tcPr>
            <w:tcW w:w="1890" w:type="dxa"/>
            <w:shd w:val="clear" w:color="auto" w:fill="auto"/>
            <w:noWrap/>
            <w:vAlign w:val="bottom"/>
            <w:hideMark/>
          </w:tcPr>
          <w:p w14:paraId="2F0F7753" w14:textId="34DB83D4"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Pr>
                <w:rFonts w:ascii="Arial" w:hAnsi="Arial" w:cs="Arial"/>
                <w:sz w:val="20"/>
                <w:szCs w:val="20"/>
              </w:rPr>
              <w:t>31,003)</w:t>
            </w:r>
          </w:p>
        </w:tc>
        <w:tc>
          <w:tcPr>
            <w:tcW w:w="1710" w:type="dxa"/>
            <w:shd w:val="clear" w:color="auto" w:fill="auto"/>
            <w:noWrap/>
            <w:vAlign w:val="bottom"/>
            <w:hideMark/>
          </w:tcPr>
          <w:p w14:paraId="7F618643" w14:textId="64332365" w:rsidR="00C44CBC" w:rsidRPr="00310C52" w:rsidRDefault="00313F72" w:rsidP="00DA3FCA">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Pr>
                <w:rFonts w:ascii="Arial" w:hAnsi="Arial" w:cs="Arial"/>
                <w:sz w:val="20"/>
                <w:szCs w:val="20"/>
              </w:rPr>
              <w:t>9,259)</w:t>
            </w:r>
          </w:p>
        </w:tc>
        <w:tc>
          <w:tcPr>
            <w:tcW w:w="1710" w:type="dxa"/>
            <w:shd w:val="clear" w:color="auto" w:fill="auto"/>
            <w:noWrap/>
            <w:vAlign w:val="bottom"/>
            <w:hideMark/>
          </w:tcPr>
          <w:p w14:paraId="5B68B3BF" w14:textId="3F5C2E0D" w:rsidR="00C44CBC" w:rsidRPr="00310C52" w:rsidRDefault="00741B29" w:rsidP="00F00437">
            <w:pPr>
              <w:jc w:val="right"/>
              <w:rPr>
                <w:rFonts w:ascii="Arial" w:hAnsi="Arial" w:cs="Arial"/>
                <w:sz w:val="20"/>
                <w:szCs w:val="20"/>
              </w:rPr>
            </w:pPr>
            <w:r>
              <w:rPr>
                <w:rFonts w:ascii="Arial" w:hAnsi="Arial" w:cs="Arial"/>
                <w:sz w:val="20"/>
                <w:szCs w:val="20"/>
              </w:rPr>
              <w:t>$</w:t>
            </w:r>
            <w:r w:rsidR="00313F72">
              <w:rPr>
                <w:rFonts w:ascii="Arial" w:hAnsi="Arial" w:cs="Arial"/>
                <w:sz w:val="20"/>
                <w:szCs w:val="20"/>
              </w:rPr>
              <w:t>21,744</w:t>
            </w:r>
          </w:p>
        </w:tc>
      </w:tr>
      <w:tr w:rsidR="00C44CBC" w:rsidRPr="00310C52" w14:paraId="08507902" w14:textId="77777777" w:rsidTr="00357F04">
        <w:trPr>
          <w:gridAfter w:val="2"/>
          <w:wAfter w:w="1577" w:type="dxa"/>
          <w:trHeight w:val="255"/>
        </w:trPr>
        <w:tc>
          <w:tcPr>
            <w:tcW w:w="3500" w:type="dxa"/>
            <w:shd w:val="clear" w:color="auto" w:fill="auto"/>
            <w:noWrap/>
            <w:vAlign w:val="bottom"/>
            <w:hideMark/>
          </w:tcPr>
          <w:p w14:paraId="1D095DC5" w14:textId="77777777" w:rsidR="00C44CBC" w:rsidRPr="00310C52" w:rsidRDefault="00C44CBC" w:rsidP="00F00437">
            <w:pPr>
              <w:jc w:val="right"/>
              <w:rPr>
                <w:rFonts w:ascii="Arial" w:hAnsi="Arial" w:cs="Arial"/>
                <w:b/>
                <w:sz w:val="20"/>
                <w:szCs w:val="20"/>
              </w:rPr>
            </w:pPr>
          </w:p>
        </w:tc>
        <w:tc>
          <w:tcPr>
            <w:tcW w:w="1890" w:type="dxa"/>
            <w:shd w:val="clear" w:color="auto" w:fill="auto"/>
            <w:noWrap/>
            <w:vAlign w:val="bottom"/>
            <w:hideMark/>
          </w:tcPr>
          <w:p w14:paraId="0B5EFF0C" w14:textId="77777777" w:rsidR="00C44CBC" w:rsidRPr="00310C52" w:rsidRDefault="00C44CBC" w:rsidP="00F00437">
            <w:pPr>
              <w:rPr>
                <w:rFonts w:ascii="Arial" w:hAnsi="Arial" w:cs="Arial"/>
                <w:sz w:val="20"/>
                <w:szCs w:val="20"/>
              </w:rPr>
            </w:pPr>
          </w:p>
        </w:tc>
        <w:tc>
          <w:tcPr>
            <w:tcW w:w="1710" w:type="dxa"/>
            <w:shd w:val="clear" w:color="auto" w:fill="auto"/>
            <w:noWrap/>
            <w:vAlign w:val="bottom"/>
            <w:hideMark/>
          </w:tcPr>
          <w:p w14:paraId="566B36D7" w14:textId="77777777" w:rsidR="00C44CBC" w:rsidRPr="00310C52" w:rsidRDefault="00C44CBC" w:rsidP="00F00437">
            <w:pPr>
              <w:rPr>
                <w:rFonts w:ascii="Arial" w:hAnsi="Arial" w:cs="Arial"/>
                <w:sz w:val="20"/>
                <w:szCs w:val="20"/>
              </w:rPr>
            </w:pPr>
          </w:p>
        </w:tc>
        <w:tc>
          <w:tcPr>
            <w:tcW w:w="1710" w:type="dxa"/>
            <w:shd w:val="clear" w:color="auto" w:fill="auto"/>
            <w:noWrap/>
            <w:vAlign w:val="bottom"/>
            <w:hideMark/>
          </w:tcPr>
          <w:p w14:paraId="6A23BAE2" w14:textId="77777777" w:rsidR="00C44CBC" w:rsidRPr="00310C52" w:rsidRDefault="00C44CBC" w:rsidP="00F00437">
            <w:pPr>
              <w:rPr>
                <w:rFonts w:ascii="Arial" w:hAnsi="Arial" w:cs="Arial"/>
                <w:sz w:val="20"/>
                <w:szCs w:val="20"/>
              </w:rPr>
            </w:pPr>
          </w:p>
        </w:tc>
      </w:tr>
      <w:tr w:rsidR="00C44CBC" w:rsidRPr="00310C52" w14:paraId="6DE71111" w14:textId="77777777" w:rsidTr="00357F04">
        <w:trPr>
          <w:gridAfter w:val="2"/>
          <w:wAfter w:w="1577" w:type="dxa"/>
          <w:trHeight w:val="255"/>
        </w:trPr>
        <w:tc>
          <w:tcPr>
            <w:tcW w:w="3500" w:type="dxa"/>
            <w:shd w:val="clear" w:color="auto" w:fill="auto"/>
            <w:noWrap/>
            <w:vAlign w:val="bottom"/>
            <w:hideMark/>
          </w:tcPr>
          <w:p w14:paraId="1602ED65" w14:textId="77777777" w:rsidR="00C44CBC" w:rsidRPr="00310C52" w:rsidRDefault="00C44CBC" w:rsidP="00F00437">
            <w:pPr>
              <w:jc w:val="right"/>
              <w:rPr>
                <w:rFonts w:ascii="Arial" w:hAnsi="Arial" w:cs="Arial"/>
                <w:b/>
                <w:sz w:val="20"/>
                <w:szCs w:val="20"/>
              </w:rPr>
            </w:pPr>
          </w:p>
        </w:tc>
        <w:tc>
          <w:tcPr>
            <w:tcW w:w="1890" w:type="dxa"/>
            <w:shd w:val="clear" w:color="auto" w:fill="auto"/>
            <w:noWrap/>
            <w:vAlign w:val="bottom"/>
            <w:hideMark/>
          </w:tcPr>
          <w:p w14:paraId="0959ECA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Budget</w:t>
            </w:r>
          </w:p>
        </w:tc>
        <w:tc>
          <w:tcPr>
            <w:tcW w:w="1710" w:type="dxa"/>
            <w:shd w:val="clear" w:color="auto" w:fill="auto"/>
            <w:noWrap/>
            <w:vAlign w:val="bottom"/>
            <w:hideMark/>
          </w:tcPr>
          <w:p w14:paraId="59D75AB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Actual</w:t>
            </w:r>
          </w:p>
        </w:tc>
        <w:tc>
          <w:tcPr>
            <w:tcW w:w="1710" w:type="dxa"/>
            <w:shd w:val="clear" w:color="auto" w:fill="auto"/>
            <w:noWrap/>
            <w:vAlign w:val="bottom"/>
            <w:hideMark/>
          </w:tcPr>
          <w:p w14:paraId="35BF045B" w14:textId="77777777" w:rsidR="00C44CBC" w:rsidRPr="00310C52" w:rsidRDefault="00C44CBC" w:rsidP="00F00437">
            <w:pPr>
              <w:rPr>
                <w:rFonts w:ascii="Arial" w:hAnsi="Arial" w:cs="Arial"/>
                <w:b/>
                <w:sz w:val="20"/>
                <w:szCs w:val="20"/>
              </w:rPr>
            </w:pPr>
            <w:r w:rsidRPr="00310C52">
              <w:rPr>
                <w:rFonts w:ascii="Arial" w:hAnsi="Arial" w:cs="Arial"/>
                <w:b/>
                <w:sz w:val="20"/>
                <w:szCs w:val="20"/>
              </w:rPr>
              <w:t>Variance</w:t>
            </w:r>
          </w:p>
        </w:tc>
      </w:tr>
      <w:tr w:rsidR="00C44CBC" w:rsidRPr="00310C52" w14:paraId="65C19B65" w14:textId="77777777" w:rsidTr="00357F04">
        <w:trPr>
          <w:gridAfter w:val="2"/>
          <w:wAfter w:w="1577" w:type="dxa"/>
          <w:trHeight w:val="255"/>
        </w:trPr>
        <w:tc>
          <w:tcPr>
            <w:tcW w:w="3500" w:type="dxa"/>
            <w:shd w:val="clear" w:color="auto" w:fill="auto"/>
            <w:noWrap/>
            <w:vAlign w:val="bottom"/>
            <w:hideMark/>
          </w:tcPr>
          <w:p w14:paraId="5486AE10"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Net Revenue (Expense)</w:t>
            </w:r>
          </w:p>
        </w:tc>
        <w:tc>
          <w:tcPr>
            <w:tcW w:w="1890" w:type="dxa"/>
            <w:shd w:val="clear" w:color="auto" w:fill="auto"/>
            <w:noWrap/>
            <w:vAlign w:val="bottom"/>
            <w:hideMark/>
          </w:tcPr>
          <w:p w14:paraId="4DD08370" w14:textId="21EB2127" w:rsidR="00C44CBC" w:rsidRPr="00310C52" w:rsidRDefault="00313F72" w:rsidP="00F00437">
            <w:pPr>
              <w:jc w:val="right"/>
              <w:rPr>
                <w:rFonts w:ascii="Arial" w:hAnsi="Arial" w:cs="Arial"/>
                <w:sz w:val="20"/>
                <w:szCs w:val="20"/>
              </w:rPr>
            </w:pPr>
            <w:r>
              <w:rPr>
                <w:rFonts w:ascii="Arial" w:hAnsi="Arial" w:cs="Arial"/>
                <w:sz w:val="20"/>
                <w:szCs w:val="20"/>
              </w:rPr>
              <w:t>(</w:t>
            </w:r>
            <w:r w:rsidR="00741B29">
              <w:rPr>
                <w:rFonts w:ascii="Arial" w:hAnsi="Arial" w:cs="Arial"/>
                <w:sz w:val="20"/>
                <w:szCs w:val="20"/>
              </w:rPr>
              <w:t>$</w:t>
            </w:r>
            <w:r>
              <w:rPr>
                <w:rFonts w:ascii="Arial" w:hAnsi="Arial" w:cs="Arial"/>
                <w:sz w:val="20"/>
                <w:szCs w:val="20"/>
              </w:rPr>
              <w:t>266,130</w:t>
            </w:r>
            <w:r w:rsidR="00741B29">
              <w:rPr>
                <w:rFonts w:ascii="Arial" w:hAnsi="Arial" w:cs="Arial"/>
                <w:sz w:val="20"/>
                <w:szCs w:val="20"/>
              </w:rPr>
              <w:t>)</w:t>
            </w:r>
          </w:p>
        </w:tc>
        <w:tc>
          <w:tcPr>
            <w:tcW w:w="1710" w:type="dxa"/>
            <w:shd w:val="clear" w:color="auto" w:fill="auto"/>
            <w:noWrap/>
            <w:vAlign w:val="bottom"/>
            <w:hideMark/>
          </w:tcPr>
          <w:p w14:paraId="534F418B" w14:textId="2D8CAEB8" w:rsidR="00C44CBC" w:rsidRPr="00310C52" w:rsidRDefault="00313F72" w:rsidP="00F00437">
            <w:pPr>
              <w:jc w:val="right"/>
              <w:rPr>
                <w:rFonts w:ascii="Arial" w:hAnsi="Arial" w:cs="Arial"/>
                <w:sz w:val="20"/>
                <w:szCs w:val="20"/>
              </w:rPr>
            </w:pPr>
            <w:r>
              <w:rPr>
                <w:rFonts w:ascii="Arial" w:hAnsi="Arial" w:cs="Arial"/>
                <w:sz w:val="20"/>
                <w:szCs w:val="20"/>
              </w:rPr>
              <w:t>$39,755</w:t>
            </w:r>
          </w:p>
        </w:tc>
        <w:tc>
          <w:tcPr>
            <w:tcW w:w="1710" w:type="dxa"/>
            <w:tcBorders>
              <w:bottom w:val="single" w:sz="4" w:space="0" w:color="auto"/>
            </w:tcBorders>
            <w:shd w:val="clear" w:color="auto" w:fill="auto"/>
            <w:noWrap/>
            <w:vAlign w:val="bottom"/>
            <w:hideMark/>
          </w:tcPr>
          <w:p w14:paraId="229253E1" w14:textId="3BE0ABE3" w:rsidR="00C44CBC" w:rsidRPr="00310C52" w:rsidRDefault="00313F72" w:rsidP="00F00437">
            <w:pPr>
              <w:jc w:val="right"/>
              <w:rPr>
                <w:rFonts w:ascii="Arial" w:hAnsi="Arial" w:cs="Arial"/>
                <w:sz w:val="20"/>
                <w:szCs w:val="20"/>
              </w:rPr>
            </w:pPr>
            <w:r>
              <w:rPr>
                <w:rFonts w:ascii="Arial" w:hAnsi="Arial" w:cs="Arial"/>
                <w:sz w:val="20"/>
                <w:szCs w:val="20"/>
              </w:rPr>
              <w:t>$305,885</w:t>
            </w:r>
          </w:p>
        </w:tc>
      </w:tr>
      <w:tr w:rsidR="00C44CBC" w:rsidRPr="00310C52" w14:paraId="37A09FC4" w14:textId="77777777" w:rsidTr="00357F04">
        <w:trPr>
          <w:trHeight w:val="323"/>
        </w:trPr>
        <w:tc>
          <w:tcPr>
            <w:tcW w:w="3500" w:type="dxa"/>
            <w:shd w:val="clear" w:color="auto" w:fill="auto"/>
            <w:noWrap/>
            <w:vAlign w:val="bottom"/>
            <w:hideMark/>
          </w:tcPr>
          <w:p w14:paraId="6A5B1D4F" w14:textId="77777777" w:rsidR="00C44CBC" w:rsidRPr="00310C52" w:rsidRDefault="00C44CBC" w:rsidP="00F00437">
            <w:pPr>
              <w:jc w:val="right"/>
              <w:rPr>
                <w:rFonts w:ascii="Arial" w:hAnsi="Arial" w:cs="Arial"/>
                <w:b/>
                <w:sz w:val="20"/>
                <w:szCs w:val="20"/>
              </w:rPr>
            </w:pPr>
          </w:p>
          <w:p w14:paraId="081A9E90" w14:textId="77777777" w:rsidR="00C44CBC" w:rsidRPr="00310C52" w:rsidRDefault="00C44CBC" w:rsidP="00F00437">
            <w:pPr>
              <w:jc w:val="right"/>
              <w:rPr>
                <w:rFonts w:ascii="Arial" w:hAnsi="Arial" w:cs="Arial"/>
                <w:b/>
                <w:sz w:val="20"/>
                <w:szCs w:val="20"/>
              </w:rPr>
            </w:pPr>
          </w:p>
          <w:p w14:paraId="4C17C8CB" w14:textId="4480466D" w:rsidR="00C44CBC" w:rsidRPr="00310C52" w:rsidRDefault="00C44CBC" w:rsidP="00F00437">
            <w:pPr>
              <w:jc w:val="right"/>
              <w:rPr>
                <w:rFonts w:ascii="Arial" w:hAnsi="Arial" w:cs="Arial"/>
                <w:b/>
                <w:sz w:val="20"/>
                <w:szCs w:val="20"/>
              </w:rPr>
            </w:pPr>
            <w:r w:rsidRPr="00310C52">
              <w:rPr>
                <w:rFonts w:ascii="Arial" w:hAnsi="Arial" w:cs="Arial"/>
                <w:b/>
                <w:sz w:val="20"/>
                <w:szCs w:val="20"/>
              </w:rPr>
              <w:t>Beginning NAB</w:t>
            </w:r>
          </w:p>
        </w:tc>
        <w:tc>
          <w:tcPr>
            <w:tcW w:w="1890" w:type="dxa"/>
          </w:tcPr>
          <w:p w14:paraId="087F9255" w14:textId="77777777" w:rsidR="00C44CBC" w:rsidRPr="00310C52" w:rsidRDefault="00C44CBC" w:rsidP="00F00437">
            <w:pPr>
              <w:rPr>
                <w:rFonts w:ascii="Arial" w:hAnsi="Arial" w:cs="Arial"/>
                <w:b/>
                <w:sz w:val="20"/>
                <w:szCs w:val="20"/>
              </w:rPr>
            </w:pPr>
          </w:p>
        </w:tc>
        <w:tc>
          <w:tcPr>
            <w:tcW w:w="1710" w:type="dxa"/>
            <w:shd w:val="clear" w:color="auto" w:fill="auto"/>
            <w:noWrap/>
            <w:vAlign w:val="bottom"/>
            <w:hideMark/>
          </w:tcPr>
          <w:p w14:paraId="477F032A" w14:textId="6291A54E" w:rsidR="00C44CBC" w:rsidRPr="00310C52" w:rsidRDefault="00C44CBC" w:rsidP="00F00437">
            <w:pPr>
              <w:rPr>
                <w:rFonts w:ascii="Arial" w:hAnsi="Arial" w:cs="Arial"/>
                <w:b/>
                <w:sz w:val="20"/>
                <w:szCs w:val="20"/>
              </w:rPr>
            </w:pPr>
            <w:r w:rsidRPr="00310C52">
              <w:rPr>
                <w:rFonts w:ascii="Arial" w:hAnsi="Arial" w:cs="Arial"/>
                <w:b/>
                <w:sz w:val="20"/>
                <w:szCs w:val="20"/>
              </w:rPr>
              <w:t>Ending NAB</w:t>
            </w:r>
          </w:p>
        </w:tc>
        <w:tc>
          <w:tcPr>
            <w:tcW w:w="1710" w:type="dxa"/>
            <w:shd w:val="clear" w:color="auto" w:fill="auto"/>
            <w:noWrap/>
            <w:vAlign w:val="bottom"/>
            <w:hideMark/>
          </w:tcPr>
          <w:p w14:paraId="6EA93FEA" w14:textId="15A6997A" w:rsidR="00C44CBC" w:rsidRPr="00310C52" w:rsidRDefault="00C44CBC" w:rsidP="00F00437">
            <w:pPr>
              <w:rPr>
                <w:rFonts w:ascii="Arial" w:hAnsi="Arial" w:cs="Arial"/>
                <w:b/>
                <w:sz w:val="20"/>
                <w:szCs w:val="20"/>
              </w:rPr>
            </w:pPr>
          </w:p>
        </w:tc>
        <w:tc>
          <w:tcPr>
            <w:tcW w:w="236" w:type="dxa"/>
            <w:tcBorders>
              <w:top w:val="nil"/>
              <w:left w:val="single" w:sz="4" w:space="0" w:color="auto"/>
              <w:bottom w:val="nil"/>
              <w:right w:val="nil"/>
            </w:tcBorders>
            <w:shd w:val="clear" w:color="auto" w:fill="auto"/>
            <w:noWrap/>
            <w:vAlign w:val="bottom"/>
            <w:hideMark/>
          </w:tcPr>
          <w:p w14:paraId="75C14A00" w14:textId="77777777" w:rsidR="00C44CBC" w:rsidRPr="00310C52" w:rsidRDefault="00C44CBC"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C44CBC" w:rsidRPr="00310C52" w:rsidRDefault="00C44CBC" w:rsidP="00F00437">
            <w:pPr>
              <w:rPr>
                <w:rFonts w:ascii="Arial" w:hAnsi="Arial" w:cs="Arial"/>
                <w:sz w:val="20"/>
                <w:szCs w:val="20"/>
              </w:rPr>
            </w:pPr>
          </w:p>
        </w:tc>
      </w:tr>
      <w:tr w:rsidR="00C44CBC" w:rsidRPr="00310C52" w14:paraId="2EB98A3C" w14:textId="77777777" w:rsidTr="00357F04">
        <w:trPr>
          <w:trHeight w:val="255"/>
        </w:trPr>
        <w:tc>
          <w:tcPr>
            <w:tcW w:w="3500" w:type="dxa"/>
            <w:shd w:val="clear" w:color="auto" w:fill="auto"/>
            <w:noWrap/>
            <w:vAlign w:val="bottom"/>
            <w:hideMark/>
          </w:tcPr>
          <w:p w14:paraId="281DE258" w14:textId="71EBA4D8" w:rsidR="00C44CBC" w:rsidRPr="00310C52" w:rsidRDefault="00741B29" w:rsidP="00F00437">
            <w:pPr>
              <w:jc w:val="right"/>
              <w:rPr>
                <w:rFonts w:ascii="Arial" w:hAnsi="Arial" w:cs="Arial"/>
                <w:sz w:val="20"/>
                <w:szCs w:val="20"/>
              </w:rPr>
            </w:pPr>
            <w:r>
              <w:rPr>
                <w:rFonts w:ascii="Arial" w:hAnsi="Arial" w:cs="Arial"/>
                <w:sz w:val="20"/>
                <w:szCs w:val="20"/>
              </w:rPr>
              <w:t>TBD</w:t>
            </w:r>
          </w:p>
        </w:tc>
        <w:tc>
          <w:tcPr>
            <w:tcW w:w="1890" w:type="dxa"/>
          </w:tcPr>
          <w:p w14:paraId="026D4C6D" w14:textId="77777777" w:rsidR="00C44CBC" w:rsidRPr="00310C52" w:rsidRDefault="00C44CBC" w:rsidP="00F00437">
            <w:pPr>
              <w:jc w:val="right"/>
              <w:rPr>
                <w:rFonts w:ascii="Arial" w:hAnsi="Arial" w:cs="Arial"/>
                <w:sz w:val="20"/>
                <w:szCs w:val="20"/>
              </w:rPr>
            </w:pPr>
          </w:p>
        </w:tc>
        <w:tc>
          <w:tcPr>
            <w:tcW w:w="1710" w:type="dxa"/>
            <w:shd w:val="clear" w:color="auto" w:fill="auto"/>
            <w:noWrap/>
            <w:vAlign w:val="bottom"/>
            <w:hideMark/>
          </w:tcPr>
          <w:p w14:paraId="1D811007" w14:textId="27B67D08" w:rsidR="00C44CBC" w:rsidRPr="00310C52" w:rsidRDefault="00741B29" w:rsidP="00F00437">
            <w:pPr>
              <w:jc w:val="right"/>
              <w:rPr>
                <w:rFonts w:ascii="Arial" w:hAnsi="Arial" w:cs="Arial"/>
                <w:sz w:val="20"/>
                <w:szCs w:val="20"/>
              </w:rPr>
            </w:pPr>
            <w:r>
              <w:rPr>
                <w:rFonts w:ascii="Arial" w:hAnsi="Arial" w:cs="Arial"/>
                <w:sz w:val="20"/>
                <w:szCs w:val="20"/>
              </w:rPr>
              <w:t>TBD</w:t>
            </w:r>
          </w:p>
        </w:tc>
        <w:tc>
          <w:tcPr>
            <w:tcW w:w="1710" w:type="dxa"/>
            <w:shd w:val="clear" w:color="auto" w:fill="auto"/>
            <w:noWrap/>
            <w:vAlign w:val="bottom"/>
            <w:hideMark/>
          </w:tcPr>
          <w:p w14:paraId="7B50B003" w14:textId="17904B54" w:rsidR="00C44CBC" w:rsidRPr="00310C52" w:rsidRDefault="00C44CBC" w:rsidP="00DA3FCA">
            <w:pPr>
              <w:jc w:val="right"/>
              <w:rPr>
                <w:rFonts w:ascii="Arial" w:hAnsi="Arial" w:cs="Arial"/>
                <w:sz w:val="20"/>
                <w:szCs w:val="20"/>
              </w:rPr>
            </w:pPr>
          </w:p>
        </w:tc>
        <w:tc>
          <w:tcPr>
            <w:tcW w:w="236" w:type="dxa"/>
            <w:tcBorders>
              <w:top w:val="nil"/>
              <w:left w:val="single" w:sz="4" w:space="0" w:color="auto"/>
              <w:bottom w:val="nil"/>
              <w:right w:val="nil"/>
            </w:tcBorders>
            <w:shd w:val="clear" w:color="auto" w:fill="auto"/>
            <w:noWrap/>
            <w:vAlign w:val="bottom"/>
            <w:hideMark/>
          </w:tcPr>
          <w:p w14:paraId="1E96F131" w14:textId="77777777" w:rsidR="00C44CBC" w:rsidRPr="00310C52" w:rsidRDefault="00C44CBC"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C44CBC" w:rsidRPr="00310C52" w:rsidRDefault="00C44CBC" w:rsidP="00F00437">
            <w:pPr>
              <w:rPr>
                <w:rFonts w:ascii="Arial" w:hAnsi="Arial" w:cs="Arial"/>
                <w:sz w:val="20"/>
                <w:szCs w:val="20"/>
              </w:rPr>
            </w:pPr>
          </w:p>
        </w:tc>
      </w:tr>
    </w:tbl>
    <w:p w14:paraId="6069532A" w14:textId="35F496E9" w:rsidR="00C34D30" w:rsidRDefault="00C34D30" w:rsidP="00066FDA">
      <w:pPr>
        <w:rPr>
          <w:rFonts w:asciiTheme="minorHAnsi" w:hAnsiTheme="minorHAnsi" w:cstheme="minorHAnsi"/>
        </w:rPr>
      </w:pPr>
    </w:p>
    <w:p w14:paraId="77DF10EC" w14:textId="5BC3815B" w:rsidR="00386212" w:rsidRDefault="00FC72B4" w:rsidP="00C4715C">
      <w:pPr>
        <w:rPr>
          <w:rFonts w:asciiTheme="minorHAnsi" w:hAnsiTheme="minorHAnsi" w:cstheme="minorHAnsi"/>
        </w:rPr>
      </w:pPr>
      <w:r w:rsidRPr="00310C52">
        <w:rPr>
          <w:rFonts w:asciiTheme="minorHAnsi" w:hAnsiTheme="minorHAnsi" w:cstheme="minorHAnsi"/>
          <w:u w:val="single"/>
        </w:rPr>
        <w:t>Operating Budget:</w:t>
      </w:r>
      <w:r w:rsidRPr="00310C52">
        <w:rPr>
          <w:rFonts w:asciiTheme="minorHAnsi" w:hAnsiTheme="minorHAnsi" w:cstheme="minorHAnsi"/>
        </w:rPr>
        <w:t xml:space="preserve"> </w:t>
      </w:r>
      <w:r w:rsidR="0077529F" w:rsidRPr="00310C52">
        <w:rPr>
          <w:rFonts w:asciiTheme="minorHAnsi" w:hAnsiTheme="minorHAnsi" w:cstheme="minorHAnsi"/>
        </w:rPr>
        <w:t xml:space="preserve"> </w:t>
      </w:r>
      <w:r w:rsidR="00C4715C" w:rsidRPr="00310C52">
        <w:rPr>
          <w:rFonts w:asciiTheme="minorHAnsi" w:hAnsiTheme="minorHAnsi" w:cstheme="minorHAnsi"/>
        </w:rPr>
        <w:t>As of</w:t>
      </w:r>
      <w:r w:rsidR="00CC0A08" w:rsidRPr="00310C52">
        <w:rPr>
          <w:rFonts w:asciiTheme="minorHAnsi" w:hAnsiTheme="minorHAnsi" w:cstheme="minorHAnsi"/>
        </w:rPr>
        <w:t xml:space="preserve"> </w:t>
      </w:r>
      <w:r w:rsidR="00765650">
        <w:rPr>
          <w:rFonts w:asciiTheme="minorHAnsi" w:hAnsiTheme="minorHAnsi" w:cstheme="minorHAnsi"/>
        </w:rPr>
        <w:t>February 2021</w:t>
      </w:r>
      <w:r w:rsidR="00C4715C" w:rsidRPr="00310C52">
        <w:rPr>
          <w:rFonts w:asciiTheme="minorHAnsi" w:hAnsiTheme="minorHAnsi" w:cstheme="minorHAnsi"/>
        </w:rPr>
        <w:t>, PLA ha</w:t>
      </w:r>
      <w:r w:rsidR="00E80B1E" w:rsidRPr="00310C52">
        <w:rPr>
          <w:rFonts w:asciiTheme="minorHAnsi" w:hAnsiTheme="minorHAnsi" w:cstheme="minorHAnsi"/>
        </w:rPr>
        <w:t>s</w:t>
      </w:r>
      <w:r w:rsidR="0036151E">
        <w:rPr>
          <w:rFonts w:asciiTheme="minorHAnsi" w:hAnsiTheme="minorHAnsi" w:cstheme="minorHAnsi"/>
        </w:rPr>
        <w:t xml:space="preserve"> </w:t>
      </w:r>
      <w:r w:rsidR="00E80B1E" w:rsidRPr="00310C52">
        <w:rPr>
          <w:rFonts w:asciiTheme="minorHAnsi" w:hAnsiTheme="minorHAnsi" w:cstheme="minorHAnsi"/>
        </w:rPr>
        <w:t xml:space="preserve">actual net </w:t>
      </w:r>
      <w:r w:rsidR="00765650">
        <w:rPr>
          <w:rFonts w:asciiTheme="minorHAnsi" w:hAnsiTheme="minorHAnsi" w:cstheme="minorHAnsi"/>
        </w:rPr>
        <w:t xml:space="preserve">revenue </w:t>
      </w:r>
      <w:r w:rsidR="0036151E">
        <w:rPr>
          <w:rFonts w:asciiTheme="minorHAnsi" w:hAnsiTheme="minorHAnsi" w:cstheme="minorHAnsi"/>
        </w:rPr>
        <w:t>of $</w:t>
      </w:r>
      <w:r w:rsidR="00765650">
        <w:rPr>
          <w:rFonts w:asciiTheme="minorHAnsi" w:hAnsiTheme="minorHAnsi" w:cstheme="minorHAnsi"/>
        </w:rPr>
        <w:t>39,755,</w:t>
      </w:r>
      <w:r w:rsidR="00E80B1E" w:rsidRPr="00310C52">
        <w:rPr>
          <w:rFonts w:asciiTheme="minorHAnsi" w:hAnsiTheme="minorHAnsi" w:cstheme="minorHAnsi"/>
        </w:rPr>
        <w:t xml:space="preserve"> compared to a budget </w:t>
      </w:r>
      <w:r w:rsidR="0036151E">
        <w:rPr>
          <w:rFonts w:asciiTheme="minorHAnsi" w:hAnsiTheme="minorHAnsi" w:cstheme="minorHAnsi"/>
        </w:rPr>
        <w:t xml:space="preserve">net expense </w:t>
      </w:r>
      <w:r w:rsidR="00765650">
        <w:rPr>
          <w:rFonts w:asciiTheme="minorHAnsi" w:hAnsiTheme="minorHAnsi" w:cstheme="minorHAnsi"/>
        </w:rPr>
        <w:t xml:space="preserve">(loss) </w:t>
      </w:r>
      <w:r w:rsidR="0036151E">
        <w:rPr>
          <w:rFonts w:asciiTheme="minorHAnsi" w:hAnsiTheme="minorHAnsi" w:cstheme="minorHAnsi"/>
        </w:rPr>
        <w:t>of</w:t>
      </w:r>
      <w:r w:rsidR="00E80B1E" w:rsidRPr="00310C52">
        <w:rPr>
          <w:rFonts w:asciiTheme="minorHAnsi" w:hAnsiTheme="minorHAnsi" w:cstheme="minorHAnsi"/>
        </w:rPr>
        <w:t xml:space="preserve"> $</w:t>
      </w:r>
      <w:r w:rsidR="00765650">
        <w:rPr>
          <w:rFonts w:asciiTheme="minorHAnsi" w:hAnsiTheme="minorHAnsi" w:cstheme="minorHAnsi"/>
        </w:rPr>
        <w:t>266,130</w:t>
      </w:r>
      <w:r w:rsidR="00E80B1E" w:rsidRPr="00310C52">
        <w:rPr>
          <w:rFonts w:asciiTheme="minorHAnsi" w:hAnsiTheme="minorHAnsi" w:cstheme="minorHAnsi"/>
        </w:rPr>
        <w:t xml:space="preserve">. </w:t>
      </w:r>
      <w:r w:rsidR="0036151E">
        <w:rPr>
          <w:rFonts w:asciiTheme="minorHAnsi" w:hAnsiTheme="minorHAnsi" w:cstheme="minorHAnsi"/>
        </w:rPr>
        <w:t>(FY21 is a non-conference year for PLA, so</w:t>
      </w:r>
      <w:r w:rsidR="00874050">
        <w:rPr>
          <w:rFonts w:asciiTheme="minorHAnsi" w:hAnsiTheme="minorHAnsi" w:cstheme="minorHAnsi"/>
        </w:rPr>
        <w:t xml:space="preserve"> </w:t>
      </w:r>
      <w:r w:rsidR="00E85518">
        <w:rPr>
          <w:rFonts w:asciiTheme="minorHAnsi" w:hAnsiTheme="minorHAnsi" w:cstheme="minorHAnsi"/>
        </w:rPr>
        <w:t>PLA</w:t>
      </w:r>
      <w:r w:rsidR="00874050">
        <w:rPr>
          <w:rFonts w:asciiTheme="minorHAnsi" w:hAnsiTheme="minorHAnsi" w:cstheme="minorHAnsi"/>
        </w:rPr>
        <w:t xml:space="preserve"> is budgeted for a total net </w:t>
      </w:r>
      <w:r w:rsidR="00765650">
        <w:rPr>
          <w:rFonts w:asciiTheme="minorHAnsi" w:hAnsiTheme="minorHAnsi" w:cstheme="minorHAnsi"/>
        </w:rPr>
        <w:t>loss</w:t>
      </w:r>
      <w:r w:rsidR="00874050">
        <w:rPr>
          <w:rFonts w:asciiTheme="minorHAnsi" w:hAnsiTheme="minorHAnsi" w:cstheme="minorHAnsi"/>
        </w:rPr>
        <w:t xml:space="preserve"> of $563,947.)</w:t>
      </w:r>
      <w:r w:rsidR="00051D01">
        <w:rPr>
          <w:rFonts w:asciiTheme="minorHAnsi" w:hAnsiTheme="minorHAnsi" w:cstheme="minorHAnsi"/>
        </w:rPr>
        <w:t xml:space="preserve"> This favorable position</w:t>
      </w:r>
      <w:r w:rsidR="00386212">
        <w:rPr>
          <w:rFonts w:asciiTheme="minorHAnsi" w:hAnsiTheme="minorHAnsi" w:cstheme="minorHAnsi"/>
        </w:rPr>
        <w:t xml:space="preserve"> </w:t>
      </w:r>
      <w:r w:rsidR="00051D01">
        <w:rPr>
          <w:rFonts w:asciiTheme="minorHAnsi" w:hAnsiTheme="minorHAnsi" w:cstheme="minorHAnsi"/>
        </w:rPr>
        <w:t xml:space="preserve">is </w:t>
      </w:r>
      <w:r w:rsidR="00386212">
        <w:rPr>
          <w:rFonts w:asciiTheme="minorHAnsi" w:hAnsiTheme="minorHAnsi" w:cstheme="minorHAnsi"/>
        </w:rPr>
        <w:t>due to the following:</w:t>
      </w:r>
    </w:p>
    <w:p w14:paraId="63090A06" w14:textId="77777777" w:rsidR="00386212" w:rsidRDefault="00386212" w:rsidP="00C4715C">
      <w:pPr>
        <w:rPr>
          <w:rFonts w:asciiTheme="minorHAnsi" w:hAnsiTheme="minorHAnsi" w:cstheme="minorHAnsi"/>
        </w:rPr>
      </w:pPr>
    </w:p>
    <w:p w14:paraId="392E62DE" w14:textId="7FC26007" w:rsidR="00386212" w:rsidRPr="001906E9" w:rsidRDefault="00386212" w:rsidP="00386212">
      <w:pPr>
        <w:pStyle w:val="ListParagraph"/>
        <w:numPr>
          <w:ilvl w:val="0"/>
          <w:numId w:val="10"/>
        </w:numPr>
        <w:rPr>
          <w:rFonts w:asciiTheme="minorHAnsi" w:hAnsiTheme="minorHAnsi" w:cstheme="minorHAnsi"/>
          <w:u w:val="single"/>
        </w:rPr>
      </w:pPr>
      <w:proofErr w:type="gramStart"/>
      <w:r>
        <w:rPr>
          <w:rFonts w:asciiTheme="minorHAnsi" w:hAnsiTheme="minorHAnsi" w:cstheme="minorHAnsi"/>
        </w:rPr>
        <w:t>D</w:t>
      </w:r>
      <w:r w:rsidR="004A2B57" w:rsidRPr="00386212">
        <w:rPr>
          <w:rFonts w:asciiTheme="minorHAnsi" w:hAnsiTheme="minorHAnsi" w:cstheme="minorHAnsi"/>
        </w:rPr>
        <w:t>ues</w:t>
      </w:r>
      <w:proofErr w:type="gramEnd"/>
      <w:r w:rsidR="004A2B57" w:rsidRPr="00386212">
        <w:rPr>
          <w:rFonts w:asciiTheme="minorHAnsi" w:hAnsiTheme="minorHAnsi" w:cstheme="minorHAnsi"/>
        </w:rPr>
        <w:t xml:space="preserve"> income </w:t>
      </w:r>
      <w:r>
        <w:rPr>
          <w:rFonts w:asciiTheme="minorHAnsi" w:hAnsiTheme="minorHAnsi" w:cstheme="minorHAnsi"/>
        </w:rPr>
        <w:t xml:space="preserve">is </w:t>
      </w:r>
      <w:r w:rsidR="004A2B57" w:rsidRPr="00386212">
        <w:rPr>
          <w:rFonts w:asciiTheme="minorHAnsi" w:hAnsiTheme="minorHAnsi" w:cstheme="minorHAnsi"/>
        </w:rPr>
        <w:t xml:space="preserve">exceeding budget </w:t>
      </w:r>
      <w:r>
        <w:rPr>
          <w:rFonts w:asciiTheme="minorHAnsi" w:hAnsiTheme="minorHAnsi" w:cstheme="minorHAnsi"/>
        </w:rPr>
        <w:t xml:space="preserve">substantially. </w:t>
      </w:r>
      <w:proofErr w:type="gramStart"/>
      <w:r>
        <w:rPr>
          <w:rFonts w:asciiTheme="minorHAnsi" w:hAnsiTheme="minorHAnsi" w:cstheme="minorHAnsi"/>
        </w:rPr>
        <w:t>Dues</w:t>
      </w:r>
      <w:proofErr w:type="gramEnd"/>
      <w:r w:rsidRPr="00415C44">
        <w:rPr>
          <w:rFonts w:asciiTheme="minorHAnsi" w:hAnsiTheme="minorHAnsi" w:cstheme="minorHAnsi"/>
        </w:rPr>
        <w:t xml:space="preserve"> revenue </w:t>
      </w:r>
      <w:r>
        <w:rPr>
          <w:rFonts w:asciiTheme="minorHAnsi" w:hAnsiTheme="minorHAnsi" w:cstheme="minorHAnsi"/>
        </w:rPr>
        <w:t xml:space="preserve">was exactly on target as of the first quarter reports. </w:t>
      </w:r>
      <w:r w:rsidR="00E85518">
        <w:rPr>
          <w:rFonts w:asciiTheme="minorHAnsi" w:hAnsiTheme="minorHAnsi" w:cstheme="minorHAnsi"/>
        </w:rPr>
        <w:t>At the</w:t>
      </w:r>
      <w:r>
        <w:rPr>
          <w:rFonts w:asciiTheme="minorHAnsi" w:hAnsiTheme="minorHAnsi" w:cstheme="minorHAnsi"/>
        </w:rPr>
        <w:t xml:space="preserve"> six-month mark, dues </w:t>
      </w:r>
      <w:proofErr w:type="gramStart"/>
      <w:r>
        <w:rPr>
          <w:rFonts w:asciiTheme="minorHAnsi" w:hAnsiTheme="minorHAnsi" w:cstheme="minorHAnsi"/>
        </w:rPr>
        <w:t>is</w:t>
      </w:r>
      <w:proofErr w:type="gramEnd"/>
      <w:r>
        <w:rPr>
          <w:rFonts w:asciiTheme="minorHAnsi" w:hAnsiTheme="minorHAnsi" w:cstheme="minorHAnsi"/>
        </w:rPr>
        <w:t xml:space="preserve"> nearly one-third, or $80,728, over budget. ALA divisions including PLA budgeted dues income at about 2/3 of a normal year, anticipating that the COVID-19 pandemic and other factors would reduce membership. While a normal non-conference year might </w:t>
      </w:r>
      <w:r w:rsidR="00E85518">
        <w:rPr>
          <w:rFonts w:asciiTheme="minorHAnsi" w:hAnsiTheme="minorHAnsi" w:cstheme="minorHAnsi"/>
        </w:rPr>
        <w:t>yield</w:t>
      </w:r>
      <w:r>
        <w:rPr>
          <w:rFonts w:asciiTheme="minorHAnsi" w:hAnsiTheme="minorHAnsi" w:cstheme="minorHAnsi"/>
        </w:rPr>
        <w:t xml:space="preserve"> $550,000 in PLA member dues, only $387,200 was budgeted. At the current rate, PLA is likely to see dues near $550,000 as usual.</w:t>
      </w:r>
    </w:p>
    <w:p w14:paraId="1D575885" w14:textId="4393B364" w:rsidR="00386212" w:rsidRPr="00386212" w:rsidRDefault="00386212" w:rsidP="00386212">
      <w:pPr>
        <w:rPr>
          <w:rFonts w:asciiTheme="minorHAnsi" w:hAnsiTheme="minorHAnsi" w:cstheme="minorHAnsi"/>
        </w:rPr>
      </w:pPr>
    </w:p>
    <w:p w14:paraId="414CE4FA" w14:textId="1191C8B3" w:rsidR="0077529F" w:rsidRDefault="00386212" w:rsidP="00386212">
      <w:pPr>
        <w:pStyle w:val="ListParagraph"/>
        <w:numPr>
          <w:ilvl w:val="0"/>
          <w:numId w:val="10"/>
        </w:numPr>
        <w:rPr>
          <w:rFonts w:asciiTheme="minorHAnsi" w:hAnsiTheme="minorHAnsi" w:cstheme="minorHAnsi"/>
        </w:rPr>
      </w:pPr>
      <w:r>
        <w:rPr>
          <w:rFonts w:asciiTheme="minorHAnsi" w:hAnsiTheme="minorHAnsi" w:cstheme="minorHAnsi"/>
        </w:rPr>
        <w:t xml:space="preserve">PLA’s paid webinars were already selling well, with six-month revenue at $38,259 against budgeted revenue of $26,000. On top of that, PLA received a </w:t>
      </w:r>
      <w:r w:rsidR="00F055C8" w:rsidRPr="00386212">
        <w:rPr>
          <w:rFonts w:asciiTheme="minorHAnsi" w:hAnsiTheme="minorHAnsi" w:cstheme="minorHAnsi"/>
        </w:rPr>
        <w:t xml:space="preserve">$100,000 fund transfer </w:t>
      </w:r>
      <w:r>
        <w:rPr>
          <w:rFonts w:asciiTheme="minorHAnsi" w:hAnsiTheme="minorHAnsi" w:cstheme="minorHAnsi"/>
        </w:rPr>
        <w:t xml:space="preserve">from the Washington Office </w:t>
      </w:r>
      <w:r w:rsidR="00F055C8" w:rsidRPr="00386212">
        <w:rPr>
          <w:rFonts w:asciiTheme="minorHAnsi" w:hAnsiTheme="minorHAnsi" w:cstheme="minorHAnsi"/>
        </w:rPr>
        <w:t>to underwrite PLA’s census data literacy project work</w:t>
      </w:r>
      <w:r>
        <w:rPr>
          <w:rFonts w:asciiTheme="minorHAnsi" w:hAnsiTheme="minorHAnsi" w:cstheme="minorHAnsi"/>
        </w:rPr>
        <w:t>, credited to PLA’s Web CE account (because most activity will be webinars). Therefore, as of February 2021, PLA’s Web CE account is showing net revenue of $126,768. Even with the additional expenses due to the census data webinars, PLA will end the year significantly higher than the budgeted net revenue of $39,875.</w:t>
      </w:r>
      <w:r w:rsidR="007542ED">
        <w:rPr>
          <w:rFonts w:asciiTheme="minorHAnsi" w:hAnsiTheme="minorHAnsi" w:cstheme="minorHAnsi"/>
        </w:rPr>
        <w:t xml:space="preserve"> (Note, the census data literacy project will continue into FY22. Because all revenue was credited to FY21, PLA’s Web CE project may show less net revenue or even a loss in FY22 as this sub-project spends down its funds.)</w:t>
      </w:r>
    </w:p>
    <w:p w14:paraId="516FFEE3" w14:textId="0D26FE01" w:rsidR="008F4988" w:rsidRDefault="008F4988" w:rsidP="00CD716D">
      <w:pPr>
        <w:pStyle w:val="ListParagraph"/>
        <w:ind w:left="360"/>
        <w:rPr>
          <w:rFonts w:asciiTheme="minorHAnsi" w:hAnsiTheme="minorHAnsi" w:cstheme="minorHAnsi"/>
        </w:rPr>
      </w:pPr>
    </w:p>
    <w:p w14:paraId="59817C06" w14:textId="0AAF4FAE" w:rsidR="00CD716D" w:rsidRPr="00CD716D" w:rsidRDefault="00CD716D" w:rsidP="00CD716D">
      <w:pPr>
        <w:pStyle w:val="ListParagraph"/>
        <w:numPr>
          <w:ilvl w:val="0"/>
          <w:numId w:val="10"/>
        </w:numPr>
        <w:rPr>
          <w:rFonts w:asciiTheme="minorHAnsi" w:hAnsiTheme="minorHAnsi" w:cstheme="minorHAnsi"/>
          <w:u w:val="single"/>
        </w:rPr>
      </w:pPr>
      <w:r>
        <w:rPr>
          <w:rFonts w:asciiTheme="minorHAnsi" w:hAnsiTheme="minorHAnsi" w:cstheme="minorHAnsi"/>
        </w:rPr>
        <w:t>Live p</w:t>
      </w:r>
      <w:r w:rsidRPr="00B54D65">
        <w:rPr>
          <w:rFonts w:asciiTheme="minorHAnsi" w:hAnsiTheme="minorHAnsi" w:cstheme="minorHAnsi"/>
        </w:rPr>
        <w:t xml:space="preserve">rofessional development activities </w:t>
      </w:r>
      <w:r>
        <w:rPr>
          <w:rFonts w:asciiTheme="minorHAnsi" w:hAnsiTheme="minorHAnsi" w:cstheme="minorHAnsi"/>
        </w:rPr>
        <w:t xml:space="preserve">were </w:t>
      </w:r>
      <w:r w:rsidRPr="00B54D65">
        <w:rPr>
          <w:rFonts w:asciiTheme="minorHAnsi" w:hAnsiTheme="minorHAnsi" w:cstheme="minorHAnsi"/>
        </w:rPr>
        <w:t xml:space="preserve">optimistically budgeted </w:t>
      </w:r>
      <w:r>
        <w:rPr>
          <w:rFonts w:asciiTheme="minorHAnsi" w:hAnsiTheme="minorHAnsi" w:cstheme="minorHAnsi"/>
        </w:rPr>
        <w:t>for</w:t>
      </w:r>
      <w:r w:rsidRPr="00B54D65">
        <w:rPr>
          <w:rFonts w:asciiTheme="minorHAnsi" w:hAnsiTheme="minorHAnsi" w:cstheme="minorHAnsi"/>
        </w:rPr>
        <w:t xml:space="preserve"> FY21</w:t>
      </w:r>
      <w:r>
        <w:rPr>
          <w:rFonts w:asciiTheme="minorHAnsi" w:hAnsiTheme="minorHAnsi" w:cstheme="minorHAnsi"/>
        </w:rPr>
        <w:t xml:space="preserve">, and they will not be held.  These include space planning, Equity Starts with Us, and Project Outcome trainings. Since these events are not being held, expenses have been minimal, and it only took one pivot (offering the new </w:t>
      </w:r>
      <w:r w:rsidR="007542ED">
        <w:rPr>
          <w:rFonts w:asciiTheme="minorHAnsi" w:hAnsiTheme="minorHAnsi" w:cstheme="minorHAnsi"/>
        </w:rPr>
        <w:t xml:space="preserve">EDISJ </w:t>
      </w:r>
      <w:r>
        <w:rPr>
          <w:rFonts w:asciiTheme="minorHAnsi" w:hAnsiTheme="minorHAnsi" w:cstheme="minorHAnsi"/>
        </w:rPr>
        <w:t>Leadership Lab series</w:t>
      </w:r>
      <w:r w:rsidR="007542ED">
        <w:rPr>
          <w:rFonts w:asciiTheme="minorHAnsi" w:hAnsiTheme="minorHAnsi" w:cstheme="minorHAnsi"/>
        </w:rPr>
        <w:t>,</w:t>
      </w:r>
      <w:r>
        <w:rPr>
          <w:rFonts w:asciiTheme="minorHAnsi" w:hAnsiTheme="minorHAnsi" w:cstheme="minorHAnsi"/>
        </w:rPr>
        <w:t xml:space="preserve"> virtually) to generate net revenue </w:t>
      </w:r>
      <w:r>
        <w:rPr>
          <w:rFonts w:asciiTheme="minorHAnsi" w:hAnsiTheme="minorHAnsi" w:cstheme="minorHAnsi"/>
          <w:i/>
          <w:iCs/>
        </w:rPr>
        <w:t xml:space="preserve">higher than what all three activities would have generated if </w:t>
      </w:r>
      <w:proofErr w:type="gramStart"/>
      <w:r>
        <w:rPr>
          <w:rFonts w:asciiTheme="minorHAnsi" w:hAnsiTheme="minorHAnsi" w:cstheme="minorHAnsi"/>
          <w:i/>
          <w:iCs/>
        </w:rPr>
        <w:t>they’d</w:t>
      </w:r>
      <w:proofErr w:type="gramEnd"/>
      <w:r>
        <w:rPr>
          <w:rFonts w:asciiTheme="minorHAnsi" w:hAnsiTheme="minorHAnsi" w:cstheme="minorHAnsi"/>
          <w:i/>
          <w:iCs/>
        </w:rPr>
        <w:t xml:space="preserve"> been held as planned. </w:t>
      </w:r>
      <w:r>
        <w:rPr>
          <w:rFonts w:asciiTheme="minorHAnsi" w:hAnsiTheme="minorHAnsi" w:cstheme="minorHAnsi"/>
        </w:rPr>
        <w:t xml:space="preserve">As of February 2021, the Leadership </w:t>
      </w:r>
      <w:r>
        <w:rPr>
          <w:rFonts w:asciiTheme="minorHAnsi" w:hAnsiTheme="minorHAnsi" w:cstheme="minorHAnsi"/>
        </w:rPr>
        <w:lastRenderedPageBreak/>
        <w:t xml:space="preserve">Lab/EDISJ project has generated net revenue of $36,797. The activities planned in the budget would have generated a combined $29,572 in net revenue. Clearly, the margin on virtual events is </w:t>
      </w:r>
      <w:r w:rsidR="007542ED">
        <w:rPr>
          <w:rFonts w:asciiTheme="minorHAnsi" w:hAnsiTheme="minorHAnsi" w:cstheme="minorHAnsi"/>
        </w:rPr>
        <w:t>better</w:t>
      </w:r>
      <w:r>
        <w:rPr>
          <w:rFonts w:asciiTheme="minorHAnsi" w:hAnsiTheme="minorHAnsi" w:cstheme="minorHAnsi"/>
        </w:rPr>
        <w:t xml:space="preserve"> than live events, which require travel, food and other costs.</w:t>
      </w:r>
    </w:p>
    <w:p w14:paraId="4B74ADC4" w14:textId="77777777" w:rsidR="00CD716D" w:rsidRPr="00CD716D" w:rsidRDefault="00CD716D" w:rsidP="00CD716D">
      <w:pPr>
        <w:pStyle w:val="ListParagraph"/>
        <w:rPr>
          <w:rFonts w:asciiTheme="minorHAnsi" w:hAnsiTheme="minorHAnsi" w:cstheme="minorHAnsi"/>
        </w:rPr>
      </w:pPr>
    </w:p>
    <w:p w14:paraId="3299A5A6" w14:textId="2F0A0FA5" w:rsidR="00CD716D" w:rsidRDefault="00CD716D" w:rsidP="00CD716D">
      <w:pPr>
        <w:pStyle w:val="ListParagraph"/>
        <w:numPr>
          <w:ilvl w:val="0"/>
          <w:numId w:val="10"/>
        </w:numPr>
        <w:rPr>
          <w:rFonts w:asciiTheme="minorHAnsi" w:hAnsiTheme="minorHAnsi" w:cstheme="minorHAnsi"/>
        </w:rPr>
      </w:pPr>
      <w:r w:rsidRPr="00CD716D">
        <w:rPr>
          <w:rFonts w:asciiTheme="minorHAnsi" w:hAnsiTheme="minorHAnsi" w:cstheme="minorHAnsi"/>
        </w:rPr>
        <w:t xml:space="preserve">Publication </w:t>
      </w:r>
      <w:r>
        <w:rPr>
          <w:rFonts w:asciiTheme="minorHAnsi" w:hAnsiTheme="minorHAnsi" w:cstheme="minorHAnsi"/>
        </w:rPr>
        <w:t xml:space="preserve">revenue is also a bright spot, with sales of general publications exceeding budgeted net revenue </w:t>
      </w:r>
      <w:r w:rsidR="00E2260D">
        <w:rPr>
          <w:rFonts w:asciiTheme="minorHAnsi" w:hAnsiTheme="minorHAnsi" w:cstheme="minorHAnsi"/>
        </w:rPr>
        <w:t>as of</w:t>
      </w:r>
      <w:r>
        <w:rPr>
          <w:rFonts w:asciiTheme="minorHAnsi" w:hAnsiTheme="minorHAnsi" w:cstheme="minorHAnsi"/>
        </w:rPr>
        <w:t xml:space="preserve"> February 2021 ($12,520 vs -$495) and the same with Every Child Ready to Read ($16,001 vs $2,504).</w:t>
      </w:r>
    </w:p>
    <w:p w14:paraId="052C65A9" w14:textId="77777777" w:rsidR="00EB10C0" w:rsidRPr="00EB10C0" w:rsidRDefault="00EB10C0" w:rsidP="00EB10C0">
      <w:pPr>
        <w:pStyle w:val="ListParagraph"/>
        <w:rPr>
          <w:rFonts w:asciiTheme="minorHAnsi" w:hAnsiTheme="minorHAnsi" w:cstheme="minorHAnsi"/>
        </w:rPr>
      </w:pPr>
    </w:p>
    <w:p w14:paraId="70281B77" w14:textId="3D275225" w:rsidR="00CD716D" w:rsidRDefault="00EB10C0" w:rsidP="006A012A">
      <w:pPr>
        <w:pStyle w:val="ListParagraph"/>
        <w:numPr>
          <w:ilvl w:val="0"/>
          <w:numId w:val="10"/>
        </w:numPr>
        <w:rPr>
          <w:rFonts w:asciiTheme="minorHAnsi" w:hAnsiTheme="minorHAnsi" w:cstheme="minorHAnsi"/>
        </w:rPr>
      </w:pPr>
      <w:r w:rsidRPr="00EB10C0">
        <w:rPr>
          <w:rFonts w:asciiTheme="minorHAnsi" w:hAnsiTheme="minorHAnsi" w:cstheme="minorHAnsi"/>
        </w:rPr>
        <w:t xml:space="preserve">PLA’s only active conference account, Conference Planning, was budgeted to spend $94,500 during FY21 </w:t>
      </w:r>
      <w:r>
        <w:rPr>
          <w:rFonts w:asciiTheme="minorHAnsi" w:hAnsiTheme="minorHAnsi" w:cstheme="minorHAnsi"/>
        </w:rPr>
        <w:t>on conference promotion, site visits, facility deposits and other “off year” expenses. As of February 2021, only $15,765 had been spent, and it</w:t>
      </w:r>
      <w:r w:rsidR="00E2260D">
        <w:rPr>
          <w:rFonts w:asciiTheme="minorHAnsi" w:hAnsiTheme="minorHAnsi" w:cstheme="minorHAnsi"/>
        </w:rPr>
        <w:t xml:space="preserve"> is</w:t>
      </w:r>
      <w:r>
        <w:rPr>
          <w:rFonts w:asciiTheme="minorHAnsi" w:hAnsiTheme="minorHAnsi" w:cstheme="minorHAnsi"/>
        </w:rPr>
        <w:t xml:space="preserve"> projected this account will end at half of less of its budgeted </w:t>
      </w:r>
      <w:r w:rsidR="00E2260D">
        <w:rPr>
          <w:rFonts w:asciiTheme="minorHAnsi" w:hAnsiTheme="minorHAnsi" w:cstheme="minorHAnsi"/>
        </w:rPr>
        <w:t>expenses</w:t>
      </w:r>
      <w:r>
        <w:rPr>
          <w:rFonts w:asciiTheme="minorHAnsi" w:hAnsiTheme="minorHAnsi" w:cstheme="minorHAnsi"/>
        </w:rPr>
        <w:t>.</w:t>
      </w:r>
    </w:p>
    <w:p w14:paraId="6E6D9CF1" w14:textId="77777777" w:rsidR="00EB10C0" w:rsidRPr="00EB10C0" w:rsidRDefault="00EB10C0" w:rsidP="00EB10C0">
      <w:pPr>
        <w:rPr>
          <w:rFonts w:asciiTheme="minorHAnsi" w:hAnsiTheme="minorHAnsi" w:cstheme="minorHAnsi"/>
        </w:rPr>
      </w:pPr>
    </w:p>
    <w:p w14:paraId="0312D65C" w14:textId="0CC2B389" w:rsidR="00415C44" w:rsidRDefault="00CD716D" w:rsidP="00415C44">
      <w:pPr>
        <w:rPr>
          <w:rFonts w:asciiTheme="minorHAnsi" w:hAnsiTheme="minorHAnsi" w:cstheme="minorHAnsi"/>
        </w:rPr>
      </w:pPr>
      <w:r w:rsidRPr="00CD716D">
        <w:rPr>
          <w:rFonts w:asciiTheme="minorHAnsi" w:hAnsiTheme="minorHAnsi" w:cstheme="minorHAnsi"/>
        </w:rPr>
        <w:t>The significant positive variance is mainly attributed to the factors above. Otherwise, s</w:t>
      </w:r>
      <w:r w:rsidR="001906E9" w:rsidRPr="00CD716D">
        <w:rPr>
          <w:rFonts w:asciiTheme="minorHAnsi" w:hAnsiTheme="minorHAnsi" w:cstheme="minorHAnsi"/>
        </w:rPr>
        <w:t xml:space="preserve">pending on administrative costs (staff, board management) </w:t>
      </w:r>
      <w:r w:rsidR="004A2B57" w:rsidRPr="00CD716D">
        <w:rPr>
          <w:rFonts w:asciiTheme="minorHAnsi" w:hAnsiTheme="minorHAnsi" w:cstheme="minorHAnsi"/>
        </w:rPr>
        <w:t>continues to be about 10% under budget,</w:t>
      </w:r>
      <w:r w:rsidR="001906E9" w:rsidRPr="00CD716D">
        <w:rPr>
          <w:rFonts w:asciiTheme="minorHAnsi" w:hAnsiTheme="minorHAnsi" w:cstheme="minorHAnsi"/>
        </w:rPr>
        <w:t xml:space="preserve"> due to open positions.</w:t>
      </w:r>
      <w:r>
        <w:rPr>
          <w:rFonts w:asciiTheme="minorHAnsi" w:hAnsiTheme="minorHAnsi" w:cstheme="minorHAnsi"/>
        </w:rPr>
        <w:t xml:space="preserve"> Public Libraries </w:t>
      </w:r>
      <w:r w:rsidR="001906E9" w:rsidRPr="00CD716D">
        <w:rPr>
          <w:rFonts w:asciiTheme="minorHAnsi" w:hAnsiTheme="minorHAnsi" w:cstheme="minorHAnsi"/>
        </w:rPr>
        <w:t>magazine</w:t>
      </w:r>
      <w:r>
        <w:rPr>
          <w:rFonts w:asciiTheme="minorHAnsi" w:hAnsiTheme="minorHAnsi" w:cstheme="minorHAnsi"/>
        </w:rPr>
        <w:t>, projected to lose $39,537 by mid-year, has only lost $5,268 to date due to lower production costs</w:t>
      </w:r>
      <w:r w:rsidR="00E2260D">
        <w:rPr>
          <w:rFonts w:asciiTheme="minorHAnsi" w:hAnsiTheme="minorHAnsi" w:cstheme="minorHAnsi"/>
        </w:rPr>
        <w:t xml:space="preserve"> and delays in processing expenses</w:t>
      </w:r>
      <w:r>
        <w:rPr>
          <w:rFonts w:asciiTheme="minorHAnsi" w:hAnsiTheme="minorHAnsi" w:cstheme="minorHAnsi"/>
        </w:rPr>
        <w:t>.</w:t>
      </w:r>
      <w:r w:rsidR="00EB10C0">
        <w:rPr>
          <w:rFonts w:asciiTheme="minorHAnsi" w:hAnsiTheme="minorHAnsi" w:cstheme="minorHAnsi"/>
        </w:rPr>
        <w:t xml:space="preserve"> Family Engagement’s virtual trainings are on budget, with net revenue at $16,725 slightly ahead of the budgeted $14,035. </w:t>
      </w:r>
      <w:proofErr w:type="spellStart"/>
      <w:r w:rsidR="00EB10C0">
        <w:rPr>
          <w:rFonts w:asciiTheme="minorHAnsi" w:hAnsiTheme="minorHAnsi" w:cstheme="minorHAnsi"/>
        </w:rPr>
        <w:t>DigitalLearn</w:t>
      </w:r>
      <w:r w:rsidR="00E2260D">
        <w:rPr>
          <w:rFonts w:asciiTheme="minorHAnsi" w:hAnsiTheme="minorHAnsi" w:cstheme="minorHAnsi"/>
        </w:rPr>
        <w:t>’s</w:t>
      </w:r>
      <w:proofErr w:type="spellEnd"/>
      <w:r w:rsidR="00E2260D">
        <w:rPr>
          <w:rFonts w:asciiTheme="minorHAnsi" w:hAnsiTheme="minorHAnsi" w:cstheme="minorHAnsi"/>
        </w:rPr>
        <w:t xml:space="preserve"> </w:t>
      </w:r>
      <w:r w:rsidR="00EB10C0">
        <w:rPr>
          <w:rFonts w:asciiTheme="minorHAnsi" w:hAnsiTheme="minorHAnsi" w:cstheme="minorHAnsi"/>
        </w:rPr>
        <w:t>net loss as of February 2021 is $82,365, but as revenue from a 2020 subsite sale and the new AT&amp;T grant comes in, that will be reduced</w:t>
      </w:r>
      <w:r w:rsidR="00E2260D">
        <w:rPr>
          <w:rFonts w:asciiTheme="minorHAnsi" w:hAnsiTheme="minorHAnsi" w:cstheme="minorHAnsi"/>
        </w:rPr>
        <w:t xml:space="preserve"> to be closer to budget.</w:t>
      </w:r>
    </w:p>
    <w:p w14:paraId="4987A003" w14:textId="73125E2A" w:rsidR="00EB10C0" w:rsidRDefault="00EB10C0" w:rsidP="00415C44">
      <w:pPr>
        <w:rPr>
          <w:rFonts w:asciiTheme="minorHAnsi" w:hAnsiTheme="minorHAnsi" w:cstheme="minorHAnsi"/>
        </w:rPr>
      </w:pPr>
    </w:p>
    <w:p w14:paraId="50C97E9A" w14:textId="1CBC4E38" w:rsidR="00E85518" w:rsidRDefault="00E85518" w:rsidP="00E85518">
      <w:pPr>
        <w:rPr>
          <w:rFonts w:asciiTheme="minorHAnsi" w:hAnsiTheme="minorHAnsi" w:cstheme="minorHAnsi"/>
          <w:b/>
        </w:rPr>
      </w:pPr>
      <w:r w:rsidRPr="00310C52">
        <w:rPr>
          <w:rFonts w:asciiTheme="minorHAnsi" w:hAnsiTheme="minorHAnsi" w:cstheme="minorHAnsi"/>
          <w:b/>
        </w:rPr>
        <w:t>FY2</w:t>
      </w:r>
      <w:r>
        <w:rPr>
          <w:rFonts w:asciiTheme="minorHAnsi" w:hAnsiTheme="minorHAnsi" w:cstheme="minorHAnsi"/>
          <w:b/>
        </w:rPr>
        <w:t>1</w:t>
      </w:r>
      <w:r w:rsidRPr="00310C52">
        <w:rPr>
          <w:rFonts w:asciiTheme="minorHAnsi" w:hAnsiTheme="minorHAnsi" w:cstheme="minorHAnsi"/>
          <w:b/>
        </w:rPr>
        <w:t xml:space="preserve"> </w:t>
      </w:r>
      <w:r>
        <w:rPr>
          <w:rFonts w:asciiTheme="minorHAnsi" w:hAnsiTheme="minorHAnsi" w:cstheme="minorHAnsi"/>
          <w:b/>
        </w:rPr>
        <w:t>Grant</w:t>
      </w:r>
      <w:r w:rsidRPr="00310C52">
        <w:rPr>
          <w:rFonts w:asciiTheme="minorHAnsi" w:hAnsiTheme="minorHAnsi" w:cstheme="minorHAnsi"/>
          <w:b/>
        </w:rPr>
        <w:t xml:space="preserve"> Budget</w:t>
      </w:r>
      <w:r>
        <w:rPr>
          <w:rFonts w:asciiTheme="minorHAnsi" w:hAnsiTheme="minorHAnsi" w:cstheme="minorHAnsi"/>
          <w:b/>
        </w:rPr>
        <w:t>s</w:t>
      </w:r>
      <w:r w:rsidRPr="00310C52">
        <w:rPr>
          <w:rFonts w:asciiTheme="minorHAnsi" w:hAnsiTheme="minorHAnsi" w:cstheme="minorHAnsi"/>
          <w:b/>
        </w:rPr>
        <w:t xml:space="preserve"> as of </w:t>
      </w:r>
      <w:r>
        <w:rPr>
          <w:rFonts w:asciiTheme="minorHAnsi" w:hAnsiTheme="minorHAnsi" w:cstheme="minorHAnsi"/>
          <w:b/>
        </w:rPr>
        <w:t>February</w:t>
      </w:r>
      <w:r w:rsidRPr="00310C52">
        <w:rPr>
          <w:rFonts w:asciiTheme="minorHAnsi" w:hAnsiTheme="minorHAnsi" w:cstheme="minorHAnsi"/>
          <w:b/>
        </w:rPr>
        <w:t xml:space="preserve"> </w:t>
      </w:r>
      <w:r>
        <w:rPr>
          <w:rFonts w:asciiTheme="minorHAnsi" w:hAnsiTheme="minorHAnsi" w:cstheme="minorHAnsi"/>
          <w:b/>
        </w:rPr>
        <w:t>2021</w:t>
      </w:r>
    </w:p>
    <w:p w14:paraId="22B3719D" w14:textId="77777777" w:rsidR="00EB10C0" w:rsidRPr="00EB10C0" w:rsidRDefault="00EB10C0" w:rsidP="00415C44">
      <w:pPr>
        <w:rPr>
          <w:rFonts w:asciiTheme="minorHAnsi" w:hAnsiTheme="minorHAnsi" w:cstheme="minorHAnsi"/>
        </w:rPr>
      </w:pPr>
    </w:p>
    <w:p w14:paraId="2CFE3F1B" w14:textId="77777777" w:rsidR="00E2260D" w:rsidRDefault="00E2260D" w:rsidP="00E2260D">
      <w:pPr>
        <w:rPr>
          <w:rFonts w:asciiTheme="minorHAnsi" w:hAnsiTheme="minorHAnsi" w:cstheme="minorHAnsi"/>
        </w:rPr>
      </w:pPr>
      <w:r>
        <w:rPr>
          <w:rFonts w:asciiTheme="minorHAnsi" w:hAnsiTheme="minorHAnsi" w:cstheme="minorHAnsi"/>
        </w:rPr>
        <w:t xml:space="preserve">As of February 2021, PLA had spent $708,693 in grant funds compared to a budgeted amount of $474,455, for a difference of $234,238. </w:t>
      </w:r>
    </w:p>
    <w:p w14:paraId="76A0D111" w14:textId="77777777" w:rsidR="00E2260D" w:rsidRDefault="00E2260D" w:rsidP="00D166BC">
      <w:pPr>
        <w:rPr>
          <w:rFonts w:asciiTheme="minorHAnsi" w:hAnsiTheme="minorHAnsi" w:cstheme="minorHAnsi"/>
        </w:rPr>
      </w:pPr>
    </w:p>
    <w:p w14:paraId="5585770F" w14:textId="30C7A8BB" w:rsidR="00874050" w:rsidRDefault="00874050" w:rsidP="00D166BC">
      <w:pPr>
        <w:rPr>
          <w:rFonts w:asciiTheme="minorHAnsi" w:hAnsiTheme="minorHAnsi" w:cstheme="minorHAnsi"/>
        </w:rPr>
      </w:pPr>
      <w:r>
        <w:rPr>
          <w:rFonts w:asciiTheme="minorHAnsi" w:hAnsiTheme="minorHAnsi" w:cstheme="minorHAnsi"/>
        </w:rPr>
        <w:t xml:space="preserve">Grant spending is far exceeding budget because PLA confirmed over $400,000 in new and renewed grant funding in late summer and early fall of 2020. Given the late stage of FY20 budgeting, these projects were not included in the budget. Only spend down on the Gates </w:t>
      </w:r>
      <w:r w:rsidR="004C5FC3">
        <w:rPr>
          <w:rFonts w:asciiTheme="minorHAnsi" w:hAnsiTheme="minorHAnsi" w:cstheme="minorHAnsi"/>
        </w:rPr>
        <w:t>grants</w:t>
      </w:r>
      <w:r>
        <w:rPr>
          <w:rFonts w:asciiTheme="minorHAnsi" w:hAnsiTheme="minorHAnsi" w:cstheme="minorHAnsi"/>
        </w:rPr>
        <w:t xml:space="preserve"> was included.</w:t>
      </w:r>
    </w:p>
    <w:p w14:paraId="473C2BC6" w14:textId="2B88B5DF" w:rsidR="00874050" w:rsidRDefault="00874050" w:rsidP="00D166BC">
      <w:pPr>
        <w:rPr>
          <w:rFonts w:asciiTheme="minorHAnsi" w:hAnsiTheme="minorHAnsi" w:cstheme="minorHAnsi"/>
        </w:rPr>
      </w:pPr>
    </w:p>
    <w:p w14:paraId="09782D4D" w14:textId="3FDB58AA" w:rsidR="00F07661" w:rsidRDefault="00F07661" w:rsidP="008716C3">
      <w:pPr>
        <w:pStyle w:val="ListParagraph"/>
        <w:numPr>
          <w:ilvl w:val="0"/>
          <w:numId w:val="10"/>
        </w:numPr>
        <w:rPr>
          <w:rFonts w:asciiTheme="minorHAnsi" w:hAnsiTheme="minorHAnsi" w:cstheme="minorHAnsi"/>
        </w:rPr>
      </w:pPr>
      <w:r w:rsidRPr="00F07661">
        <w:rPr>
          <w:rFonts w:asciiTheme="minorHAnsi" w:hAnsiTheme="minorHAnsi" w:cstheme="minorHAnsi"/>
        </w:rPr>
        <w:t xml:space="preserve">Spending in the grant projects </w:t>
      </w:r>
      <w:r w:rsidRPr="00F07661">
        <w:rPr>
          <w:rFonts w:asciiTheme="minorHAnsi" w:hAnsiTheme="minorHAnsi" w:cstheme="minorHAnsi"/>
          <w:i/>
          <w:iCs/>
        </w:rPr>
        <w:t>which were included in the FY21 budget</w:t>
      </w:r>
      <w:r w:rsidRPr="00F07661">
        <w:rPr>
          <w:rFonts w:asciiTheme="minorHAnsi" w:hAnsiTheme="minorHAnsi" w:cstheme="minorHAnsi"/>
        </w:rPr>
        <w:t xml:space="preserve"> (Gates funds) are running ahead of budget: a total of $555,043 has been spent against a budget of $476,423. These funds support about half of PLA’s staff salary and benefits but also include professional services, such as continued support of Project Outcome and PLA’s new data initiatives, strategic planning consulting, and PLA’s conference manager. </w:t>
      </w:r>
      <w:r w:rsidR="00E6074C">
        <w:rPr>
          <w:rFonts w:asciiTheme="minorHAnsi" w:hAnsiTheme="minorHAnsi" w:cstheme="minorHAnsi"/>
        </w:rPr>
        <w:t xml:space="preserve">Staff costs are near budget, however professional services have exceeded budget significantly. Almost $300,000 has been spent as of February 2021 against a </w:t>
      </w:r>
      <w:r w:rsidR="00E6074C">
        <w:rPr>
          <w:rFonts w:asciiTheme="minorHAnsi" w:hAnsiTheme="minorHAnsi" w:cstheme="minorHAnsi"/>
          <w:i/>
          <w:iCs/>
        </w:rPr>
        <w:t xml:space="preserve">full-year </w:t>
      </w:r>
      <w:r w:rsidR="00E6074C">
        <w:rPr>
          <w:rFonts w:asciiTheme="minorHAnsi" w:hAnsiTheme="minorHAnsi" w:cstheme="minorHAnsi"/>
        </w:rPr>
        <w:t xml:space="preserve">budget of only $150,000. Some of this will be offset because almost none of the $126,000 budgeted for travel/meal/meetings will be spent. </w:t>
      </w:r>
      <w:r w:rsidR="00E2260D">
        <w:rPr>
          <w:rFonts w:asciiTheme="minorHAnsi" w:hAnsiTheme="minorHAnsi" w:cstheme="minorHAnsi"/>
        </w:rPr>
        <w:t>Also, the</w:t>
      </w:r>
      <w:r w:rsidR="00E6074C">
        <w:rPr>
          <w:rFonts w:asciiTheme="minorHAnsi" w:hAnsiTheme="minorHAnsi" w:cstheme="minorHAnsi"/>
        </w:rPr>
        <w:t xml:space="preserve"> consulting/professional services overage includes costs for PLA’s data projects</w:t>
      </w:r>
      <w:r w:rsidR="00E2260D">
        <w:rPr>
          <w:rFonts w:asciiTheme="minorHAnsi" w:hAnsiTheme="minorHAnsi" w:cstheme="minorHAnsi"/>
        </w:rPr>
        <w:t>,</w:t>
      </w:r>
      <w:r w:rsidR="00E6074C">
        <w:rPr>
          <w:rFonts w:asciiTheme="minorHAnsi" w:hAnsiTheme="minorHAnsi" w:cstheme="minorHAnsi"/>
        </w:rPr>
        <w:t xml:space="preserve"> which are intended to generate revenue in future years. </w:t>
      </w:r>
    </w:p>
    <w:p w14:paraId="5CE553EA" w14:textId="77777777" w:rsidR="00703B3C" w:rsidRPr="00703B3C" w:rsidRDefault="00703B3C" w:rsidP="00703B3C">
      <w:pPr>
        <w:rPr>
          <w:rFonts w:asciiTheme="minorHAnsi" w:hAnsiTheme="minorHAnsi" w:cstheme="minorHAnsi"/>
        </w:rPr>
      </w:pPr>
    </w:p>
    <w:p w14:paraId="479CECEA" w14:textId="64D01B5D" w:rsidR="000C74F9" w:rsidRPr="00F07661" w:rsidRDefault="00EB10C0" w:rsidP="00D166BC">
      <w:pPr>
        <w:pStyle w:val="ListParagraph"/>
        <w:numPr>
          <w:ilvl w:val="0"/>
          <w:numId w:val="10"/>
        </w:numPr>
        <w:rPr>
          <w:rFonts w:asciiTheme="minorHAnsi" w:hAnsiTheme="minorHAnsi" w:cstheme="minorHAnsi"/>
        </w:rPr>
      </w:pPr>
      <w:r w:rsidRPr="00F07661">
        <w:rPr>
          <w:rFonts w:asciiTheme="minorHAnsi" w:hAnsiTheme="minorHAnsi" w:cstheme="minorHAnsi"/>
        </w:rPr>
        <w:lastRenderedPageBreak/>
        <w:t>Other active grants (health insurance promotion, Latinx family engagement project, Microsoft projects</w:t>
      </w:r>
      <w:r w:rsidR="00F07661" w:rsidRPr="00F07661">
        <w:rPr>
          <w:rFonts w:asciiTheme="minorHAnsi" w:hAnsiTheme="minorHAnsi" w:cstheme="minorHAnsi"/>
        </w:rPr>
        <w:t>, short story project</w:t>
      </w:r>
      <w:r w:rsidRPr="00F07661">
        <w:rPr>
          <w:rFonts w:asciiTheme="minorHAnsi" w:hAnsiTheme="minorHAnsi" w:cstheme="minorHAnsi"/>
        </w:rPr>
        <w:t xml:space="preserve">) are </w:t>
      </w:r>
      <w:r w:rsidR="00F07661" w:rsidRPr="00F07661">
        <w:rPr>
          <w:rFonts w:asciiTheme="minorHAnsi" w:hAnsiTheme="minorHAnsi" w:cstheme="minorHAnsi"/>
        </w:rPr>
        <w:t>generally on track.</w:t>
      </w:r>
    </w:p>
    <w:sectPr w:rsidR="000C74F9" w:rsidRPr="00F07661" w:rsidSect="004B0A1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033B" w14:textId="77777777" w:rsidR="001A1DB0" w:rsidRDefault="001A1DB0" w:rsidP="00D77AFC">
      <w:r>
        <w:separator/>
      </w:r>
    </w:p>
  </w:endnote>
  <w:endnote w:type="continuationSeparator" w:id="0">
    <w:p w14:paraId="4C477CBC" w14:textId="77777777" w:rsidR="001A1DB0" w:rsidRDefault="001A1DB0"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639" w14:textId="77777777" w:rsidR="001A1DB0" w:rsidRDefault="001A1DB0" w:rsidP="00D77AFC">
      <w:r>
        <w:separator/>
      </w:r>
    </w:p>
  </w:footnote>
  <w:footnote w:type="continuationSeparator" w:id="0">
    <w:p w14:paraId="2AD5AE33" w14:textId="77777777" w:rsidR="001A1DB0" w:rsidRDefault="001A1DB0"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4C91" w14:textId="77777777" w:rsidR="00300BA0" w:rsidRPr="00300BA0" w:rsidRDefault="00300BA0" w:rsidP="00300BA0">
    <w:pPr>
      <w:pStyle w:val="Header"/>
      <w:jc w:val="right"/>
      <w:rPr>
        <w:rFonts w:asciiTheme="minorHAnsi" w:hAnsiTheme="minorHAnsi" w:cstheme="minorHAnsi"/>
        <w:sz w:val="22"/>
        <w:szCs w:val="22"/>
      </w:rPr>
    </w:pPr>
    <w:r w:rsidRPr="00300BA0">
      <w:rPr>
        <w:rFonts w:asciiTheme="minorHAnsi" w:hAnsiTheme="minorHAnsi" w:cstheme="minorHAnsi"/>
        <w:sz w:val="22"/>
        <w:szCs w:val="22"/>
      </w:rPr>
      <w:t>PLA Board of Directors</w:t>
    </w:r>
  </w:p>
  <w:p w14:paraId="7FDB4112" w14:textId="77777777" w:rsidR="00300BA0" w:rsidRPr="00300BA0" w:rsidRDefault="00300BA0" w:rsidP="00300BA0">
    <w:pPr>
      <w:pStyle w:val="Header"/>
      <w:jc w:val="right"/>
      <w:rPr>
        <w:rFonts w:asciiTheme="minorHAnsi" w:hAnsiTheme="minorHAnsi" w:cstheme="minorHAnsi"/>
        <w:sz w:val="22"/>
        <w:szCs w:val="22"/>
      </w:rPr>
    </w:pPr>
    <w:r w:rsidRPr="00300BA0">
      <w:rPr>
        <w:rFonts w:asciiTheme="minorHAnsi" w:hAnsiTheme="minorHAnsi" w:cstheme="minorHAnsi"/>
        <w:sz w:val="22"/>
        <w:szCs w:val="22"/>
      </w:rPr>
      <w:t xml:space="preserve">June 18, </w:t>
    </w:r>
    <w:proofErr w:type="gramStart"/>
    <w:r w:rsidRPr="00300BA0">
      <w:rPr>
        <w:rFonts w:asciiTheme="minorHAnsi" w:hAnsiTheme="minorHAnsi" w:cstheme="minorHAnsi"/>
        <w:sz w:val="22"/>
        <w:szCs w:val="22"/>
      </w:rPr>
      <w:t>2021</w:t>
    </w:r>
    <w:proofErr w:type="gramEnd"/>
    <w:r w:rsidRPr="00300BA0">
      <w:rPr>
        <w:rFonts w:asciiTheme="minorHAnsi" w:hAnsiTheme="minorHAnsi" w:cstheme="minorHAnsi"/>
        <w:sz w:val="22"/>
        <w:szCs w:val="22"/>
      </w:rPr>
      <w:t xml:space="preserve"> Virtual Meeting</w:t>
    </w:r>
  </w:p>
  <w:p w14:paraId="195C4D0C" w14:textId="3434E1BC" w:rsidR="00300BA0" w:rsidRPr="00300BA0" w:rsidRDefault="00300BA0" w:rsidP="00300BA0">
    <w:pPr>
      <w:pStyle w:val="Header"/>
      <w:jc w:val="right"/>
      <w:rPr>
        <w:rFonts w:asciiTheme="minorHAnsi" w:hAnsiTheme="minorHAnsi" w:cstheme="minorHAnsi"/>
        <w:sz w:val="22"/>
        <w:szCs w:val="22"/>
      </w:rPr>
    </w:pPr>
    <w:r w:rsidRPr="00300BA0">
      <w:rPr>
        <w:rFonts w:asciiTheme="minorHAnsi" w:hAnsiTheme="minorHAnsi" w:cstheme="minorHAnsi"/>
        <w:sz w:val="22"/>
        <w:szCs w:val="22"/>
      </w:rPr>
      <w:t>Document no.: 2021.7</w:t>
    </w:r>
    <w:r w:rsidRPr="00300BA0">
      <w:rPr>
        <w:rFonts w:asciiTheme="minorHAnsi" w:hAnsiTheme="minorHAnsi" w:cstheme="minorHAnsi"/>
        <w:sz w:val="22"/>
        <w:szCs w:val="22"/>
      </w:rPr>
      <w:t>5</w:t>
    </w:r>
  </w:p>
  <w:p w14:paraId="4B4ABB3A" w14:textId="77777777" w:rsidR="00300BA0" w:rsidRPr="00300BA0" w:rsidRDefault="00300BA0" w:rsidP="0030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05A4B"/>
    <w:multiLevelType w:val="multilevel"/>
    <w:tmpl w:val="6160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1A07"/>
    <w:multiLevelType w:val="hybridMultilevel"/>
    <w:tmpl w:val="1EC24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6"/>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15918"/>
    <w:rsid w:val="000328E6"/>
    <w:rsid w:val="0003768C"/>
    <w:rsid w:val="00040694"/>
    <w:rsid w:val="00041EBC"/>
    <w:rsid w:val="000448C0"/>
    <w:rsid w:val="00051D01"/>
    <w:rsid w:val="00052BFE"/>
    <w:rsid w:val="00066FDA"/>
    <w:rsid w:val="00067823"/>
    <w:rsid w:val="00074D3D"/>
    <w:rsid w:val="000825E8"/>
    <w:rsid w:val="0008346F"/>
    <w:rsid w:val="00087570"/>
    <w:rsid w:val="0009611B"/>
    <w:rsid w:val="0009650A"/>
    <w:rsid w:val="00097DA5"/>
    <w:rsid w:val="000A512F"/>
    <w:rsid w:val="000C3AE4"/>
    <w:rsid w:val="000C6E64"/>
    <w:rsid w:val="000C74F9"/>
    <w:rsid w:val="000D543F"/>
    <w:rsid w:val="000E032B"/>
    <w:rsid w:val="00102334"/>
    <w:rsid w:val="00114C41"/>
    <w:rsid w:val="00120674"/>
    <w:rsid w:val="0013289E"/>
    <w:rsid w:val="001355DE"/>
    <w:rsid w:val="00156E6E"/>
    <w:rsid w:val="0016145B"/>
    <w:rsid w:val="00182C7D"/>
    <w:rsid w:val="001906E9"/>
    <w:rsid w:val="001A1DB0"/>
    <w:rsid w:val="001A6FFA"/>
    <w:rsid w:val="001B335B"/>
    <w:rsid w:val="00216518"/>
    <w:rsid w:val="00217AF7"/>
    <w:rsid w:val="002474F3"/>
    <w:rsid w:val="0025022E"/>
    <w:rsid w:val="00253919"/>
    <w:rsid w:val="002553AC"/>
    <w:rsid w:val="00256C4C"/>
    <w:rsid w:val="00265906"/>
    <w:rsid w:val="00277F2D"/>
    <w:rsid w:val="0028379B"/>
    <w:rsid w:val="00284A57"/>
    <w:rsid w:val="002A4318"/>
    <w:rsid w:val="002A46AE"/>
    <w:rsid w:val="002B1B2B"/>
    <w:rsid w:val="002B57F3"/>
    <w:rsid w:val="002D0836"/>
    <w:rsid w:val="002D28C0"/>
    <w:rsid w:val="002D6B21"/>
    <w:rsid w:val="002E6F20"/>
    <w:rsid w:val="00300BA0"/>
    <w:rsid w:val="00302609"/>
    <w:rsid w:val="003053B6"/>
    <w:rsid w:val="00310C52"/>
    <w:rsid w:val="00313F72"/>
    <w:rsid w:val="00316C04"/>
    <w:rsid w:val="00320312"/>
    <w:rsid w:val="0034052C"/>
    <w:rsid w:val="00346867"/>
    <w:rsid w:val="00356EBF"/>
    <w:rsid w:val="00357F04"/>
    <w:rsid w:val="0036151E"/>
    <w:rsid w:val="00386212"/>
    <w:rsid w:val="0039299D"/>
    <w:rsid w:val="003C3A1D"/>
    <w:rsid w:val="003E5C6C"/>
    <w:rsid w:val="00402835"/>
    <w:rsid w:val="00411519"/>
    <w:rsid w:val="00414458"/>
    <w:rsid w:val="00415C44"/>
    <w:rsid w:val="00424D56"/>
    <w:rsid w:val="00425AF1"/>
    <w:rsid w:val="0043074E"/>
    <w:rsid w:val="00433AD9"/>
    <w:rsid w:val="00437426"/>
    <w:rsid w:val="00442B24"/>
    <w:rsid w:val="00443492"/>
    <w:rsid w:val="00444F51"/>
    <w:rsid w:val="0047062B"/>
    <w:rsid w:val="004738DF"/>
    <w:rsid w:val="00495D7B"/>
    <w:rsid w:val="004A2B57"/>
    <w:rsid w:val="004B0A10"/>
    <w:rsid w:val="004B18B2"/>
    <w:rsid w:val="004C3FBF"/>
    <w:rsid w:val="004C5FC3"/>
    <w:rsid w:val="004E55CB"/>
    <w:rsid w:val="0050463F"/>
    <w:rsid w:val="0051293D"/>
    <w:rsid w:val="005224FA"/>
    <w:rsid w:val="00534DAE"/>
    <w:rsid w:val="00537A47"/>
    <w:rsid w:val="00544DA3"/>
    <w:rsid w:val="00546CF8"/>
    <w:rsid w:val="0055215A"/>
    <w:rsid w:val="00556C65"/>
    <w:rsid w:val="00562005"/>
    <w:rsid w:val="00573F34"/>
    <w:rsid w:val="00582C53"/>
    <w:rsid w:val="00592D90"/>
    <w:rsid w:val="005957D8"/>
    <w:rsid w:val="005B6EDE"/>
    <w:rsid w:val="005B7149"/>
    <w:rsid w:val="005D5242"/>
    <w:rsid w:val="005E03CE"/>
    <w:rsid w:val="005F5657"/>
    <w:rsid w:val="00626D85"/>
    <w:rsid w:val="00635296"/>
    <w:rsid w:val="00645C46"/>
    <w:rsid w:val="006466F6"/>
    <w:rsid w:val="0069733C"/>
    <w:rsid w:val="006A40F8"/>
    <w:rsid w:val="006B49AC"/>
    <w:rsid w:val="006C40DE"/>
    <w:rsid w:val="006D629D"/>
    <w:rsid w:val="006F0CD3"/>
    <w:rsid w:val="006F132A"/>
    <w:rsid w:val="006F67A0"/>
    <w:rsid w:val="00703B3C"/>
    <w:rsid w:val="007076AA"/>
    <w:rsid w:val="0073345D"/>
    <w:rsid w:val="00733FD1"/>
    <w:rsid w:val="00741B29"/>
    <w:rsid w:val="007542ED"/>
    <w:rsid w:val="00761259"/>
    <w:rsid w:val="00765650"/>
    <w:rsid w:val="0077529F"/>
    <w:rsid w:val="007912E3"/>
    <w:rsid w:val="00792D16"/>
    <w:rsid w:val="007C389B"/>
    <w:rsid w:val="007D1269"/>
    <w:rsid w:val="007F5DA8"/>
    <w:rsid w:val="008130BC"/>
    <w:rsid w:val="00817E93"/>
    <w:rsid w:val="00834DB1"/>
    <w:rsid w:val="008374E4"/>
    <w:rsid w:val="00843422"/>
    <w:rsid w:val="0084566C"/>
    <w:rsid w:val="00854B66"/>
    <w:rsid w:val="00867426"/>
    <w:rsid w:val="00874050"/>
    <w:rsid w:val="00891532"/>
    <w:rsid w:val="008B0E11"/>
    <w:rsid w:val="008C0F0B"/>
    <w:rsid w:val="008C66F4"/>
    <w:rsid w:val="008D1846"/>
    <w:rsid w:val="008D73C5"/>
    <w:rsid w:val="008F3B3E"/>
    <w:rsid w:val="008F4988"/>
    <w:rsid w:val="009254D1"/>
    <w:rsid w:val="00926CC8"/>
    <w:rsid w:val="00927FF6"/>
    <w:rsid w:val="00940C83"/>
    <w:rsid w:val="009453E5"/>
    <w:rsid w:val="00952546"/>
    <w:rsid w:val="00964193"/>
    <w:rsid w:val="00974C47"/>
    <w:rsid w:val="009846CC"/>
    <w:rsid w:val="009C3E72"/>
    <w:rsid w:val="009C60E0"/>
    <w:rsid w:val="009E5024"/>
    <w:rsid w:val="009E67A2"/>
    <w:rsid w:val="009F1B79"/>
    <w:rsid w:val="009F6322"/>
    <w:rsid w:val="00A11259"/>
    <w:rsid w:val="00A16D21"/>
    <w:rsid w:val="00A35B5A"/>
    <w:rsid w:val="00A67305"/>
    <w:rsid w:val="00A82C7C"/>
    <w:rsid w:val="00A85A67"/>
    <w:rsid w:val="00A86AC5"/>
    <w:rsid w:val="00AA02AB"/>
    <w:rsid w:val="00AD7BB8"/>
    <w:rsid w:val="00AD7E18"/>
    <w:rsid w:val="00AE544A"/>
    <w:rsid w:val="00AF3327"/>
    <w:rsid w:val="00B10D6D"/>
    <w:rsid w:val="00B1101F"/>
    <w:rsid w:val="00B15058"/>
    <w:rsid w:val="00B15D8F"/>
    <w:rsid w:val="00B23696"/>
    <w:rsid w:val="00B33D93"/>
    <w:rsid w:val="00B53E86"/>
    <w:rsid w:val="00B54D65"/>
    <w:rsid w:val="00B561F1"/>
    <w:rsid w:val="00B6185A"/>
    <w:rsid w:val="00B65449"/>
    <w:rsid w:val="00B77C41"/>
    <w:rsid w:val="00B77F8D"/>
    <w:rsid w:val="00B822CC"/>
    <w:rsid w:val="00B84F45"/>
    <w:rsid w:val="00B953F8"/>
    <w:rsid w:val="00BA041A"/>
    <w:rsid w:val="00BC1200"/>
    <w:rsid w:val="00BC4143"/>
    <w:rsid w:val="00BD1C6D"/>
    <w:rsid w:val="00BE0549"/>
    <w:rsid w:val="00C17C8E"/>
    <w:rsid w:val="00C255A8"/>
    <w:rsid w:val="00C27CE6"/>
    <w:rsid w:val="00C31BAC"/>
    <w:rsid w:val="00C343E2"/>
    <w:rsid w:val="00C34D30"/>
    <w:rsid w:val="00C34F2C"/>
    <w:rsid w:val="00C36A58"/>
    <w:rsid w:val="00C3733B"/>
    <w:rsid w:val="00C3761D"/>
    <w:rsid w:val="00C44958"/>
    <w:rsid w:val="00C44CA3"/>
    <w:rsid w:val="00C44CBC"/>
    <w:rsid w:val="00C4715C"/>
    <w:rsid w:val="00C5176C"/>
    <w:rsid w:val="00C544FE"/>
    <w:rsid w:val="00C6183F"/>
    <w:rsid w:val="00C6486A"/>
    <w:rsid w:val="00C716D7"/>
    <w:rsid w:val="00C74202"/>
    <w:rsid w:val="00C7690F"/>
    <w:rsid w:val="00C77E2D"/>
    <w:rsid w:val="00C87549"/>
    <w:rsid w:val="00C943B1"/>
    <w:rsid w:val="00C95EFB"/>
    <w:rsid w:val="00C97F0F"/>
    <w:rsid w:val="00CA080C"/>
    <w:rsid w:val="00CA3906"/>
    <w:rsid w:val="00CB7EA8"/>
    <w:rsid w:val="00CC0A08"/>
    <w:rsid w:val="00CC2F0A"/>
    <w:rsid w:val="00CD716D"/>
    <w:rsid w:val="00CE1AA7"/>
    <w:rsid w:val="00D0217D"/>
    <w:rsid w:val="00D100FA"/>
    <w:rsid w:val="00D11622"/>
    <w:rsid w:val="00D1600D"/>
    <w:rsid w:val="00D162C9"/>
    <w:rsid w:val="00D16397"/>
    <w:rsid w:val="00D166BC"/>
    <w:rsid w:val="00D209F0"/>
    <w:rsid w:val="00D3328E"/>
    <w:rsid w:val="00D34667"/>
    <w:rsid w:val="00D44F24"/>
    <w:rsid w:val="00D57D28"/>
    <w:rsid w:val="00D72B4E"/>
    <w:rsid w:val="00D77AFC"/>
    <w:rsid w:val="00D87AAC"/>
    <w:rsid w:val="00D93C96"/>
    <w:rsid w:val="00DA3DE8"/>
    <w:rsid w:val="00DA3FCA"/>
    <w:rsid w:val="00DB0302"/>
    <w:rsid w:val="00DD2A09"/>
    <w:rsid w:val="00DD76DD"/>
    <w:rsid w:val="00DE04F6"/>
    <w:rsid w:val="00DE6F47"/>
    <w:rsid w:val="00E07A6F"/>
    <w:rsid w:val="00E11993"/>
    <w:rsid w:val="00E2260D"/>
    <w:rsid w:val="00E30603"/>
    <w:rsid w:val="00E32773"/>
    <w:rsid w:val="00E37F41"/>
    <w:rsid w:val="00E40392"/>
    <w:rsid w:val="00E572AC"/>
    <w:rsid w:val="00E6074C"/>
    <w:rsid w:val="00E63BCD"/>
    <w:rsid w:val="00E71946"/>
    <w:rsid w:val="00E769C9"/>
    <w:rsid w:val="00E805CC"/>
    <w:rsid w:val="00E80B1E"/>
    <w:rsid w:val="00E83C72"/>
    <w:rsid w:val="00E83CB4"/>
    <w:rsid w:val="00E85518"/>
    <w:rsid w:val="00E86636"/>
    <w:rsid w:val="00E95FF8"/>
    <w:rsid w:val="00EB10C0"/>
    <w:rsid w:val="00EB2CF8"/>
    <w:rsid w:val="00EB31FE"/>
    <w:rsid w:val="00EB3851"/>
    <w:rsid w:val="00ED693C"/>
    <w:rsid w:val="00EE2579"/>
    <w:rsid w:val="00EF3161"/>
    <w:rsid w:val="00EF3890"/>
    <w:rsid w:val="00EF7E31"/>
    <w:rsid w:val="00F00437"/>
    <w:rsid w:val="00F055C8"/>
    <w:rsid w:val="00F07661"/>
    <w:rsid w:val="00F12736"/>
    <w:rsid w:val="00F209CE"/>
    <w:rsid w:val="00F20B36"/>
    <w:rsid w:val="00F2597D"/>
    <w:rsid w:val="00F42F14"/>
    <w:rsid w:val="00F53D26"/>
    <w:rsid w:val="00F54582"/>
    <w:rsid w:val="00F75DEE"/>
    <w:rsid w:val="00F832E5"/>
    <w:rsid w:val="00FA13C8"/>
    <w:rsid w:val="00FB7024"/>
    <w:rsid w:val="00FB7476"/>
    <w:rsid w:val="00FC72B4"/>
    <w:rsid w:val="00FD1E5C"/>
    <w:rsid w:val="00FD2734"/>
    <w:rsid w:val="00FD3569"/>
    <w:rsid w:val="00FE3E89"/>
    <w:rsid w:val="00FE5A9E"/>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7405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2875430">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554270679">
      <w:bodyDiv w:val="1"/>
      <w:marLeft w:val="0"/>
      <w:marRight w:val="0"/>
      <w:marTop w:val="0"/>
      <w:marBottom w:val="0"/>
      <w:divBdr>
        <w:top w:val="none" w:sz="0" w:space="0" w:color="auto"/>
        <w:left w:val="none" w:sz="0" w:space="0" w:color="auto"/>
        <w:bottom w:val="none" w:sz="0" w:space="0" w:color="auto"/>
        <w:right w:val="none" w:sz="0" w:space="0" w:color="auto"/>
      </w:divBdr>
    </w:div>
    <w:div w:id="1660647466">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11</cp:revision>
  <cp:lastPrinted>2018-04-25T19:03:00Z</cp:lastPrinted>
  <dcterms:created xsi:type="dcterms:W3CDTF">2021-05-20T19:18:00Z</dcterms:created>
  <dcterms:modified xsi:type="dcterms:W3CDTF">2021-06-10T16:49:00Z</dcterms:modified>
</cp:coreProperties>
</file>