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EF42" w14:textId="4759C2A5" w:rsidR="00BA0B99" w:rsidRPr="00BA0B99" w:rsidRDefault="00C94803" w:rsidP="00BA0B99">
      <w:pPr>
        <w:pStyle w:val="Subtitle"/>
        <w:rPr>
          <w:color w:val="auto"/>
        </w:rPr>
      </w:pPr>
      <w:r w:rsidRPr="00C42D0A">
        <w:rPr>
          <w:color w:val="auto"/>
        </w:rPr>
        <w:t>TO:</w:t>
      </w:r>
      <w:r w:rsidRPr="00C42D0A">
        <w:rPr>
          <w:color w:val="auto"/>
        </w:rPr>
        <w:tab/>
      </w:r>
      <w:r w:rsidRPr="00C42D0A">
        <w:rPr>
          <w:color w:val="auto"/>
        </w:rPr>
        <w:tab/>
      </w:r>
      <w:r w:rsidR="00BA0B99">
        <w:rPr>
          <w:color w:val="auto"/>
        </w:rPr>
        <w:t>PLA Board of Directors</w:t>
      </w:r>
    </w:p>
    <w:p w14:paraId="50B95B28" w14:textId="77777777" w:rsidR="00C94803" w:rsidRDefault="00C94803">
      <w:r>
        <w:t>FROM:</w:t>
      </w:r>
      <w:r>
        <w:tab/>
      </w:r>
      <w:r>
        <w:tab/>
      </w:r>
      <w:r w:rsidR="004D0C92">
        <w:t>Mary Davis Fournier</w:t>
      </w:r>
      <w:r w:rsidR="00BE5CE8">
        <w:t>, Executive Director</w:t>
      </w:r>
    </w:p>
    <w:p w14:paraId="71EAEA4A" w14:textId="57E724A8" w:rsidR="00787D0F" w:rsidRDefault="00C94803" w:rsidP="00787D0F">
      <w:r>
        <w:t>RE:</w:t>
      </w:r>
      <w:r>
        <w:tab/>
      </w:r>
      <w:r>
        <w:tab/>
        <w:t xml:space="preserve">FY </w:t>
      </w:r>
      <w:r w:rsidR="008120EB">
        <w:t>2025</w:t>
      </w:r>
      <w:r w:rsidR="00095C38">
        <w:t xml:space="preserve"> </w:t>
      </w:r>
      <w:r w:rsidR="0087391D">
        <w:t>Budget</w:t>
      </w:r>
      <w:r w:rsidR="00787D0F">
        <w:tab/>
      </w:r>
      <w:r w:rsidR="000040B5">
        <w:t>Assumptions</w:t>
      </w:r>
      <w:r w:rsidR="0062042E">
        <w:t xml:space="preserve"> </w:t>
      </w:r>
      <w:r w:rsidR="00472735">
        <w:t>and Process</w:t>
      </w:r>
      <w:r w:rsidR="00787D0F">
        <w:tab/>
      </w:r>
    </w:p>
    <w:p w14:paraId="5C2B1423" w14:textId="4FEE1061" w:rsidR="00095C38" w:rsidRDefault="00787D0F" w:rsidP="00906AF5">
      <w:r>
        <w:t>DATE:</w:t>
      </w:r>
      <w:r>
        <w:tab/>
      </w:r>
      <w:r>
        <w:tab/>
      </w:r>
      <w:r w:rsidR="008120EB">
        <w:t xml:space="preserve">February </w:t>
      </w:r>
      <w:r w:rsidR="00AD3611">
        <w:t>15</w:t>
      </w:r>
      <w:r w:rsidR="008120EB">
        <w:t>, 2024</w:t>
      </w:r>
    </w:p>
    <w:p w14:paraId="7BB07B45" w14:textId="7D50C81A" w:rsidR="00906AF5" w:rsidRPr="004B54F9" w:rsidRDefault="0063336E" w:rsidP="00906AF5">
      <w:r>
        <w:t xml:space="preserve">Below are </w:t>
      </w:r>
      <w:r w:rsidR="00CA4B32">
        <w:t>considerations</w:t>
      </w:r>
      <w:r>
        <w:t xml:space="preserve"> for the </w:t>
      </w:r>
      <w:r w:rsidR="00B93526">
        <w:t xml:space="preserve">first </w:t>
      </w:r>
      <w:r w:rsidR="001B1E75">
        <w:t>draft</w:t>
      </w:r>
      <w:r w:rsidR="00F03950">
        <w:t xml:space="preserve"> </w:t>
      </w:r>
      <w:r>
        <w:t xml:space="preserve">of the </w:t>
      </w:r>
      <w:r w:rsidR="007302EF">
        <w:t>FY</w:t>
      </w:r>
      <w:r w:rsidR="008120EB">
        <w:t>2025</w:t>
      </w:r>
      <w:r w:rsidR="001B1E75">
        <w:t xml:space="preserve"> </w:t>
      </w:r>
      <w:r w:rsidR="007302EF">
        <w:t>(September 1, 20</w:t>
      </w:r>
      <w:r w:rsidR="004D0C92">
        <w:t>2</w:t>
      </w:r>
      <w:r w:rsidR="008120EB">
        <w:t>4</w:t>
      </w:r>
      <w:r w:rsidR="007302EF">
        <w:t xml:space="preserve">-August 31, </w:t>
      </w:r>
      <w:r w:rsidR="008120EB">
        <w:t>2025</w:t>
      </w:r>
      <w:r w:rsidR="00C66F39">
        <w:t xml:space="preserve">) </w:t>
      </w:r>
      <w:r>
        <w:t xml:space="preserve">PLA </w:t>
      </w:r>
      <w:r w:rsidRPr="004B54F9">
        <w:t>budget</w:t>
      </w:r>
      <w:r w:rsidR="00570896" w:rsidRPr="004B54F9">
        <w:t xml:space="preserve">. </w:t>
      </w:r>
      <w:r w:rsidR="006E7BB0" w:rsidRPr="004B54F9">
        <w:t>This budget can be reviewed one more time if any changes need to be made in May 202</w:t>
      </w:r>
      <w:r w:rsidR="008120EB">
        <w:t>4</w:t>
      </w:r>
      <w:r w:rsidR="006E7BB0" w:rsidRPr="004B54F9">
        <w:t xml:space="preserve"> before the ALA budget is approved by the Executive Board in June 202</w:t>
      </w:r>
      <w:r w:rsidR="008120EB">
        <w:t>4</w:t>
      </w:r>
      <w:r w:rsidR="006E7BB0" w:rsidRPr="004B54F9">
        <w:t>.</w:t>
      </w:r>
    </w:p>
    <w:p w14:paraId="71079F21" w14:textId="77777777" w:rsidR="00561169" w:rsidRDefault="000D1D0B" w:rsidP="00561169">
      <w:pPr>
        <w:rPr>
          <w:b/>
          <w:bCs/>
        </w:rPr>
      </w:pPr>
      <w:r w:rsidRPr="004B54F9">
        <w:rPr>
          <w:b/>
          <w:bCs/>
        </w:rPr>
        <w:t>Overall:</w:t>
      </w:r>
    </w:p>
    <w:p w14:paraId="1859A58A" w14:textId="088853E8" w:rsidR="00BA3604" w:rsidRPr="00561169" w:rsidRDefault="00BA3604" w:rsidP="00532736">
      <w:pPr>
        <w:pStyle w:val="ListParagraph"/>
        <w:numPr>
          <w:ilvl w:val="0"/>
          <w:numId w:val="13"/>
        </w:numPr>
        <w:rPr>
          <w:b/>
          <w:bCs/>
        </w:rPr>
      </w:pPr>
      <w:r w:rsidRPr="004B54F9">
        <w:t xml:space="preserve">The budget will reflect </w:t>
      </w:r>
      <w:r w:rsidR="000D1D0B" w:rsidRPr="004B54F9">
        <w:t xml:space="preserve">PLA’s </w:t>
      </w:r>
      <w:r w:rsidRPr="004B54F9">
        <w:t>strategic plan.</w:t>
      </w:r>
    </w:p>
    <w:p w14:paraId="56E5EDEA" w14:textId="4F394293" w:rsidR="000D1D0B" w:rsidRDefault="001653C5" w:rsidP="00532736">
      <w:pPr>
        <w:pStyle w:val="ListParagraph"/>
        <w:numPr>
          <w:ilvl w:val="0"/>
          <w:numId w:val="13"/>
        </w:numPr>
      </w:pPr>
      <w:r w:rsidRPr="00E2792B">
        <w:t>PLA</w:t>
      </w:r>
      <w:r w:rsidR="00F12462" w:rsidRPr="00E2792B">
        <w:t>’s budgeting will be informed by ALA’s budget strategy. In January 202</w:t>
      </w:r>
      <w:r w:rsidR="008120EB">
        <w:t>4</w:t>
      </w:r>
      <w:r w:rsidR="00F12462" w:rsidRPr="00E2792B">
        <w:t xml:space="preserve">, </w:t>
      </w:r>
      <w:r w:rsidR="00C065A7">
        <w:t xml:space="preserve">the ALA </w:t>
      </w:r>
      <w:r w:rsidR="001B2F41">
        <w:t>Council</w:t>
      </w:r>
      <w:r w:rsidR="00C065A7">
        <w:t xml:space="preserve"> </w:t>
      </w:r>
      <w:r w:rsidR="00F12462" w:rsidRPr="00E2792B">
        <w:t>approved the following budget objectives for FY2</w:t>
      </w:r>
      <w:r w:rsidR="00EC2A2E">
        <w:t>5</w:t>
      </w:r>
      <w:r w:rsidR="001B2F41">
        <w:t xml:space="preserve"> (EBD/BARC#3.13, EBD #3.12)</w:t>
      </w:r>
      <w:r w:rsidR="00F12462" w:rsidRPr="00E2792B">
        <w:t xml:space="preserve">: </w:t>
      </w:r>
    </w:p>
    <w:p w14:paraId="4DE5141B" w14:textId="6DFE9620" w:rsidR="000D1D0B" w:rsidRDefault="00C065A7" w:rsidP="00532736">
      <w:pPr>
        <w:pStyle w:val="ListParagraph"/>
        <w:numPr>
          <w:ilvl w:val="1"/>
          <w:numId w:val="14"/>
        </w:numPr>
      </w:pPr>
      <w:r>
        <w:t xml:space="preserve">Neutral </w:t>
      </w:r>
      <w:r w:rsidR="00F12462" w:rsidRPr="00E2792B">
        <w:t xml:space="preserve">revenue/expense </w:t>
      </w:r>
      <w:r w:rsidR="00570896" w:rsidRPr="00E2792B">
        <w:t>budget.</w:t>
      </w:r>
      <w:r w:rsidR="00F12462" w:rsidRPr="00E2792B">
        <w:t xml:space="preserve"> </w:t>
      </w:r>
    </w:p>
    <w:p w14:paraId="232C9815" w14:textId="4E9DE265" w:rsidR="00C065A7" w:rsidRDefault="00C065A7" w:rsidP="00532736">
      <w:pPr>
        <w:pStyle w:val="ListParagraph"/>
        <w:numPr>
          <w:ilvl w:val="1"/>
          <w:numId w:val="14"/>
        </w:numPr>
      </w:pPr>
      <w:r w:rsidRPr="00E2792B">
        <w:t xml:space="preserve">Monitor new revenue </w:t>
      </w:r>
      <w:r w:rsidR="00570896" w:rsidRPr="00E2792B">
        <w:t>sources.</w:t>
      </w:r>
      <w:r w:rsidRPr="00E2792B">
        <w:t xml:space="preserve"> </w:t>
      </w:r>
    </w:p>
    <w:p w14:paraId="28128987" w14:textId="02F7576B" w:rsidR="000D1D0B" w:rsidRDefault="00F12462" w:rsidP="00C065A7">
      <w:pPr>
        <w:pStyle w:val="ListParagraph"/>
        <w:numPr>
          <w:ilvl w:val="1"/>
          <w:numId w:val="14"/>
        </w:numPr>
      </w:pPr>
      <w:r w:rsidRPr="00E2792B">
        <w:t xml:space="preserve">Rebuild membership </w:t>
      </w:r>
      <w:r w:rsidR="00570896" w:rsidRPr="00E2792B">
        <w:t>base.</w:t>
      </w:r>
      <w:r w:rsidRPr="00E2792B">
        <w:t xml:space="preserve"> </w:t>
      </w:r>
    </w:p>
    <w:p w14:paraId="0206E195" w14:textId="12539254" w:rsidR="00C065A7" w:rsidRDefault="00F12462" w:rsidP="00532736">
      <w:pPr>
        <w:pStyle w:val="ListParagraph"/>
        <w:numPr>
          <w:ilvl w:val="1"/>
          <w:numId w:val="14"/>
        </w:numPr>
      </w:pPr>
      <w:r w:rsidRPr="00E2792B">
        <w:t xml:space="preserve">Focus on financial stability and </w:t>
      </w:r>
      <w:r w:rsidR="00570896" w:rsidRPr="00E2792B">
        <w:t>growth.</w:t>
      </w:r>
      <w:r w:rsidRPr="00E2792B">
        <w:t xml:space="preserve"> </w:t>
      </w:r>
    </w:p>
    <w:p w14:paraId="40051AAB" w14:textId="3EBB4EFA" w:rsidR="00C065A7" w:rsidRPr="00AD3611" w:rsidRDefault="00C065A7" w:rsidP="00C065A7">
      <w:pPr>
        <w:pStyle w:val="ListParagraph"/>
        <w:numPr>
          <w:ilvl w:val="1"/>
          <w:numId w:val="14"/>
        </w:numPr>
      </w:pPr>
      <w:r w:rsidRPr="00AD3611">
        <w:t xml:space="preserve">Implementation and assessment of </w:t>
      </w:r>
      <w:r w:rsidR="00F12462" w:rsidRPr="00AD3611">
        <w:t>budget metrics.</w:t>
      </w:r>
    </w:p>
    <w:p w14:paraId="29A50FD5" w14:textId="5A2CDAFA" w:rsidR="00382D6C" w:rsidRPr="00382D6C" w:rsidRDefault="00B83D2C" w:rsidP="00382D6C">
      <w:pPr>
        <w:pStyle w:val="ListParagraph"/>
        <w:numPr>
          <w:ilvl w:val="0"/>
          <w:numId w:val="13"/>
        </w:numPr>
        <w:rPr>
          <w:b/>
          <w:strike/>
        </w:rPr>
      </w:pPr>
      <w:r w:rsidRPr="00AD3611">
        <w:t xml:space="preserve">ALA plans a </w:t>
      </w:r>
      <w:r w:rsidR="00971E4C" w:rsidRPr="00AD3611">
        <w:t>3</w:t>
      </w:r>
      <w:r w:rsidRPr="00AD3611">
        <w:t>% staff salary increase in FY2</w:t>
      </w:r>
      <w:r w:rsidR="00EC2A2E" w:rsidRPr="00AD3611">
        <w:t>5,</w:t>
      </w:r>
      <w:r w:rsidR="00971E4C" w:rsidRPr="00AD3611">
        <w:t xml:space="preserve"> there was a </w:t>
      </w:r>
      <w:r w:rsidR="00B93526" w:rsidRPr="00AD3611">
        <w:t>3</w:t>
      </w:r>
      <w:r w:rsidR="00971E4C" w:rsidRPr="00AD3611">
        <w:t>% staff salary increase in FY2</w:t>
      </w:r>
      <w:r w:rsidR="00B93526" w:rsidRPr="00AD3611">
        <w:t>4</w:t>
      </w:r>
      <w:r w:rsidR="00971E4C" w:rsidRPr="00AD3611">
        <w:t>.</w:t>
      </w:r>
      <w:r w:rsidR="00382D6C">
        <w:t xml:space="preserve"> Benefits will remain at 33%.</w:t>
      </w:r>
    </w:p>
    <w:p w14:paraId="3BD63C8F" w14:textId="5C731FB6" w:rsidR="004B54F9" w:rsidRPr="00AD3611" w:rsidRDefault="004B54F9" w:rsidP="00AD3611">
      <w:pPr>
        <w:pStyle w:val="ListParagraph"/>
        <w:numPr>
          <w:ilvl w:val="0"/>
          <w:numId w:val="13"/>
        </w:numPr>
        <w:rPr>
          <w:b/>
          <w:strike/>
        </w:rPr>
      </w:pPr>
      <w:r w:rsidRPr="00AD3611">
        <w:t>ALA’s FY2</w:t>
      </w:r>
      <w:r w:rsidR="00EC2A2E" w:rsidRPr="00AD3611">
        <w:t>5</w:t>
      </w:r>
      <w:r w:rsidRPr="00AD3611">
        <w:t xml:space="preserve"> budget</w:t>
      </w:r>
      <w:r w:rsidR="00D11276">
        <w:t xml:space="preserve"> implements a</w:t>
      </w:r>
      <w:r w:rsidR="00AD3611" w:rsidRPr="00AD3611">
        <w:t xml:space="preserve"> simplified ALA dues structure</w:t>
      </w:r>
      <w:r w:rsidR="00D11276">
        <w:t xml:space="preserve">, consolidating </w:t>
      </w:r>
      <w:r w:rsidR="00570896">
        <w:t>eleven</w:t>
      </w:r>
      <w:r w:rsidR="00D11276">
        <w:t xml:space="preserve"> membership categories into four membership categories (see Table below)</w:t>
      </w:r>
      <w:r w:rsidR="00AD3611" w:rsidRPr="00AD3611">
        <w:t xml:space="preserve">. </w:t>
      </w:r>
      <w:r w:rsidR="00AD3611">
        <w:t xml:space="preserve">Revisions and possible simplification of Division dues structure </w:t>
      </w:r>
      <w:r w:rsidR="00D11276">
        <w:t xml:space="preserve">are being </w:t>
      </w:r>
      <w:r w:rsidR="00AD3611">
        <w:t xml:space="preserve">explored by a working group in FY25. </w:t>
      </w:r>
    </w:p>
    <w:p w14:paraId="2A19BDA7" w14:textId="32A4209F" w:rsidR="00EC2A2E" w:rsidRPr="00EC2A2E" w:rsidRDefault="00EC2A2E" w:rsidP="00532736">
      <w:pPr>
        <w:pStyle w:val="ListParagraph"/>
        <w:numPr>
          <w:ilvl w:val="0"/>
          <w:numId w:val="13"/>
        </w:numPr>
      </w:pPr>
      <w:r w:rsidRPr="00EC2A2E">
        <w:t>ALA continues the freeze of net asset balance transfers to endowments.</w:t>
      </w:r>
    </w:p>
    <w:p w14:paraId="31B99EA2" w14:textId="7C8EF063" w:rsidR="001B2F41" w:rsidRDefault="00532736" w:rsidP="001B2F41">
      <w:pPr>
        <w:pStyle w:val="ListParagraph"/>
        <w:numPr>
          <w:ilvl w:val="0"/>
          <w:numId w:val="13"/>
        </w:numPr>
      </w:pPr>
      <w:r w:rsidRPr="00532736">
        <w:t xml:space="preserve">Overhead will be charged at the same rate as last </w:t>
      </w:r>
      <w:r w:rsidR="00570896" w:rsidRPr="00532736">
        <w:t>year,</w:t>
      </w:r>
      <w:r w:rsidRPr="00532736">
        <w:t xml:space="preserve"> which is 26.5%.</w:t>
      </w:r>
    </w:p>
    <w:p w14:paraId="2A7B08EB" w14:textId="0A3392CB" w:rsidR="001B2F41" w:rsidRDefault="001B2F41" w:rsidP="001B2F41">
      <w:pPr>
        <w:pStyle w:val="ListParagraph"/>
        <w:numPr>
          <w:ilvl w:val="0"/>
          <w:numId w:val="13"/>
        </w:numPr>
      </w:pPr>
      <w:r>
        <w:t>Additionally, ALA unit managers have been directed to keep non-salary expenses at FY23 level or lower.</w:t>
      </w:r>
    </w:p>
    <w:p w14:paraId="61767A56" w14:textId="47E180C1" w:rsidR="001B2F41" w:rsidRDefault="000544F1" w:rsidP="000544F1">
      <w:pPr>
        <w:pStyle w:val="ListParagraph"/>
        <w:numPr>
          <w:ilvl w:val="0"/>
          <w:numId w:val="13"/>
        </w:numPr>
      </w:pPr>
      <w:r>
        <w:t xml:space="preserve">Discretionary expenditures can be reduced during the year to offset any unfavorable revenue results. </w:t>
      </w:r>
      <w:r w:rsidR="001B2F41">
        <w:t>ALA identified two specific expense control levers to continue to align expenses with revenue:</w:t>
      </w:r>
    </w:p>
    <w:p w14:paraId="62A5E91A" w14:textId="3AF53B3C" w:rsidR="001B2F41" w:rsidRDefault="000642DD" w:rsidP="001B2F41">
      <w:pPr>
        <w:pStyle w:val="ListParagraph"/>
        <w:numPr>
          <w:ilvl w:val="1"/>
          <w:numId w:val="13"/>
        </w:numPr>
      </w:pPr>
      <w:r>
        <w:t xml:space="preserve">Staff </w:t>
      </w:r>
      <w:r w:rsidR="001B2F41">
        <w:t>New hires will be closely scrutinized</w:t>
      </w:r>
    </w:p>
    <w:p w14:paraId="5B022E51" w14:textId="77777777" w:rsidR="000544F1" w:rsidRDefault="000642DD" w:rsidP="000642DD">
      <w:pPr>
        <w:pStyle w:val="ListParagraph"/>
        <w:numPr>
          <w:ilvl w:val="1"/>
          <w:numId w:val="13"/>
        </w:numPr>
      </w:pPr>
      <w:r>
        <w:t xml:space="preserve">Travel </w:t>
      </w:r>
    </w:p>
    <w:p w14:paraId="3E609799" w14:textId="2CA57488" w:rsidR="000D1D0B" w:rsidRPr="00532736" w:rsidRDefault="000D1D0B" w:rsidP="000D1D0B">
      <w:pPr>
        <w:rPr>
          <w:b/>
          <w:bCs/>
        </w:rPr>
      </w:pPr>
      <w:r w:rsidRPr="00532736">
        <w:rPr>
          <w:b/>
          <w:bCs/>
        </w:rPr>
        <w:t>Conference</w:t>
      </w:r>
    </w:p>
    <w:p w14:paraId="5371C0C3" w14:textId="7B60FA4A" w:rsidR="00532736" w:rsidRDefault="00046FBF" w:rsidP="00532736">
      <w:pPr>
        <w:pStyle w:val="ListParagraph"/>
        <w:ind w:left="0"/>
      </w:pPr>
      <w:r>
        <w:t>FY</w:t>
      </w:r>
      <w:r w:rsidR="004D0C92">
        <w:t>2</w:t>
      </w:r>
      <w:r w:rsidR="008248F3">
        <w:t>5 is a non-conference year,</w:t>
      </w:r>
      <w:r w:rsidR="00095C38">
        <w:t xml:space="preserve"> </w:t>
      </w:r>
      <w:r w:rsidR="00095C38" w:rsidRPr="000D1D0B">
        <w:rPr>
          <w:i/>
          <w:iCs/>
        </w:rPr>
        <w:t xml:space="preserve">year </w:t>
      </w:r>
      <w:r w:rsidR="008248F3">
        <w:rPr>
          <w:i/>
          <w:iCs/>
        </w:rPr>
        <w:t>two</w:t>
      </w:r>
      <w:r w:rsidR="00095C38">
        <w:t xml:space="preserve"> in PLA’s two</w:t>
      </w:r>
      <w:r w:rsidR="00E2792B">
        <w:t>-</w:t>
      </w:r>
      <w:r w:rsidR="00095C38">
        <w:t xml:space="preserve">year revenue cycle. We build our net asset balance </w:t>
      </w:r>
      <w:r w:rsidR="00700DA5">
        <w:t>in year one and budget year t</w:t>
      </w:r>
      <w:r w:rsidR="00095C38">
        <w:t>wo (</w:t>
      </w:r>
      <w:r w:rsidR="000D1D0B">
        <w:t xml:space="preserve">the </w:t>
      </w:r>
      <w:r w:rsidR="00095C38">
        <w:t xml:space="preserve">non-conference year) as a </w:t>
      </w:r>
      <w:r>
        <w:t>“spend-down” year</w:t>
      </w:r>
      <w:r w:rsidR="00095C38">
        <w:t>.</w:t>
      </w:r>
      <w:r w:rsidR="00D360DB">
        <w:t xml:space="preserve"> The 202</w:t>
      </w:r>
      <w:r w:rsidR="008248F3">
        <w:t>4</w:t>
      </w:r>
      <w:r w:rsidR="00D360DB">
        <w:t xml:space="preserve"> </w:t>
      </w:r>
      <w:r w:rsidR="008248F3">
        <w:t xml:space="preserve">PLA National Conference </w:t>
      </w:r>
      <w:r w:rsidR="00570896">
        <w:t>will be</w:t>
      </w:r>
      <w:r w:rsidR="008248F3">
        <w:t xml:space="preserve"> held in April 2024.</w:t>
      </w:r>
      <w:r w:rsidR="00CE7A2F">
        <w:t xml:space="preserve"> It was </w:t>
      </w:r>
      <w:r w:rsidR="00700DA5" w:rsidRPr="00532736">
        <w:t>budgeted conservatively</w:t>
      </w:r>
      <w:r w:rsidR="00095C38" w:rsidRPr="00532736">
        <w:t xml:space="preserve"> </w:t>
      </w:r>
      <w:r w:rsidR="00700DA5" w:rsidRPr="00532736">
        <w:t xml:space="preserve">in terms of registration and exhibit </w:t>
      </w:r>
      <w:r w:rsidR="000D1D0B" w:rsidRPr="00532736">
        <w:t>revenues</w:t>
      </w:r>
      <w:r w:rsidR="00CE7A2F">
        <w:t xml:space="preserve"> and </w:t>
      </w:r>
      <w:r w:rsidR="00B51B42">
        <w:t>was projected to net</w:t>
      </w:r>
      <w:r w:rsidR="00700DA5" w:rsidRPr="00532736">
        <w:t xml:space="preserve">  </w:t>
      </w:r>
    </w:p>
    <w:p w14:paraId="786760A7" w14:textId="545FC4D6" w:rsidR="00532736" w:rsidRDefault="00B51B42" w:rsidP="00532736">
      <w:pPr>
        <w:pStyle w:val="ListParagraph"/>
        <w:ind w:left="0"/>
      </w:pPr>
      <w:r>
        <w:t xml:space="preserve">565,927. It is currently on track to exceed budget. </w:t>
      </w:r>
    </w:p>
    <w:p w14:paraId="10E99F44" w14:textId="77777777" w:rsidR="00BA0B99" w:rsidRDefault="00BA0B99" w:rsidP="000D1D0B">
      <w:pPr>
        <w:rPr>
          <w:b/>
          <w:bCs/>
        </w:rPr>
      </w:pPr>
    </w:p>
    <w:p w14:paraId="3C2714B6" w14:textId="77777777" w:rsidR="00BA0B99" w:rsidRDefault="00BA0B99" w:rsidP="000D1D0B">
      <w:pPr>
        <w:rPr>
          <w:b/>
          <w:bCs/>
        </w:rPr>
      </w:pPr>
    </w:p>
    <w:p w14:paraId="37B30985" w14:textId="6D8FAE85" w:rsidR="000D1D0B" w:rsidRDefault="000D1D0B" w:rsidP="000D1D0B">
      <w:pPr>
        <w:rPr>
          <w:b/>
          <w:bCs/>
        </w:rPr>
      </w:pPr>
      <w:r w:rsidRPr="00532736">
        <w:rPr>
          <w:b/>
          <w:bCs/>
        </w:rPr>
        <w:lastRenderedPageBreak/>
        <w:t>Membership</w:t>
      </w:r>
      <w:r w:rsidR="00561169" w:rsidRPr="00532736">
        <w:rPr>
          <w:b/>
          <w:bCs/>
        </w:rPr>
        <w:t xml:space="preserve"> </w:t>
      </w:r>
    </w:p>
    <w:p w14:paraId="75BFEBF7" w14:textId="37AD3E0C" w:rsidR="00D11276" w:rsidRDefault="00B51B42" w:rsidP="00AD3611">
      <w:r w:rsidRPr="00544114">
        <w:t xml:space="preserve">In a non-PLA conference year, dues are PLA’s primary revenue source (excluding grant funding). </w:t>
      </w:r>
      <w:r w:rsidR="00544114" w:rsidRPr="00544114">
        <w:t xml:space="preserve">PLA has </w:t>
      </w:r>
      <w:r w:rsidR="00AD3611" w:rsidRPr="00544114">
        <w:t>budgeted no dues increase in FY25 after implementing a 5% dues increase in FY24 (with the exception of student dues which were frozen at FY23 rates).</w:t>
      </w:r>
      <w:r w:rsidR="00544114" w:rsidRPr="00544114">
        <w:t xml:space="preserve"> The current membership dues budget is based on predicted “low” for non-conference year membership loss, and a</w:t>
      </w:r>
      <w:r w:rsidR="00570896">
        <w:t>ssum</w:t>
      </w:r>
      <w:r w:rsidR="00544114" w:rsidRPr="00544114">
        <w:t xml:space="preserve">es </w:t>
      </w:r>
      <w:r w:rsidR="00570896">
        <w:t xml:space="preserve">a </w:t>
      </w:r>
      <w:r w:rsidR="00544114" w:rsidRPr="00544114">
        <w:t>14% loss, equivalent to FY23 (consistent will all non-conference year</w:t>
      </w:r>
      <w:r w:rsidR="00544114">
        <w:t xml:space="preserve">s. </w:t>
      </w:r>
      <w:r w:rsidR="00D11276">
        <w:t>The table below shows the four consolidated ALA membership types and total cost of PLA membership</w:t>
      </w:r>
      <w:r w:rsidR="006E343E">
        <w:t>, per membership type.</w:t>
      </w:r>
    </w:p>
    <w:tbl>
      <w:tblPr>
        <w:tblW w:w="8480" w:type="dxa"/>
        <w:tblInd w:w="602" w:type="dxa"/>
        <w:tblLook w:val="04A0" w:firstRow="1" w:lastRow="0" w:firstColumn="1" w:lastColumn="0" w:noHBand="0" w:noVBand="1"/>
      </w:tblPr>
      <w:tblGrid>
        <w:gridCol w:w="4040"/>
        <w:gridCol w:w="1400"/>
        <w:gridCol w:w="1300"/>
        <w:gridCol w:w="1740"/>
      </w:tblGrid>
      <w:tr w:rsidR="00D11276" w:rsidRPr="006417A7" w14:paraId="5D3395F3" w14:textId="77777777" w:rsidTr="006E343E">
        <w:trPr>
          <w:trHeight w:val="300"/>
        </w:trPr>
        <w:tc>
          <w:tcPr>
            <w:tcW w:w="4040" w:type="dxa"/>
            <w:tcBorders>
              <w:top w:val="single" w:sz="8" w:space="0" w:color="auto"/>
              <w:left w:val="single" w:sz="8" w:space="0" w:color="auto"/>
              <w:bottom w:val="single" w:sz="8" w:space="0" w:color="auto"/>
              <w:right w:val="single" w:sz="8" w:space="0" w:color="auto"/>
            </w:tcBorders>
            <w:shd w:val="clear" w:color="auto" w:fill="auto"/>
            <w:hideMark/>
          </w:tcPr>
          <w:p w14:paraId="1BEBCD9D" w14:textId="08F4511F" w:rsidR="00D11276" w:rsidRPr="006417A7" w:rsidRDefault="00D11276" w:rsidP="00D11276">
            <w:pPr>
              <w:spacing w:after="0" w:line="240" w:lineRule="auto"/>
              <w:jc w:val="center"/>
              <w:textAlignment w:val="baseline"/>
              <w:rPr>
                <w:rFonts w:ascii="Calibri" w:eastAsia="Times New Roman" w:hAnsi="Calibri" w:cs="Calibri"/>
                <w:b/>
                <w:bCs/>
                <w:color w:val="000000"/>
              </w:rPr>
            </w:pPr>
            <w:r w:rsidRPr="006417A7">
              <w:rPr>
                <w:rFonts w:ascii="Calibri" w:eastAsia="Times New Roman" w:hAnsi="Calibri" w:cs="Calibri"/>
                <w:b/>
                <w:bCs/>
                <w:color w:val="000000"/>
              </w:rPr>
              <w:t>FY25 Membership Types</w:t>
            </w:r>
          </w:p>
        </w:tc>
        <w:tc>
          <w:tcPr>
            <w:tcW w:w="1400" w:type="dxa"/>
            <w:tcBorders>
              <w:top w:val="single" w:sz="8" w:space="0" w:color="auto"/>
              <w:left w:val="nil"/>
              <w:bottom w:val="single" w:sz="8" w:space="0" w:color="auto"/>
              <w:right w:val="single" w:sz="8" w:space="0" w:color="auto"/>
            </w:tcBorders>
            <w:shd w:val="clear" w:color="auto" w:fill="auto"/>
            <w:hideMark/>
          </w:tcPr>
          <w:p w14:paraId="403BADE4" w14:textId="77777777" w:rsidR="00D11276" w:rsidRPr="006417A7" w:rsidRDefault="00D11276" w:rsidP="00D11276">
            <w:pPr>
              <w:spacing w:after="0" w:line="240" w:lineRule="auto"/>
              <w:jc w:val="center"/>
              <w:rPr>
                <w:rFonts w:ascii="Calibri" w:eastAsia="Times New Roman" w:hAnsi="Calibri" w:cs="Calibri"/>
                <w:b/>
                <w:bCs/>
                <w:color w:val="000000"/>
              </w:rPr>
            </w:pPr>
            <w:r w:rsidRPr="006417A7">
              <w:rPr>
                <w:rFonts w:ascii="Calibri" w:eastAsia="Times New Roman" w:hAnsi="Calibri" w:cs="Calibri"/>
                <w:b/>
                <w:bCs/>
                <w:color w:val="000000"/>
              </w:rPr>
              <w:t>ALA Dues</w:t>
            </w:r>
          </w:p>
        </w:tc>
        <w:tc>
          <w:tcPr>
            <w:tcW w:w="1300" w:type="dxa"/>
            <w:tcBorders>
              <w:top w:val="single" w:sz="8" w:space="0" w:color="auto"/>
              <w:left w:val="nil"/>
              <w:bottom w:val="single" w:sz="8" w:space="0" w:color="auto"/>
              <w:right w:val="single" w:sz="8" w:space="0" w:color="auto"/>
            </w:tcBorders>
            <w:shd w:val="clear" w:color="auto" w:fill="auto"/>
            <w:hideMark/>
          </w:tcPr>
          <w:p w14:paraId="4C8AE3F6" w14:textId="77777777" w:rsidR="00D11276" w:rsidRPr="006417A7" w:rsidRDefault="00D11276" w:rsidP="00D11276">
            <w:pPr>
              <w:spacing w:after="0" w:line="240" w:lineRule="auto"/>
              <w:jc w:val="center"/>
              <w:rPr>
                <w:rFonts w:ascii="Calibri" w:eastAsia="Times New Roman" w:hAnsi="Calibri" w:cs="Calibri"/>
                <w:b/>
                <w:bCs/>
                <w:color w:val="000000"/>
              </w:rPr>
            </w:pPr>
            <w:r w:rsidRPr="006417A7">
              <w:rPr>
                <w:rFonts w:ascii="Calibri" w:eastAsia="Times New Roman" w:hAnsi="Calibri" w:cs="Calibri"/>
                <w:b/>
                <w:bCs/>
                <w:color w:val="000000"/>
              </w:rPr>
              <w:t>PLA Dues</w:t>
            </w:r>
          </w:p>
        </w:tc>
        <w:tc>
          <w:tcPr>
            <w:tcW w:w="1740" w:type="dxa"/>
            <w:tcBorders>
              <w:top w:val="single" w:sz="8" w:space="0" w:color="auto"/>
              <w:left w:val="nil"/>
              <w:bottom w:val="single" w:sz="8" w:space="0" w:color="auto"/>
              <w:right w:val="single" w:sz="8" w:space="0" w:color="auto"/>
            </w:tcBorders>
            <w:shd w:val="clear" w:color="auto" w:fill="auto"/>
            <w:hideMark/>
          </w:tcPr>
          <w:p w14:paraId="07582FEF" w14:textId="77777777" w:rsidR="00D11276" w:rsidRPr="006417A7" w:rsidRDefault="00D11276" w:rsidP="00D11276">
            <w:pPr>
              <w:spacing w:after="0" w:line="240" w:lineRule="auto"/>
              <w:jc w:val="center"/>
              <w:rPr>
                <w:rFonts w:ascii="Calibri" w:eastAsia="Times New Roman" w:hAnsi="Calibri" w:cs="Calibri"/>
                <w:b/>
                <w:bCs/>
                <w:color w:val="000000"/>
              </w:rPr>
            </w:pPr>
            <w:r w:rsidRPr="006417A7">
              <w:rPr>
                <w:rFonts w:ascii="Calibri" w:eastAsia="Times New Roman" w:hAnsi="Calibri" w:cs="Calibri"/>
                <w:b/>
                <w:bCs/>
                <w:color w:val="000000"/>
              </w:rPr>
              <w:t>ALA+PLA Dues</w:t>
            </w:r>
          </w:p>
        </w:tc>
      </w:tr>
      <w:tr w:rsidR="00D11276" w:rsidRPr="006417A7" w14:paraId="5560DEF9" w14:textId="77777777" w:rsidTr="006E343E">
        <w:trPr>
          <w:trHeight w:val="480"/>
        </w:trPr>
        <w:tc>
          <w:tcPr>
            <w:tcW w:w="4040" w:type="dxa"/>
            <w:tcBorders>
              <w:top w:val="nil"/>
              <w:left w:val="single" w:sz="8" w:space="0" w:color="auto"/>
              <w:bottom w:val="single" w:sz="8" w:space="0" w:color="auto"/>
              <w:right w:val="single" w:sz="8" w:space="0" w:color="auto"/>
            </w:tcBorders>
            <w:shd w:val="clear" w:color="auto" w:fill="auto"/>
            <w:vAlign w:val="bottom"/>
            <w:hideMark/>
          </w:tcPr>
          <w:p w14:paraId="1F0C78FA" w14:textId="77777777" w:rsidR="00D11276" w:rsidRPr="006417A7" w:rsidRDefault="00D11276" w:rsidP="00D11276">
            <w:pPr>
              <w:spacing w:after="0" w:line="240" w:lineRule="auto"/>
              <w:rPr>
                <w:rFonts w:ascii="Calibri" w:eastAsia="Times New Roman" w:hAnsi="Calibri" w:cs="Calibri"/>
                <w:b/>
                <w:bCs/>
                <w:color w:val="000000"/>
              </w:rPr>
            </w:pPr>
            <w:r w:rsidRPr="006417A7">
              <w:rPr>
                <w:rFonts w:ascii="Calibri" w:eastAsia="Times New Roman" w:hAnsi="Calibri" w:cs="Calibri"/>
                <w:b/>
                <w:bCs/>
                <w:color w:val="000000"/>
              </w:rPr>
              <w:t>Individual Type I:</w:t>
            </w:r>
            <w:r w:rsidRPr="006417A7">
              <w:rPr>
                <w:rFonts w:ascii="Calibri" w:eastAsia="Times New Roman" w:hAnsi="Calibri" w:cs="Calibri"/>
                <w:color w:val="000000"/>
              </w:rPr>
              <w:t> Regular members</w:t>
            </w:r>
          </w:p>
        </w:tc>
        <w:tc>
          <w:tcPr>
            <w:tcW w:w="1400" w:type="dxa"/>
            <w:tcBorders>
              <w:top w:val="nil"/>
              <w:left w:val="nil"/>
              <w:bottom w:val="single" w:sz="8" w:space="0" w:color="auto"/>
              <w:right w:val="single" w:sz="8" w:space="0" w:color="auto"/>
            </w:tcBorders>
            <w:shd w:val="clear" w:color="auto" w:fill="auto"/>
            <w:hideMark/>
          </w:tcPr>
          <w:p w14:paraId="3C89BF4D"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$125</w:t>
            </w:r>
          </w:p>
        </w:tc>
        <w:tc>
          <w:tcPr>
            <w:tcW w:w="1300" w:type="dxa"/>
            <w:tcBorders>
              <w:top w:val="nil"/>
              <w:left w:val="nil"/>
              <w:bottom w:val="single" w:sz="8" w:space="0" w:color="auto"/>
              <w:right w:val="single" w:sz="8" w:space="0" w:color="auto"/>
            </w:tcBorders>
            <w:shd w:val="clear" w:color="auto" w:fill="auto"/>
            <w:hideMark/>
          </w:tcPr>
          <w:p w14:paraId="0B7CB475"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$85</w:t>
            </w:r>
          </w:p>
        </w:tc>
        <w:tc>
          <w:tcPr>
            <w:tcW w:w="1740" w:type="dxa"/>
            <w:tcBorders>
              <w:top w:val="nil"/>
              <w:left w:val="nil"/>
              <w:bottom w:val="single" w:sz="8" w:space="0" w:color="auto"/>
              <w:right w:val="single" w:sz="8" w:space="0" w:color="auto"/>
            </w:tcBorders>
            <w:shd w:val="clear" w:color="auto" w:fill="auto"/>
            <w:hideMark/>
          </w:tcPr>
          <w:p w14:paraId="4A23AAEB"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$210</w:t>
            </w:r>
          </w:p>
        </w:tc>
      </w:tr>
      <w:tr w:rsidR="00D11276" w:rsidRPr="006417A7" w14:paraId="30AE157B" w14:textId="77777777" w:rsidTr="006E343E">
        <w:trPr>
          <w:trHeight w:val="576"/>
        </w:trPr>
        <w:tc>
          <w:tcPr>
            <w:tcW w:w="4040" w:type="dxa"/>
            <w:tcBorders>
              <w:top w:val="nil"/>
              <w:left w:val="single" w:sz="8" w:space="0" w:color="auto"/>
              <w:bottom w:val="single" w:sz="8" w:space="0" w:color="auto"/>
              <w:right w:val="single" w:sz="8" w:space="0" w:color="auto"/>
            </w:tcBorders>
            <w:shd w:val="clear" w:color="auto" w:fill="auto"/>
            <w:vAlign w:val="bottom"/>
            <w:hideMark/>
          </w:tcPr>
          <w:p w14:paraId="0056DBFD" w14:textId="04A5DAAC" w:rsidR="00D11276" w:rsidRPr="006417A7" w:rsidRDefault="00D11276" w:rsidP="00D11276">
            <w:pPr>
              <w:spacing w:after="0" w:line="240" w:lineRule="auto"/>
              <w:rPr>
                <w:rFonts w:ascii="Calibri" w:eastAsia="Times New Roman" w:hAnsi="Calibri" w:cs="Calibri"/>
                <w:b/>
                <w:bCs/>
                <w:color w:val="000000"/>
              </w:rPr>
            </w:pPr>
            <w:r w:rsidRPr="006417A7">
              <w:rPr>
                <w:rFonts w:ascii="Calibri" w:eastAsia="Times New Roman" w:hAnsi="Calibri" w:cs="Calibri"/>
                <w:b/>
                <w:bCs/>
                <w:color w:val="000000"/>
              </w:rPr>
              <w:t>Individual Type II:</w:t>
            </w:r>
            <w:r w:rsidRPr="006417A7">
              <w:rPr>
                <w:rFonts w:ascii="Calibri" w:eastAsia="Times New Roman" w:hAnsi="Calibri" w:cs="Calibri"/>
                <w:color w:val="000000"/>
              </w:rPr>
              <w:t xml:space="preserve"> Non-salaried, Retired, or </w:t>
            </w:r>
            <w:r w:rsidR="00570896" w:rsidRPr="006417A7">
              <w:rPr>
                <w:rFonts w:ascii="Calibri" w:eastAsia="Times New Roman" w:hAnsi="Calibri" w:cs="Calibri"/>
                <w:color w:val="000000"/>
              </w:rPr>
              <w:t>international</w:t>
            </w:r>
            <w:r w:rsidRPr="006417A7">
              <w:rPr>
                <w:rFonts w:ascii="Calibri" w:eastAsia="Times New Roman" w:hAnsi="Calibri" w:cs="Calibri"/>
                <w:color w:val="000000"/>
              </w:rPr>
              <w:t xml:space="preserve"> members</w:t>
            </w:r>
          </w:p>
        </w:tc>
        <w:tc>
          <w:tcPr>
            <w:tcW w:w="1400" w:type="dxa"/>
            <w:tcBorders>
              <w:top w:val="nil"/>
              <w:left w:val="nil"/>
              <w:bottom w:val="single" w:sz="8" w:space="0" w:color="auto"/>
              <w:right w:val="single" w:sz="8" w:space="0" w:color="auto"/>
            </w:tcBorders>
            <w:shd w:val="clear" w:color="auto" w:fill="auto"/>
            <w:hideMark/>
          </w:tcPr>
          <w:p w14:paraId="1F42311C"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$55</w:t>
            </w:r>
          </w:p>
        </w:tc>
        <w:tc>
          <w:tcPr>
            <w:tcW w:w="1300" w:type="dxa"/>
            <w:tcBorders>
              <w:top w:val="nil"/>
              <w:left w:val="nil"/>
              <w:bottom w:val="single" w:sz="8" w:space="0" w:color="auto"/>
              <w:right w:val="single" w:sz="8" w:space="0" w:color="auto"/>
            </w:tcBorders>
            <w:shd w:val="clear" w:color="auto" w:fill="auto"/>
            <w:hideMark/>
          </w:tcPr>
          <w:p w14:paraId="4962BB7E"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$62</w:t>
            </w:r>
          </w:p>
        </w:tc>
        <w:tc>
          <w:tcPr>
            <w:tcW w:w="1740" w:type="dxa"/>
            <w:tcBorders>
              <w:top w:val="nil"/>
              <w:left w:val="nil"/>
              <w:bottom w:val="single" w:sz="8" w:space="0" w:color="auto"/>
              <w:right w:val="single" w:sz="8" w:space="0" w:color="auto"/>
            </w:tcBorders>
            <w:shd w:val="clear" w:color="auto" w:fill="auto"/>
            <w:hideMark/>
          </w:tcPr>
          <w:p w14:paraId="6BBF9B1A"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$117</w:t>
            </w:r>
          </w:p>
        </w:tc>
      </w:tr>
      <w:tr w:rsidR="00D11276" w:rsidRPr="006417A7" w14:paraId="2C9798D9" w14:textId="77777777" w:rsidTr="006E343E">
        <w:trPr>
          <w:trHeight w:val="576"/>
        </w:trPr>
        <w:tc>
          <w:tcPr>
            <w:tcW w:w="4040" w:type="dxa"/>
            <w:tcBorders>
              <w:top w:val="nil"/>
              <w:left w:val="single" w:sz="8" w:space="0" w:color="auto"/>
              <w:bottom w:val="single" w:sz="8" w:space="0" w:color="auto"/>
              <w:right w:val="single" w:sz="8" w:space="0" w:color="auto"/>
            </w:tcBorders>
            <w:shd w:val="clear" w:color="auto" w:fill="auto"/>
            <w:vAlign w:val="bottom"/>
            <w:hideMark/>
          </w:tcPr>
          <w:p w14:paraId="217ACBDA" w14:textId="77777777" w:rsidR="00D11276" w:rsidRPr="006417A7" w:rsidRDefault="00D11276" w:rsidP="00D11276">
            <w:pPr>
              <w:spacing w:after="0" w:line="240" w:lineRule="auto"/>
              <w:rPr>
                <w:rFonts w:ascii="Calibri" w:eastAsia="Times New Roman" w:hAnsi="Calibri" w:cs="Calibri"/>
                <w:b/>
                <w:bCs/>
                <w:color w:val="000000"/>
              </w:rPr>
            </w:pPr>
            <w:r w:rsidRPr="006417A7">
              <w:rPr>
                <w:rFonts w:ascii="Calibri" w:eastAsia="Times New Roman" w:hAnsi="Calibri" w:cs="Calibri"/>
                <w:b/>
                <w:bCs/>
                <w:color w:val="000000"/>
              </w:rPr>
              <w:t>Supporter:</w:t>
            </w:r>
            <w:r w:rsidRPr="006417A7">
              <w:rPr>
                <w:rFonts w:ascii="Calibri" w:eastAsia="Times New Roman" w:hAnsi="Calibri" w:cs="Calibri"/>
                <w:color w:val="000000"/>
              </w:rPr>
              <w:t> Trustee, Friend, or Associate members</w:t>
            </w:r>
          </w:p>
        </w:tc>
        <w:tc>
          <w:tcPr>
            <w:tcW w:w="1400" w:type="dxa"/>
            <w:tcBorders>
              <w:top w:val="nil"/>
              <w:left w:val="nil"/>
              <w:bottom w:val="single" w:sz="8" w:space="0" w:color="auto"/>
              <w:right w:val="single" w:sz="8" w:space="0" w:color="auto"/>
            </w:tcBorders>
            <w:shd w:val="clear" w:color="auto" w:fill="auto"/>
            <w:hideMark/>
          </w:tcPr>
          <w:p w14:paraId="7EEB3E90"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$70</w:t>
            </w:r>
          </w:p>
        </w:tc>
        <w:tc>
          <w:tcPr>
            <w:tcW w:w="1300" w:type="dxa"/>
            <w:tcBorders>
              <w:top w:val="nil"/>
              <w:left w:val="nil"/>
              <w:bottom w:val="single" w:sz="8" w:space="0" w:color="auto"/>
              <w:right w:val="single" w:sz="8" w:space="0" w:color="auto"/>
            </w:tcBorders>
            <w:shd w:val="clear" w:color="auto" w:fill="auto"/>
            <w:hideMark/>
          </w:tcPr>
          <w:p w14:paraId="21CC0862"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$85</w:t>
            </w:r>
          </w:p>
        </w:tc>
        <w:tc>
          <w:tcPr>
            <w:tcW w:w="1740" w:type="dxa"/>
            <w:tcBorders>
              <w:top w:val="nil"/>
              <w:left w:val="nil"/>
              <w:bottom w:val="single" w:sz="8" w:space="0" w:color="auto"/>
              <w:right w:val="single" w:sz="8" w:space="0" w:color="auto"/>
            </w:tcBorders>
            <w:shd w:val="clear" w:color="auto" w:fill="auto"/>
            <w:hideMark/>
          </w:tcPr>
          <w:p w14:paraId="2B6A6B00"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$155</w:t>
            </w:r>
          </w:p>
        </w:tc>
      </w:tr>
      <w:tr w:rsidR="00D11276" w:rsidRPr="006417A7" w14:paraId="08205F00" w14:textId="77777777" w:rsidTr="006E343E">
        <w:trPr>
          <w:trHeight w:val="300"/>
        </w:trPr>
        <w:tc>
          <w:tcPr>
            <w:tcW w:w="4040" w:type="dxa"/>
            <w:tcBorders>
              <w:top w:val="nil"/>
              <w:left w:val="single" w:sz="8" w:space="0" w:color="auto"/>
              <w:bottom w:val="single" w:sz="8" w:space="0" w:color="auto"/>
              <w:right w:val="single" w:sz="8" w:space="0" w:color="auto"/>
            </w:tcBorders>
            <w:shd w:val="clear" w:color="auto" w:fill="auto"/>
            <w:vAlign w:val="bottom"/>
            <w:hideMark/>
          </w:tcPr>
          <w:p w14:paraId="4ECF7900" w14:textId="77777777" w:rsidR="00D11276" w:rsidRPr="006417A7" w:rsidRDefault="00D11276" w:rsidP="00D11276">
            <w:pPr>
              <w:spacing w:after="0" w:line="240" w:lineRule="auto"/>
              <w:rPr>
                <w:rFonts w:ascii="Calibri" w:eastAsia="Times New Roman" w:hAnsi="Calibri" w:cs="Calibri"/>
                <w:b/>
                <w:bCs/>
                <w:color w:val="000000"/>
              </w:rPr>
            </w:pPr>
            <w:r w:rsidRPr="006417A7">
              <w:rPr>
                <w:rFonts w:ascii="Calibri" w:eastAsia="Times New Roman" w:hAnsi="Calibri" w:cs="Calibri"/>
                <w:b/>
                <w:bCs/>
                <w:color w:val="000000"/>
              </w:rPr>
              <w:t>Student</w:t>
            </w:r>
          </w:p>
        </w:tc>
        <w:tc>
          <w:tcPr>
            <w:tcW w:w="1400" w:type="dxa"/>
            <w:tcBorders>
              <w:top w:val="nil"/>
              <w:left w:val="nil"/>
              <w:bottom w:val="single" w:sz="8" w:space="0" w:color="auto"/>
              <w:right w:val="single" w:sz="8" w:space="0" w:color="auto"/>
            </w:tcBorders>
            <w:shd w:val="clear" w:color="auto" w:fill="auto"/>
            <w:hideMark/>
          </w:tcPr>
          <w:p w14:paraId="0861C95F"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$40</w:t>
            </w:r>
          </w:p>
        </w:tc>
        <w:tc>
          <w:tcPr>
            <w:tcW w:w="1300" w:type="dxa"/>
            <w:tcBorders>
              <w:top w:val="nil"/>
              <w:left w:val="nil"/>
              <w:bottom w:val="single" w:sz="8" w:space="0" w:color="auto"/>
              <w:right w:val="single" w:sz="8" w:space="0" w:color="auto"/>
            </w:tcBorders>
            <w:shd w:val="clear" w:color="auto" w:fill="auto"/>
            <w:hideMark/>
          </w:tcPr>
          <w:p w14:paraId="2A770938"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$36</w:t>
            </w:r>
          </w:p>
        </w:tc>
        <w:tc>
          <w:tcPr>
            <w:tcW w:w="1740" w:type="dxa"/>
            <w:tcBorders>
              <w:top w:val="nil"/>
              <w:left w:val="nil"/>
              <w:bottom w:val="single" w:sz="8" w:space="0" w:color="auto"/>
              <w:right w:val="single" w:sz="8" w:space="0" w:color="auto"/>
            </w:tcBorders>
            <w:shd w:val="clear" w:color="auto" w:fill="auto"/>
            <w:hideMark/>
          </w:tcPr>
          <w:p w14:paraId="33A97CAA" w14:textId="77777777" w:rsidR="00D11276" w:rsidRPr="006417A7" w:rsidRDefault="00D11276" w:rsidP="00D11276">
            <w:pPr>
              <w:spacing w:after="0" w:line="240" w:lineRule="auto"/>
              <w:jc w:val="right"/>
              <w:rPr>
                <w:rFonts w:ascii="Calibri" w:eastAsia="Times New Roman" w:hAnsi="Calibri" w:cs="Calibri"/>
                <w:color w:val="000000"/>
              </w:rPr>
            </w:pPr>
            <w:r w:rsidRPr="006417A7">
              <w:rPr>
                <w:rFonts w:ascii="Calibri" w:eastAsia="Times New Roman" w:hAnsi="Calibri" w:cs="Calibri"/>
                <w:color w:val="000000"/>
              </w:rPr>
              <w:t>$76</w:t>
            </w:r>
          </w:p>
        </w:tc>
      </w:tr>
    </w:tbl>
    <w:p w14:paraId="3D4E718E" w14:textId="77777777" w:rsidR="00C42D0A" w:rsidRDefault="00C42D0A" w:rsidP="006E343E">
      <w:pPr>
        <w:rPr>
          <w:b/>
          <w:bCs/>
        </w:rPr>
      </w:pPr>
    </w:p>
    <w:p w14:paraId="6EF94C80" w14:textId="030DA3B8" w:rsidR="00532736" w:rsidRDefault="006E343E" w:rsidP="006E343E">
      <w:pPr>
        <w:rPr>
          <w:b/>
          <w:bCs/>
        </w:rPr>
      </w:pPr>
      <w:r>
        <w:rPr>
          <w:b/>
          <w:bCs/>
        </w:rPr>
        <w:t>P</w:t>
      </w:r>
      <w:r w:rsidR="00532736">
        <w:rPr>
          <w:b/>
          <w:bCs/>
        </w:rPr>
        <w:t xml:space="preserve">rograms &amp; Initiatives </w:t>
      </w:r>
    </w:p>
    <w:p w14:paraId="05BACCCA" w14:textId="007B601E" w:rsidR="00532736" w:rsidRPr="00570896" w:rsidRDefault="00532736" w:rsidP="006E343E">
      <w:r w:rsidRPr="00532736">
        <w:t>WebCE</w:t>
      </w:r>
      <w:r>
        <w:t xml:space="preserve">: </w:t>
      </w:r>
      <w:r w:rsidR="00FF10E2">
        <w:t xml:space="preserve">PLA’s WebCE </w:t>
      </w:r>
      <w:r w:rsidR="007C165F">
        <w:t xml:space="preserve">revenue </w:t>
      </w:r>
      <w:r w:rsidR="006E343E">
        <w:t>has been the strongest performer among our non-conference revenue streams. FY25</w:t>
      </w:r>
      <w:r>
        <w:t xml:space="preserve"> WebCE </w:t>
      </w:r>
      <w:r w:rsidR="006E343E">
        <w:t xml:space="preserve">revenue has been budgeted </w:t>
      </w:r>
      <w:r>
        <w:t xml:space="preserve">based on revenue goals, member needs and staff capacity. </w:t>
      </w:r>
      <w:r w:rsidRPr="00A830FA">
        <w:t>Strong competition within and outside ALA for public library professional development dollars will continue</w:t>
      </w:r>
      <w:r w:rsidR="00570896" w:rsidRPr="00A830FA">
        <w:t xml:space="preserve">. </w:t>
      </w:r>
      <w:r>
        <w:t>PLA will continue to collaborate with the CE unit on bundled sales to state libraries</w:t>
      </w:r>
      <w:r w:rsidR="006E343E">
        <w:t xml:space="preserve">, leverage PLA 2024 virtual conference recordings, and will </w:t>
      </w:r>
      <w:r w:rsidR="006E343E" w:rsidRPr="00570896">
        <w:t xml:space="preserve">aggressively pursue all avenues </w:t>
      </w:r>
      <w:r w:rsidRPr="00570896">
        <w:t>FY2</w:t>
      </w:r>
      <w:r w:rsidR="007C165F" w:rsidRPr="00570896">
        <w:t>5</w:t>
      </w:r>
      <w:r w:rsidRPr="00570896">
        <w:t xml:space="preserve">. </w:t>
      </w:r>
    </w:p>
    <w:p w14:paraId="6A4F1096" w14:textId="56FF048C" w:rsidR="00532736" w:rsidRPr="00570896" w:rsidRDefault="00532736" w:rsidP="006E343E">
      <w:r w:rsidRPr="00570896">
        <w:t xml:space="preserve">Advertising revenue:  </w:t>
      </w:r>
      <w:r w:rsidR="007C165F" w:rsidRPr="00570896">
        <w:t xml:space="preserve">PLA </w:t>
      </w:r>
      <w:r w:rsidR="006E343E" w:rsidRPr="00570896">
        <w:t>continues to build its advertising client portfolio. FY25 will again increase advertising goals as</w:t>
      </w:r>
      <w:r w:rsidR="00570896" w:rsidRPr="00570896">
        <w:t xml:space="preserve"> w</w:t>
      </w:r>
      <w:r w:rsidR="006E343E" w:rsidRPr="00570896">
        <w:t>e add sponsored research briefs to assets that currently include</w:t>
      </w:r>
      <w:r w:rsidR="007C165F" w:rsidRPr="00570896">
        <w:t xml:space="preserve"> </w:t>
      </w:r>
      <w:r w:rsidRPr="00570896">
        <w:rPr>
          <w:i/>
          <w:iCs/>
        </w:rPr>
        <w:t xml:space="preserve">Public Libraries </w:t>
      </w:r>
      <w:r w:rsidRPr="00570896">
        <w:t>magazine</w:t>
      </w:r>
      <w:r w:rsidR="006E343E" w:rsidRPr="00570896">
        <w:t xml:space="preserve">, </w:t>
      </w:r>
      <w:r w:rsidR="007C165F" w:rsidRPr="00570896">
        <w:t>E-News</w:t>
      </w:r>
      <w:r w:rsidR="006E343E" w:rsidRPr="00570896">
        <w:t xml:space="preserve">, podcasts, webinars and </w:t>
      </w:r>
      <w:r w:rsidR="006E343E" w:rsidRPr="00570896">
        <w:rPr>
          <w:i/>
          <w:iCs/>
        </w:rPr>
        <w:t xml:space="preserve">PLOnline, </w:t>
      </w:r>
      <w:r w:rsidRPr="00570896">
        <w:t>and we have budgeted accordingly to set sales goals</w:t>
      </w:r>
      <w:r w:rsidR="007C165F" w:rsidRPr="00570896">
        <w:t>.</w:t>
      </w:r>
      <w:r w:rsidRPr="00570896">
        <w:t xml:space="preserve"> </w:t>
      </w:r>
    </w:p>
    <w:p w14:paraId="763C34F6" w14:textId="254E6407" w:rsidR="00532736" w:rsidRPr="00570896" w:rsidRDefault="00532736" w:rsidP="006E343E">
      <w:r w:rsidRPr="00570896">
        <w:t xml:space="preserve">Data platforms: Project Outcome </w:t>
      </w:r>
      <w:r w:rsidR="007C165F" w:rsidRPr="00570896">
        <w:t xml:space="preserve">will be scaling down activities in 2024 </w:t>
      </w:r>
      <w:r w:rsidR="006E343E" w:rsidRPr="00570896">
        <w:t xml:space="preserve">in order to explore a transition to outcome measurement </w:t>
      </w:r>
      <w:r w:rsidR="00570896" w:rsidRPr="00570896">
        <w:t>eLearning</w:t>
      </w:r>
      <w:r w:rsidR="006E343E" w:rsidRPr="00570896">
        <w:t xml:space="preserve">; Benchmark will continue to explore </w:t>
      </w:r>
      <w:r w:rsidRPr="00570896">
        <w:t>revenue generation goals for FY2</w:t>
      </w:r>
      <w:r w:rsidR="006E343E" w:rsidRPr="00570896">
        <w:t>5</w:t>
      </w:r>
      <w:r w:rsidRPr="00570896">
        <w:t>, with development budgeted in the Gates Legacy Grant fund</w:t>
      </w:r>
      <w:r w:rsidR="00570896" w:rsidRPr="00570896">
        <w:t xml:space="preserve">. </w:t>
      </w:r>
    </w:p>
    <w:p w14:paraId="55AC5CE2" w14:textId="0D65A667" w:rsidR="00382D6C" w:rsidRPr="00570896" w:rsidRDefault="00382D6C" w:rsidP="006E343E">
      <w:r w:rsidRPr="00E444A9">
        <w:t>Professional development: PLA will build on existing and create new professional development opportunities for the membership. This work comprises conversion to digital from in-person models</w:t>
      </w:r>
      <w:r w:rsidR="00AF0DDC" w:rsidRPr="00E444A9">
        <w:t>, such as the Family Engagement Training</w:t>
      </w:r>
      <w:r w:rsidR="00472978" w:rsidRPr="00E444A9">
        <w:t>;  as well as refreshing and relaunching the PLA Leadership Academy</w:t>
      </w:r>
      <w:r w:rsidR="00E444A9" w:rsidRPr="00E444A9">
        <w:t xml:space="preserve">. </w:t>
      </w:r>
      <w:r w:rsidRPr="00E444A9">
        <w:t xml:space="preserve">PLA will continue to explore how to scale successful programs for maximum </w:t>
      </w:r>
      <w:r w:rsidR="00E444A9" w:rsidRPr="00E444A9">
        <w:t>revenue</w:t>
      </w:r>
      <w:r w:rsidR="00570896" w:rsidRPr="00E444A9">
        <w:t>.</w:t>
      </w:r>
      <w:r w:rsidR="00570896" w:rsidRPr="00570896">
        <w:t xml:space="preserve"> </w:t>
      </w:r>
    </w:p>
    <w:p w14:paraId="52C170E0" w14:textId="067BC7CB" w:rsidR="00532736" w:rsidRPr="00570896" w:rsidRDefault="00532736" w:rsidP="006E343E">
      <w:pPr>
        <w:rPr>
          <w:b/>
          <w:bCs/>
        </w:rPr>
      </w:pPr>
      <w:r w:rsidRPr="00570896">
        <w:rPr>
          <w:b/>
          <w:bCs/>
        </w:rPr>
        <w:t>Operations</w:t>
      </w:r>
    </w:p>
    <w:p w14:paraId="0C323FE6" w14:textId="0A2F5CD1" w:rsidR="00730E1A" w:rsidRPr="00570896" w:rsidRDefault="00532736" w:rsidP="00382D6C">
      <w:r w:rsidRPr="00570896">
        <w:t>Staffin</w:t>
      </w:r>
      <w:r w:rsidR="00B83D2C" w:rsidRPr="00570896">
        <w:t>g: In FY2</w:t>
      </w:r>
      <w:r w:rsidR="007C165F" w:rsidRPr="00570896">
        <w:t>5</w:t>
      </w:r>
      <w:r w:rsidR="00B83D2C" w:rsidRPr="00570896">
        <w:t xml:space="preserve"> there are no plans to add additional staff </w:t>
      </w:r>
      <w:r w:rsidR="007C165F" w:rsidRPr="00570896">
        <w:t>positions</w:t>
      </w:r>
      <w:r w:rsidR="006E343E" w:rsidRPr="00570896">
        <w:t>, however, FY25 marks the first year of sustainability staffing. This means</w:t>
      </w:r>
      <w:r w:rsidR="00382D6C" w:rsidRPr="00570896">
        <w:t xml:space="preserve"> that in alignment with sustainability goals for the Gates Legacy funds, significant staff costs will be moved over to PLA’s operating budget.</w:t>
      </w:r>
    </w:p>
    <w:p w14:paraId="7B401731" w14:textId="19EE2117" w:rsidR="00B83D2C" w:rsidRPr="00570896" w:rsidRDefault="00382D6C" w:rsidP="006E343E">
      <w:pPr>
        <w:pStyle w:val="ListParagraph"/>
        <w:numPr>
          <w:ilvl w:val="0"/>
          <w:numId w:val="16"/>
        </w:numPr>
        <w:ind w:left="720"/>
      </w:pPr>
      <w:r w:rsidRPr="00570896">
        <w:lastRenderedPageBreak/>
        <w:t>PLA has 1</w:t>
      </w:r>
      <w:r w:rsidR="00D47C55">
        <w:t>5</w:t>
      </w:r>
      <w:r w:rsidRPr="00570896">
        <w:t xml:space="preserve"> staff members. In FY25 9.75 staff will be covered by the operating budget, three by the Gates Legacy grant, and 2.25 by other grant projects</w:t>
      </w:r>
      <w:r w:rsidR="00570896" w:rsidRPr="00570896">
        <w:t xml:space="preserve">. </w:t>
      </w:r>
    </w:p>
    <w:p w14:paraId="6B7A249A" w14:textId="732EAFDA" w:rsidR="00B83D2C" w:rsidRDefault="00B83D2C" w:rsidP="006E343E">
      <w:pPr>
        <w:rPr>
          <w:b/>
          <w:bCs/>
        </w:rPr>
      </w:pPr>
      <w:r w:rsidRPr="00570896">
        <w:rPr>
          <w:b/>
          <w:bCs/>
        </w:rPr>
        <w:t>Grants</w:t>
      </w:r>
    </w:p>
    <w:p w14:paraId="42B8803C" w14:textId="74176AF9" w:rsidR="00382D6C" w:rsidRDefault="00B83D2C" w:rsidP="00382D6C">
      <w:pPr>
        <w:pStyle w:val="ListParagraph"/>
        <w:ind w:left="0"/>
        <w:rPr>
          <w:rFonts w:cstheme="minorHAnsi"/>
        </w:rPr>
      </w:pPr>
      <w:r w:rsidRPr="00A830FA">
        <w:t>Grant funding and partnerships will be sought where appropriate and</w:t>
      </w:r>
      <w:r>
        <w:t xml:space="preserve"> </w:t>
      </w:r>
      <w:r w:rsidRPr="00A830FA">
        <w:t>aligned with association strategic goals</w:t>
      </w:r>
      <w:r w:rsidR="00570896" w:rsidRPr="00A830FA">
        <w:t xml:space="preserve">. </w:t>
      </w:r>
      <w:r>
        <w:t xml:space="preserve">These are both areas of growth and success for PLA. We have seen a dramatic increase in partnership outreach over the past year, particularly related to digital literacy and broadband access. Much of this money is programmatic pass through, although we are able to underwrite portions of staff salaries and contribute to ALA overhead. </w:t>
      </w:r>
      <w:r w:rsidRPr="00382D6C">
        <w:rPr>
          <w:rFonts w:cstheme="minorHAnsi"/>
        </w:rPr>
        <w:t>PLA is actively managing several grants, totaling over $</w:t>
      </w:r>
      <w:r w:rsidR="00382D6C">
        <w:rPr>
          <w:rFonts w:cstheme="minorHAnsi"/>
        </w:rPr>
        <w:t>2.5</w:t>
      </w:r>
      <w:r w:rsidRPr="00382D6C">
        <w:rPr>
          <w:rFonts w:cstheme="minorHAnsi"/>
        </w:rPr>
        <w:t xml:space="preserve"> million in revenue. </w:t>
      </w:r>
    </w:p>
    <w:p w14:paraId="4A047242" w14:textId="77777777" w:rsidR="00382D6C" w:rsidRDefault="00382D6C" w:rsidP="00382D6C">
      <w:pPr>
        <w:pStyle w:val="ListParagraph"/>
        <w:ind w:left="0"/>
        <w:rPr>
          <w:rFonts w:cstheme="minorHAnsi"/>
        </w:rPr>
      </w:pPr>
    </w:p>
    <w:p w14:paraId="34B103B5" w14:textId="095BDDB3" w:rsidR="00B83D2C" w:rsidRPr="00382D6C" w:rsidRDefault="00B83D2C" w:rsidP="00382D6C">
      <w:pPr>
        <w:pStyle w:val="ListParagraph"/>
        <w:ind w:left="0"/>
        <w:rPr>
          <w:rFonts w:cstheme="minorHAnsi"/>
        </w:rPr>
      </w:pPr>
      <w:r w:rsidRPr="00382D6C">
        <w:rPr>
          <w:rFonts w:cstheme="minorHAnsi"/>
        </w:rPr>
        <w:t xml:space="preserve">The Gates Foundation Legacy Grant continues to be our largest </w:t>
      </w:r>
      <w:r w:rsidR="00382D6C">
        <w:rPr>
          <w:rFonts w:cstheme="minorHAnsi"/>
        </w:rPr>
        <w:t xml:space="preserve">long term </w:t>
      </w:r>
      <w:r w:rsidRPr="00382D6C">
        <w:rPr>
          <w:rFonts w:cstheme="minorHAnsi"/>
        </w:rPr>
        <w:t xml:space="preserve">grant; </w:t>
      </w:r>
      <w:r w:rsidR="00382D6C">
        <w:rPr>
          <w:rFonts w:cstheme="minorHAnsi"/>
        </w:rPr>
        <w:t xml:space="preserve">In FY24 PLA is undertaking a sustainability assessment to extend the Gates Legacy funding as long as is strategically beneficial to PLA. The FY25 budget assumes a significant reduction in Gates Legacy spending, at approximately </w:t>
      </w:r>
      <w:r w:rsidR="00507A1B">
        <w:rPr>
          <w:rFonts w:cstheme="minorHAnsi"/>
        </w:rPr>
        <w:t>$520,000.</w:t>
      </w:r>
      <w:r w:rsidRPr="00382D6C">
        <w:rPr>
          <w:rFonts w:cstheme="minorHAnsi"/>
        </w:rPr>
        <w:t xml:space="preserve"> We </w:t>
      </w:r>
      <w:r w:rsidR="00507A1B">
        <w:rPr>
          <w:rFonts w:cstheme="minorHAnsi"/>
        </w:rPr>
        <w:t xml:space="preserve">also anticipate receiving </w:t>
      </w:r>
      <w:r w:rsidRPr="00382D6C">
        <w:rPr>
          <w:rFonts w:cstheme="minorHAnsi"/>
        </w:rPr>
        <w:t xml:space="preserve">significant funds from AT&amp;T </w:t>
      </w:r>
      <w:r w:rsidR="00507A1B">
        <w:rPr>
          <w:rFonts w:cstheme="minorHAnsi"/>
        </w:rPr>
        <w:t xml:space="preserve">and Google </w:t>
      </w:r>
      <w:r w:rsidRPr="00382D6C">
        <w:rPr>
          <w:rFonts w:cstheme="minorHAnsi"/>
        </w:rPr>
        <w:t xml:space="preserve">to support and expand free use of PLA’s Digital Learn </w:t>
      </w:r>
      <w:r w:rsidR="00507A1B">
        <w:rPr>
          <w:rFonts w:cstheme="minorHAnsi"/>
        </w:rPr>
        <w:t xml:space="preserve">and broadband </w:t>
      </w:r>
      <w:r w:rsidRPr="00382D6C">
        <w:rPr>
          <w:rFonts w:cstheme="minorHAnsi"/>
        </w:rPr>
        <w:t>resources</w:t>
      </w:r>
      <w:r w:rsidR="00507A1B">
        <w:rPr>
          <w:rFonts w:cstheme="minorHAnsi"/>
        </w:rPr>
        <w:t xml:space="preserve"> to the field</w:t>
      </w:r>
      <w:r w:rsidRPr="00382D6C">
        <w:rPr>
          <w:rFonts w:cstheme="minorHAnsi"/>
        </w:rPr>
        <w:t xml:space="preserve">. </w:t>
      </w:r>
    </w:p>
    <w:p w14:paraId="569541CF" w14:textId="1F2AFDD8" w:rsidR="00B83D2C" w:rsidRDefault="00B83D2C" w:rsidP="00507A1B">
      <w:r w:rsidRPr="00507A1B">
        <w:rPr>
          <w:rFonts w:cstheme="minorHAnsi"/>
        </w:rPr>
        <w:t xml:space="preserve">The budgeting system does give PLA the ability to budget for grants which are not confirmed, </w:t>
      </w:r>
      <w:r w:rsidR="00507A1B">
        <w:rPr>
          <w:rFonts w:cstheme="minorHAnsi"/>
        </w:rPr>
        <w:t>and in FY25 PLA is budgeting approximately $200K in proposed but yet-to-be-confirmed grants in order to achieve its goals.</w:t>
      </w:r>
      <w:r w:rsidRPr="00507A1B">
        <w:rPr>
          <w:rFonts w:cstheme="minorHAnsi"/>
        </w:rPr>
        <w:t xml:space="preserve"> </w:t>
      </w:r>
    </w:p>
    <w:p w14:paraId="37A81AFB" w14:textId="4E872F3B" w:rsidR="00B83D2C" w:rsidRDefault="00B83D2C" w:rsidP="00507A1B">
      <w:r>
        <w:t xml:space="preserve">ALA is developing policy and practice regarding minimum overhead rates for grant funded projects, with a sought minimum rate of 18% going forward. The PLA Executive Director is involved in drafting the policy and practice. </w:t>
      </w:r>
    </w:p>
    <w:p w14:paraId="1D1509DB" w14:textId="2C7CAE5C" w:rsidR="00507A1B" w:rsidRDefault="00507A1B" w:rsidP="00507A1B">
      <w:pPr>
        <w:rPr>
          <w:b/>
          <w:bCs/>
        </w:rPr>
      </w:pPr>
      <w:r>
        <w:rPr>
          <w:b/>
          <w:bCs/>
        </w:rPr>
        <w:t>Friends of PLA Fund</w:t>
      </w:r>
    </w:p>
    <w:p w14:paraId="2F62C9C9" w14:textId="47B7CD82" w:rsidR="00507A1B" w:rsidRPr="00507A1B" w:rsidRDefault="00507A1B" w:rsidP="00507A1B">
      <w:r>
        <w:t>FY25 will be the first year that PLA will budget expenditures in the Friends of PLA Fund, with $50K in proposed content development for a reboot of PLA’s Leadership Academy</w:t>
      </w:r>
      <w:r w:rsidR="00570896">
        <w:t xml:space="preserve">. </w:t>
      </w:r>
      <w:r w:rsidR="0085739D">
        <w:t xml:space="preserve">The practice of </w:t>
      </w:r>
      <w:r w:rsidR="000E4D76">
        <w:t>request</w:t>
      </w:r>
      <w:r w:rsidR="0085739D">
        <w:t xml:space="preserve">ing </w:t>
      </w:r>
      <w:r w:rsidR="000E4D76">
        <w:t xml:space="preserve">a </w:t>
      </w:r>
      <w:r w:rsidR="00A661E2">
        <w:t>F</w:t>
      </w:r>
      <w:r w:rsidR="0085739D">
        <w:t xml:space="preserve">riends donation </w:t>
      </w:r>
      <w:r w:rsidR="006E6B36">
        <w:t xml:space="preserve">to support scholarships and programmatic priorities of the board </w:t>
      </w:r>
      <w:r w:rsidR="000E4D76">
        <w:t xml:space="preserve">from all </w:t>
      </w:r>
      <w:r w:rsidR="009D4D63">
        <w:t>non-federal grant funders</w:t>
      </w:r>
      <w:r w:rsidR="00946177">
        <w:t xml:space="preserve"> of 10% of the program budget value will continue</w:t>
      </w:r>
      <w:r w:rsidR="009D4D63">
        <w:t>.</w:t>
      </w:r>
      <w:r w:rsidR="006E6B36">
        <w:t xml:space="preserve"> </w:t>
      </w:r>
      <w:r w:rsidR="009D4D63">
        <w:t xml:space="preserve"> </w:t>
      </w:r>
      <w:r w:rsidR="00955884">
        <w:t xml:space="preserve">At this point in time, we anticipate that these funds will carry over for multiple fiscal years. </w:t>
      </w:r>
    </w:p>
    <w:p w14:paraId="2D48D935" w14:textId="77777777" w:rsidR="00532736" w:rsidRDefault="00A038BA" w:rsidP="00507A1B">
      <w:r w:rsidRPr="00532736">
        <w:rPr>
          <w:b/>
          <w:bCs/>
        </w:rPr>
        <w:t>ALA</w:t>
      </w:r>
      <w:r w:rsidR="00E6386F" w:rsidRPr="00532736">
        <w:rPr>
          <w:b/>
          <w:bCs/>
        </w:rPr>
        <w:t xml:space="preserve"> </w:t>
      </w:r>
      <w:r w:rsidRPr="00532736">
        <w:rPr>
          <w:b/>
          <w:bCs/>
        </w:rPr>
        <w:t>structure</w:t>
      </w:r>
      <w:r w:rsidR="00206068">
        <w:t xml:space="preserve"> </w:t>
      </w:r>
    </w:p>
    <w:p w14:paraId="3A66DEBA" w14:textId="12B73169" w:rsidR="00532736" w:rsidRDefault="00FF0BED" w:rsidP="00507A1B">
      <w:r>
        <w:t xml:space="preserve">The Operating Agreement Work Group </w:t>
      </w:r>
      <w:r w:rsidR="00644954">
        <w:t xml:space="preserve">recommendations submitted in June </w:t>
      </w:r>
      <w:r w:rsidR="00570896">
        <w:t>2022</w:t>
      </w:r>
      <w:r w:rsidR="00507A1B">
        <w:t xml:space="preserve"> were turned over to </w:t>
      </w:r>
      <w:r w:rsidR="00644954">
        <w:t>the Operating Agreement Implementation Task Force</w:t>
      </w:r>
      <w:r w:rsidR="00507A1B">
        <w:t xml:space="preserve"> in 2023. In Fall 2023, the Task Force was dissolved and the timeline for resolution and implementation was extended to FY26. </w:t>
      </w:r>
      <w:r>
        <w:t>The outcome of th</w:t>
      </w:r>
      <w:r w:rsidR="00507A1B">
        <w:t xml:space="preserve">is work, currently led by the ALA CFO and Treasurer in consultation with staff stakeholders may </w:t>
      </w:r>
      <w:r w:rsidR="003B2E1F" w:rsidRPr="00532736">
        <w:t xml:space="preserve">have </w:t>
      </w:r>
      <w:r w:rsidRPr="00532736">
        <w:t>major i</w:t>
      </w:r>
      <w:r w:rsidR="003B2E1F" w:rsidRPr="00532736">
        <w:t>mpact</w:t>
      </w:r>
      <w:r w:rsidRPr="00532736">
        <w:t xml:space="preserve"> on</w:t>
      </w:r>
      <w:r>
        <w:t xml:space="preserve"> ALA and PLA</w:t>
      </w:r>
      <w:r w:rsidR="0029723B">
        <w:t xml:space="preserve"> relationship. </w:t>
      </w:r>
      <w:r w:rsidR="00507A1B">
        <w:t xml:space="preserve">The current timeline requires resolution of the budgeting model by June 2024, although </w:t>
      </w:r>
      <w:r w:rsidR="00CF444D">
        <w:t>process aspects have not yet been addressed.</w:t>
      </w:r>
      <w:r w:rsidR="0029723B">
        <w:t xml:space="preserve"> PLA will continue to engage with and monitor</w:t>
      </w:r>
      <w:r w:rsidR="00644954">
        <w:t xml:space="preserve"> this work and its implications for P</w:t>
      </w:r>
      <w:r w:rsidR="003B2E1F">
        <w:t>LA and the divisions</w:t>
      </w:r>
      <w:r w:rsidR="00532736">
        <w:t>.</w:t>
      </w:r>
    </w:p>
    <w:p w14:paraId="6432C377" w14:textId="77777777" w:rsidR="00532736" w:rsidRDefault="00046FBF" w:rsidP="00CF444D">
      <w:pPr>
        <w:rPr>
          <w:b/>
          <w:bCs/>
        </w:rPr>
      </w:pPr>
      <w:r w:rsidRPr="00532736">
        <w:rPr>
          <w:b/>
          <w:bCs/>
        </w:rPr>
        <w:t>ALA financ</w:t>
      </w:r>
      <w:r w:rsidR="00E6386F" w:rsidRPr="00532736">
        <w:rPr>
          <w:b/>
          <w:bCs/>
        </w:rPr>
        <w:t>es</w:t>
      </w:r>
    </w:p>
    <w:p w14:paraId="69C33B98" w14:textId="7FD5C380" w:rsidR="003B2E1F" w:rsidRPr="00CF444D" w:rsidRDefault="00C6602A" w:rsidP="00CF444D">
      <w:r>
        <w:t>T</w:t>
      </w:r>
      <w:r w:rsidR="00046FBF">
        <w:t>he ALA general fund</w:t>
      </w:r>
      <w:r w:rsidR="0063240F">
        <w:t xml:space="preserve"> (publishing, conferences, programmatic (e.g., OIF</w:t>
      </w:r>
      <w:r w:rsidR="00644954">
        <w:t xml:space="preserve">, </w:t>
      </w:r>
      <w:r w:rsidR="00644954" w:rsidRPr="00532736">
        <w:t>ODLOS, Chapters</w:t>
      </w:r>
      <w:r w:rsidR="0063240F" w:rsidRPr="00532736">
        <w:t xml:space="preserve">) and support </w:t>
      </w:r>
      <w:r w:rsidR="00554274" w:rsidRPr="00532736">
        <w:t xml:space="preserve">units </w:t>
      </w:r>
      <w:r w:rsidR="0063240F" w:rsidRPr="00532736">
        <w:t>(IT, HR</w:t>
      </w:r>
      <w:r w:rsidR="00554274" w:rsidRPr="00532736">
        <w:t>,</w:t>
      </w:r>
      <w:r w:rsidR="0063240F" w:rsidRPr="00532736">
        <w:t xml:space="preserve"> finance)</w:t>
      </w:r>
      <w:r w:rsidR="00E6386F" w:rsidRPr="00532736">
        <w:t>—essentially everything except the</w:t>
      </w:r>
      <w:r w:rsidR="00BE4FF8" w:rsidRPr="00532736">
        <w:t xml:space="preserve"> strong revenue generating </w:t>
      </w:r>
      <w:r w:rsidR="00E6386F" w:rsidRPr="00532736">
        <w:t>divisions</w:t>
      </w:r>
      <w:r w:rsidR="003B2E1F" w:rsidRPr="00532736">
        <w:t>, grants</w:t>
      </w:r>
      <w:r w:rsidR="00717AFB">
        <w:t>,</w:t>
      </w:r>
      <w:r w:rsidR="00CF444D">
        <w:t xml:space="preserve"> </w:t>
      </w:r>
      <w:r w:rsidR="00E6386F" w:rsidRPr="00532736">
        <w:t>and the endowment</w:t>
      </w:r>
      <w:r w:rsidR="00CF444D">
        <w:t>—</w:t>
      </w:r>
      <w:r w:rsidR="00E6386F" w:rsidRPr="00532736">
        <w:t xml:space="preserve"> </w:t>
      </w:r>
      <w:r w:rsidR="00554274" w:rsidRPr="00532736">
        <w:t xml:space="preserve">continue to </w:t>
      </w:r>
      <w:r w:rsidR="00811F92" w:rsidRPr="00532736">
        <w:t>struggl</w:t>
      </w:r>
      <w:r w:rsidR="00554274" w:rsidRPr="00532736">
        <w:t>e</w:t>
      </w:r>
      <w:r w:rsidR="00811F92" w:rsidRPr="00532736">
        <w:t xml:space="preserve"> financially</w:t>
      </w:r>
      <w:r w:rsidR="00570896" w:rsidRPr="00532736">
        <w:t xml:space="preserve">. </w:t>
      </w:r>
      <w:r w:rsidR="00CF444D">
        <w:t xml:space="preserve">The departure of the ALA Executive Director has resulted in a dip in fundraising, and while </w:t>
      </w:r>
      <w:r w:rsidR="00811F92" w:rsidRPr="00532736">
        <w:t xml:space="preserve">ALA staff numbers are </w:t>
      </w:r>
      <w:r w:rsidR="00554274" w:rsidRPr="00532736">
        <w:t xml:space="preserve">on the </w:t>
      </w:r>
      <w:r w:rsidR="00532736">
        <w:t>upswing,</w:t>
      </w:r>
      <w:r w:rsidR="00554274" w:rsidRPr="00532736">
        <w:t xml:space="preserve"> significant departures and staff vacancies </w:t>
      </w:r>
      <w:r w:rsidR="00E12B4A" w:rsidRPr="00532736">
        <w:t>continue</w:t>
      </w:r>
      <w:r w:rsidR="00554274" w:rsidRPr="00532736">
        <w:t xml:space="preserve"> with lengthy job posting delays.</w:t>
      </w:r>
      <w:r w:rsidR="00811F92" w:rsidRPr="00532736">
        <w:t xml:space="preserve"> </w:t>
      </w:r>
      <w:r w:rsidR="00811F92" w:rsidRPr="00532736">
        <w:lastRenderedPageBreak/>
        <w:t xml:space="preserve">ALA </w:t>
      </w:r>
      <w:r w:rsidR="00CF444D">
        <w:t xml:space="preserve">continues to pursue </w:t>
      </w:r>
      <w:r w:rsidR="00811F92">
        <w:t>“strategic hiring</w:t>
      </w:r>
      <w:r w:rsidR="00CF444D">
        <w:t>,</w:t>
      </w:r>
      <w:r w:rsidR="00811F92">
        <w:t xml:space="preserve">”  </w:t>
      </w:r>
      <w:r w:rsidR="00CF444D">
        <w:t xml:space="preserve">including its national search for a new executive director by FY24Q4. </w:t>
      </w:r>
      <w:r w:rsidR="0063240F">
        <w:t xml:space="preserve">ALA </w:t>
      </w:r>
      <w:r w:rsidR="00554274">
        <w:t xml:space="preserve">has a </w:t>
      </w:r>
      <w:r w:rsidR="006253F7">
        <w:t xml:space="preserve">“one checkbook” mindset and continues to draw financial </w:t>
      </w:r>
      <w:r w:rsidR="0063240F">
        <w:t>support</w:t>
      </w:r>
      <w:r w:rsidR="006253F7">
        <w:t xml:space="preserve"> </w:t>
      </w:r>
      <w:r w:rsidR="0063240F">
        <w:t xml:space="preserve">from divisions, particularly </w:t>
      </w:r>
      <w:r w:rsidR="00206068">
        <w:t xml:space="preserve">strong revenue generators with (on paper) </w:t>
      </w:r>
      <w:r w:rsidR="0063240F">
        <w:t>fund balances like PLA</w:t>
      </w:r>
      <w:r w:rsidR="00570896">
        <w:t xml:space="preserve">. </w:t>
      </w:r>
    </w:p>
    <w:p w14:paraId="01D2306E" w14:textId="68ECC28C" w:rsidR="00783926" w:rsidRPr="00532736" w:rsidRDefault="0029723B" w:rsidP="00CF444D">
      <w:pPr>
        <w:pStyle w:val="ListParagraph"/>
        <w:numPr>
          <w:ilvl w:val="0"/>
          <w:numId w:val="16"/>
        </w:numPr>
      </w:pPr>
      <w:r w:rsidRPr="00532736">
        <w:t>PLA’s request</w:t>
      </w:r>
      <w:r w:rsidR="00783926" w:rsidRPr="00532736">
        <w:t>ed</w:t>
      </w:r>
      <w:r w:rsidR="00CF444D">
        <w:t xml:space="preserve"> and received approval</w:t>
      </w:r>
      <w:r w:rsidRPr="00532736">
        <w:t xml:space="preserve"> to transfer </w:t>
      </w:r>
      <w:r w:rsidR="007021EA" w:rsidRPr="00532736">
        <w:t xml:space="preserve">$350,000 </w:t>
      </w:r>
      <w:r w:rsidR="006253F7" w:rsidRPr="00532736">
        <w:t xml:space="preserve">of its </w:t>
      </w:r>
      <w:r w:rsidRPr="00532736">
        <w:t>fund balance</w:t>
      </w:r>
      <w:r w:rsidR="007021EA" w:rsidRPr="00532736">
        <w:t xml:space="preserve"> to </w:t>
      </w:r>
      <w:r w:rsidRPr="00532736">
        <w:t xml:space="preserve">the endowment </w:t>
      </w:r>
      <w:r w:rsidR="007021EA" w:rsidRPr="00532736">
        <w:t>during FY22,</w:t>
      </w:r>
      <w:r w:rsidR="00A50A79" w:rsidRPr="00532736">
        <w:t xml:space="preserve"> </w:t>
      </w:r>
      <w:r w:rsidR="007021EA" w:rsidRPr="00532736">
        <w:t>FY23 and FY24</w:t>
      </w:r>
      <w:r w:rsidR="00570896" w:rsidRPr="00532736">
        <w:t xml:space="preserve">. </w:t>
      </w:r>
      <w:r w:rsidR="00CF444D">
        <w:t xml:space="preserve">However, </w:t>
      </w:r>
      <w:r w:rsidR="00D125A7" w:rsidRPr="00532736">
        <w:t>ALA suspended Endowment Fund transfers from Round Table and Division operating net asset balances to the ALA Endowment Fund for</w:t>
      </w:r>
      <w:r w:rsidR="00783926" w:rsidRPr="00532736">
        <w:t xml:space="preserve"> FY22</w:t>
      </w:r>
      <w:r w:rsidR="00CF444D">
        <w:t>, FY23, and FY24. We expect this will continue in FY25.</w:t>
      </w:r>
      <w:r w:rsidR="00D125A7" w:rsidRPr="00532736">
        <w:t xml:space="preserve"> </w:t>
      </w:r>
    </w:p>
    <w:p w14:paraId="7E6BA6E2" w14:textId="77777777" w:rsidR="00B83D2C" w:rsidRDefault="00B24F1A" w:rsidP="00B83D2C">
      <w:pPr>
        <w:pStyle w:val="ListParagraph"/>
        <w:numPr>
          <w:ilvl w:val="0"/>
          <w:numId w:val="17"/>
        </w:numPr>
      </w:pPr>
      <w:r>
        <w:t>ALA continues to mandate expense reductions by divisions to balance the overall organizational budget</w:t>
      </w:r>
      <w:r w:rsidR="00783926">
        <w:t xml:space="preserve">, </w:t>
      </w:r>
      <w:r w:rsidR="00783926" w:rsidRPr="00532736">
        <w:t>whenever possible</w:t>
      </w:r>
      <w:r w:rsidRPr="00532736">
        <w:t>.</w:t>
      </w:r>
      <w:r w:rsidR="0029723B" w:rsidRPr="00532736">
        <w:t xml:space="preserve"> </w:t>
      </w:r>
    </w:p>
    <w:p w14:paraId="608642F8" w14:textId="59ACEE50" w:rsidR="00B83D2C" w:rsidRDefault="00BA3604" w:rsidP="00B83D2C">
      <w:pPr>
        <w:pStyle w:val="ListParagraph"/>
        <w:numPr>
          <w:ilvl w:val="0"/>
          <w:numId w:val="17"/>
        </w:numPr>
      </w:pPr>
      <w:r w:rsidRPr="00B83D2C">
        <w:t>The PLA B&amp;F Committee and the Board will want to consider its recommendation to the PLA Board on where to earmark the L</w:t>
      </w:r>
      <w:r w:rsidR="00B83D2C">
        <w:t xml:space="preserve">ong </w:t>
      </w:r>
      <w:r w:rsidRPr="00B83D2C">
        <w:t>T</w:t>
      </w:r>
      <w:r w:rsidR="00B83D2C">
        <w:t xml:space="preserve">erm </w:t>
      </w:r>
      <w:r w:rsidRPr="00B83D2C">
        <w:t>I</w:t>
      </w:r>
      <w:r w:rsidR="00B83D2C">
        <w:t>nvestment (LTI)</w:t>
      </w:r>
      <w:r w:rsidRPr="00B83D2C">
        <w:t xml:space="preserve"> interest</w:t>
      </w:r>
      <w:r w:rsidR="00570896" w:rsidRPr="00B83D2C">
        <w:t xml:space="preserve">. </w:t>
      </w:r>
      <w:r w:rsidRPr="00B83D2C">
        <w:t xml:space="preserve">In previous years it has been allocated to </w:t>
      </w:r>
      <w:r w:rsidR="00943E95" w:rsidRPr="00B83D2C">
        <w:t xml:space="preserve">family engagement, </w:t>
      </w:r>
      <w:r w:rsidRPr="00B83D2C">
        <w:rPr>
          <w:rFonts w:cs="Arial"/>
          <w:color w:val="000000"/>
        </w:rPr>
        <w:t>performance measurement</w:t>
      </w:r>
      <w:r w:rsidR="00BD3CCB" w:rsidRPr="00B83D2C">
        <w:rPr>
          <w:rFonts w:cs="Arial"/>
          <w:color w:val="000000"/>
        </w:rPr>
        <w:t xml:space="preserve"> and digital literacy</w:t>
      </w:r>
      <w:r w:rsidR="00570896" w:rsidRPr="00B83D2C">
        <w:t xml:space="preserve">. </w:t>
      </w:r>
      <w:r w:rsidR="00943E95" w:rsidRPr="00B83D2C">
        <w:t xml:space="preserve">In past </w:t>
      </w:r>
      <w:r w:rsidR="00570896" w:rsidRPr="00B83D2C">
        <w:t>years,</w:t>
      </w:r>
      <w:r w:rsidR="00943E95" w:rsidRPr="00B83D2C">
        <w:t xml:space="preserve"> the LTI interest has been rolled back into the endowment. The estimated amount of </w:t>
      </w:r>
      <w:r w:rsidR="00570896" w:rsidRPr="00B83D2C">
        <w:t>interest</w:t>
      </w:r>
      <w:r w:rsidR="00943E95" w:rsidRPr="00B83D2C">
        <w:t xml:space="preserve"> should be in the $55,000-70,000 range</w:t>
      </w:r>
      <w:r w:rsidR="00570896" w:rsidRPr="00B83D2C">
        <w:t xml:space="preserve">. </w:t>
      </w:r>
      <w:r w:rsidR="00811F92" w:rsidRPr="00B83D2C">
        <w:t xml:space="preserve">In </w:t>
      </w:r>
      <w:r w:rsidR="00943E95" w:rsidRPr="00B83D2C">
        <w:t>FY2</w:t>
      </w:r>
      <w:r w:rsidR="00CF444D">
        <w:t>4</w:t>
      </w:r>
      <w:r w:rsidR="00943E95" w:rsidRPr="00B83D2C">
        <w:t xml:space="preserve"> </w:t>
      </w:r>
      <w:r w:rsidR="00CF444D">
        <w:t>the interest was budgeted to roll back into the endowment</w:t>
      </w:r>
      <w:r w:rsidR="00570896">
        <w:t xml:space="preserve">. </w:t>
      </w:r>
      <w:r w:rsidR="00943E95" w:rsidRPr="00B83D2C">
        <w:t>ALA budget actions will be distributed to divisions in spring following the submission of first draft budgets. A</w:t>
      </w:r>
      <w:r w:rsidRPr="00B83D2C">
        <w:t xml:space="preserve"> final recommendation </w:t>
      </w:r>
      <w:r w:rsidR="00943E95" w:rsidRPr="00B83D2C">
        <w:t xml:space="preserve">on LTI </w:t>
      </w:r>
      <w:r w:rsidRPr="00B83D2C">
        <w:t>wil</w:t>
      </w:r>
      <w:r w:rsidR="00BD3CCB" w:rsidRPr="00B83D2C">
        <w:t>l not be required till</w:t>
      </w:r>
      <w:r w:rsidR="004B155A">
        <w:t xml:space="preserve"> May</w:t>
      </w:r>
      <w:r w:rsidR="00BD3CCB" w:rsidRPr="00B83D2C">
        <w:t xml:space="preserve"> 20</w:t>
      </w:r>
      <w:r w:rsidR="00042497" w:rsidRPr="00B83D2C">
        <w:t>2</w:t>
      </w:r>
      <w:r w:rsidR="00CF444D">
        <w:t>4</w:t>
      </w:r>
      <w:r w:rsidR="00570896" w:rsidRPr="00B83D2C">
        <w:t xml:space="preserve">. </w:t>
      </w:r>
    </w:p>
    <w:p w14:paraId="22678347" w14:textId="651FE27C" w:rsidR="00B83D2C" w:rsidRDefault="00CF444D" w:rsidP="00B83D2C">
      <w:pPr>
        <w:pStyle w:val="ListParagraph"/>
        <w:numPr>
          <w:ilvl w:val="0"/>
          <w:numId w:val="17"/>
        </w:numPr>
      </w:pPr>
      <w:r>
        <w:t xml:space="preserve">Although a preliminary picture of PLA’s </w:t>
      </w:r>
      <w:r w:rsidR="00B83D2C" w:rsidRPr="00B83D2C">
        <w:t>FY2</w:t>
      </w:r>
      <w:r>
        <w:t xml:space="preserve">3 fund </w:t>
      </w:r>
      <w:r w:rsidR="00B83D2C" w:rsidRPr="00B83D2C">
        <w:t xml:space="preserve">balance </w:t>
      </w:r>
      <w:r>
        <w:t xml:space="preserve">is available, the final FY23 performance will not be available until the </w:t>
      </w:r>
      <w:r w:rsidR="00B83D2C" w:rsidRPr="00B83D2C">
        <w:t>audit is complete</w:t>
      </w:r>
      <w:r>
        <w:t>. It will be presented to the ALA Executive Board at the 2024 spring board meeting</w:t>
      </w:r>
      <w:r w:rsidR="00570896" w:rsidRPr="00B83D2C">
        <w:t xml:space="preserve">. </w:t>
      </w:r>
    </w:p>
    <w:p w14:paraId="74F31A2C" w14:textId="7C56744C" w:rsidR="00B83D2C" w:rsidRDefault="00B83D2C" w:rsidP="00B83D2C">
      <w:pPr>
        <w:pStyle w:val="ListParagraph"/>
        <w:numPr>
          <w:ilvl w:val="0"/>
          <w:numId w:val="17"/>
        </w:numPr>
      </w:pPr>
      <w:r w:rsidRPr="00B83D2C">
        <w:t xml:space="preserve">Changes to ALA accounting practice require that all conference </w:t>
      </w:r>
      <w:r w:rsidR="006B6043">
        <w:t xml:space="preserve">revenue and </w:t>
      </w:r>
      <w:r w:rsidRPr="00B83D2C">
        <w:t xml:space="preserve">expenses be </w:t>
      </w:r>
      <w:r w:rsidR="00570896" w:rsidRPr="00B83D2C">
        <w:t>recorded in</w:t>
      </w:r>
      <w:r w:rsidRPr="00B83D2C">
        <w:t xml:space="preserve"> the FY/Month when the conference takes place</w:t>
      </w:r>
      <w:r w:rsidR="00570896" w:rsidRPr="00B83D2C">
        <w:t xml:space="preserve">. </w:t>
      </w:r>
      <w:r w:rsidR="00CF444D">
        <w:t xml:space="preserve">PLA is working with ALA finance </w:t>
      </w:r>
      <w:r w:rsidR="00C4348B">
        <w:t>to monitor conference revenues and expenses.</w:t>
      </w:r>
      <w:r w:rsidRPr="00B83D2C">
        <w:t xml:space="preserve"> </w:t>
      </w:r>
    </w:p>
    <w:p w14:paraId="57EB4667" w14:textId="77777777" w:rsidR="00C4348B" w:rsidRDefault="00561169" w:rsidP="00B83D2C">
      <w:pPr>
        <w:pStyle w:val="ListParagraph"/>
        <w:numPr>
          <w:ilvl w:val="0"/>
          <w:numId w:val="17"/>
        </w:numPr>
      </w:pPr>
      <w:r w:rsidRPr="00B83D2C">
        <w:t xml:space="preserve">ALA has transitioned to quarterly financial reporting. Delivery of </w:t>
      </w:r>
      <w:r w:rsidR="00C4348B">
        <w:t xml:space="preserve">operating budget </w:t>
      </w:r>
      <w:r w:rsidRPr="00B83D2C">
        <w:t xml:space="preserve">financials </w:t>
      </w:r>
      <w:r w:rsidR="00C4348B">
        <w:t>has greatly improved</w:t>
      </w:r>
      <w:r w:rsidRPr="00B83D2C">
        <w:t>, and we anticipate that we should have FY2</w:t>
      </w:r>
      <w:r w:rsidR="00C4348B">
        <w:t>4</w:t>
      </w:r>
      <w:r w:rsidRPr="00B83D2C">
        <w:t>Q2 financials to inform budgeting before the final draft is submitted in May 202</w:t>
      </w:r>
      <w:r w:rsidR="00C4348B">
        <w:t>4.</w:t>
      </w:r>
    </w:p>
    <w:p w14:paraId="62BE84F2" w14:textId="22AEF6AC" w:rsidR="00561169" w:rsidRPr="00B83D2C" w:rsidRDefault="00C4348B" w:rsidP="00B83D2C">
      <w:pPr>
        <w:pStyle w:val="ListParagraph"/>
        <w:numPr>
          <w:ilvl w:val="0"/>
          <w:numId w:val="17"/>
        </w:numPr>
      </w:pPr>
      <w:r>
        <w:t>ALA continues to refine its grant reporting capabilities. PLA is working closely with the ALA controller and compliance officer to ensure accurate and timely grant reports</w:t>
      </w:r>
      <w:r w:rsidR="00570896">
        <w:t xml:space="preserve">. </w:t>
      </w:r>
    </w:p>
    <w:p w14:paraId="3928868C" w14:textId="004C6DDC" w:rsidR="00561169" w:rsidRDefault="00B83D2C" w:rsidP="00B83D2C">
      <w:pPr>
        <w:rPr>
          <w:b/>
          <w:bCs/>
        </w:rPr>
      </w:pPr>
      <w:r>
        <w:rPr>
          <w:b/>
          <w:bCs/>
        </w:rPr>
        <w:t>Summary</w:t>
      </w:r>
    </w:p>
    <w:p w14:paraId="64905CFF" w14:textId="77777777" w:rsidR="00184620" w:rsidRDefault="00C4348B" w:rsidP="00B83D2C">
      <w:r>
        <w:t xml:space="preserve">FY25 is </w:t>
      </w:r>
      <w:r w:rsidR="00184620">
        <w:t>a transition year for PLA with two financial goals:</w:t>
      </w:r>
    </w:p>
    <w:p w14:paraId="02CC495D" w14:textId="5F0873A0" w:rsidR="00184620" w:rsidRDefault="00FF712D" w:rsidP="00184620">
      <w:pPr>
        <w:pStyle w:val="ListParagraph"/>
        <w:numPr>
          <w:ilvl w:val="0"/>
          <w:numId w:val="19"/>
        </w:numPr>
      </w:pPr>
      <w:r>
        <w:t xml:space="preserve">Take </w:t>
      </w:r>
      <w:r w:rsidR="00184620">
        <w:t>the first step in sustainability budgeting for Gates Legacy funds with expenses capped at $520</w:t>
      </w:r>
      <w:r w:rsidR="00570896">
        <w:t xml:space="preserve">K. </w:t>
      </w:r>
    </w:p>
    <w:p w14:paraId="660F900F" w14:textId="7E22973A" w:rsidR="00184620" w:rsidRDefault="00184620" w:rsidP="00184620">
      <w:pPr>
        <w:pStyle w:val="ListParagraph"/>
        <w:numPr>
          <w:ilvl w:val="0"/>
          <w:numId w:val="19"/>
        </w:numPr>
      </w:pPr>
      <w:r>
        <w:t xml:space="preserve">Maintain PLA’s best practice of budgeting in the black over its two-year cycle: Year One’s surplus must, at minimum, cover year two’s expenses. </w:t>
      </w:r>
    </w:p>
    <w:p w14:paraId="4CA73B43" w14:textId="77777777" w:rsidR="00221D2E" w:rsidRDefault="00184620" w:rsidP="00B83D2C">
      <w:r>
        <w:t xml:space="preserve">The anticipated FY25 budget achieves both those goals, </w:t>
      </w:r>
      <w:r w:rsidR="009624F1">
        <w:t xml:space="preserve">while aggressively moving to develop </w:t>
      </w:r>
      <w:r w:rsidR="00221D2E">
        <w:t>n</w:t>
      </w:r>
      <w:r w:rsidR="009624F1">
        <w:t xml:space="preserve">on-conference revenue and expanding grant funding. </w:t>
      </w:r>
    </w:p>
    <w:p w14:paraId="59B86CCE" w14:textId="0F48AF45" w:rsidR="00EB722C" w:rsidRDefault="00221D2E" w:rsidP="00B83D2C">
      <w:r>
        <w:t xml:space="preserve">I’ve budgeted revenue according to current trend data and expenses as conservatively as possible for FY25. Although registration, and therefore revenue for PLA’s 2024 National Conference are strong, it is difficult to anticipate the impact </w:t>
      </w:r>
      <w:r>
        <w:lastRenderedPageBreak/>
        <w:t>of unanticipated expenses (security, crisis comms)</w:t>
      </w:r>
      <w:r w:rsidR="00570896">
        <w:t xml:space="preserve">. </w:t>
      </w:r>
      <w:r>
        <w:t xml:space="preserve">I am confident that we will make our FY24 budget, but it is too early to know whether we will exceed it. </w:t>
      </w:r>
    </w:p>
    <w:p w14:paraId="55BDAD41" w14:textId="008E269F" w:rsidR="00080A55" w:rsidRDefault="00C10821" w:rsidP="000F76AA">
      <w:r>
        <w:t>On t</w:t>
      </w:r>
      <w:r w:rsidR="00287264">
        <w:t>he operations side,</w:t>
      </w:r>
      <w:r w:rsidR="00570896">
        <w:t xml:space="preserve"> I continue to explore ways to realign workflow to maximize revenue generation and match current needs</w:t>
      </w:r>
      <w:r>
        <w:t>.</w:t>
      </w:r>
      <w:r w:rsidR="00570896">
        <w:t xml:space="preserve"> I</w:t>
      </w:r>
      <w:r>
        <w:t xml:space="preserve">ncreased capacity </w:t>
      </w:r>
      <w:r w:rsidR="00570896">
        <w:t xml:space="preserve">has enabled </w:t>
      </w:r>
      <w:r>
        <w:t xml:space="preserve">PLA </w:t>
      </w:r>
      <w:r w:rsidR="00570896">
        <w:t xml:space="preserve">to rely </w:t>
      </w:r>
      <w:r>
        <w:t>less on consultants</w:t>
      </w:r>
      <w:r w:rsidR="00570896">
        <w:t xml:space="preserve"> and promote from within.</w:t>
      </w:r>
      <w:r>
        <w:t xml:space="preserve"> </w:t>
      </w:r>
    </w:p>
    <w:p w14:paraId="1F9D895B" w14:textId="259BD4A7" w:rsidR="00287264" w:rsidRPr="00C10821" w:rsidRDefault="00287264" w:rsidP="000F76AA"/>
    <w:sectPr w:rsidR="00287264" w:rsidRPr="00C10821" w:rsidSect="00F3015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389B" w14:textId="77777777" w:rsidR="00F30156" w:rsidRDefault="00F30156" w:rsidP="0011078E">
      <w:pPr>
        <w:spacing w:after="0" w:line="240" w:lineRule="auto"/>
      </w:pPr>
      <w:r>
        <w:separator/>
      </w:r>
    </w:p>
  </w:endnote>
  <w:endnote w:type="continuationSeparator" w:id="0">
    <w:p w14:paraId="74D4B2F2" w14:textId="77777777" w:rsidR="00F30156" w:rsidRDefault="00F30156"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655870"/>
      <w:docPartObj>
        <w:docPartGallery w:val="Page Numbers (Bottom of Page)"/>
        <w:docPartUnique/>
      </w:docPartObj>
    </w:sdtPr>
    <w:sdtEndPr>
      <w:rPr>
        <w:noProof/>
      </w:rPr>
    </w:sdtEndPr>
    <w:sdtContent>
      <w:p w14:paraId="2BFC6FC9" w14:textId="4A798D5D" w:rsidR="00730E1A" w:rsidRDefault="00730E1A">
        <w:pPr>
          <w:pStyle w:val="Footer"/>
          <w:jc w:val="right"/>
        </w:pPr>
        <w:r>
          <w:fldChar w:fldCharType="begin"/>
        </w:r>
        <w:r>
          <w:instrText xml:space="preserve"> PAGE   \* MERGEFORMAT </w:instrText>
        </w:r>
        <w:r>
          <w:fldChar w:fldCharType="separate"/>
        </w:r>
        <w:r w:rsidR="00287264">
          <w:rPr>
            <w:noProof/>
          </w:rPr>
          <w:t>4</w:t>
        </w:r>
        <w:r>
          <w:rPr>
            <w:noProof/>
          </w:rPr>
          <w:fldChar w:fldCharType="end"/>
        </w:r>
      </w:p>
    </w:sdtContent>
  </w:sdt>
  <w:p w14:paraId="3B97E333" w14:textId="77777777" w:rsidR="0063240F" w:rsidRPr="00ED0FD8" w:rsidRDefault="0063240F" w:rsidP="00ED0FD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CBA4" w14:textId="77777777" w:rsidR="00F30156" w:rsidRDefault="00F30156" w:rsidP="0011078E">
      <w:pPr>
        <w:spacing w:after="0" w:line="240" w:lineRule="auto"/>
      </w:pPr>
      <w:r>
        <w:separator/>
      </w:r>
    </w:p>
  </w:footnote>
  <w:footnote w:type="continuationSeparator" w:id="0">
    <w:p w14:paraId="1742BAB2" w14:textId="77777777" w:rsidR="00F30156" w:rsidRDefault="00F30156"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5102" w14:textId="77777777" w:rsidR="00BA0B99" w:rsidRPr="00BA0B99" w:rsidRDefault="00BA0B99" w:rsidP="00BA0B99">
    <w:pPr>
      <w:pStyle w:val="Header"/>
      <w:jc w:val="right"/>
      <w:rPr>
        <w:rFonts w:ascii="Calibri" w:eastAsia="Times New Roman" w:hAnsi="Calibri" w:cs="Arial"/>
      </w:rPr>
    </w:pPr>
    <w:r w:rsidRPr="00BA0B99">
      <w:rPr>
        <w:rFonts w:ascii="Calibri" w:eastAsia="Times New Roman" w:hAnsi="Calibri" w:cs="Arial"/>
      </w:rPr>
      <w:t>PLA Board of Directors</w:t>
    </w:r>
  </w:p>
  <w:p w14:paraId="749D9583" w14:textId="77777777" w:rsidR="00BA0B99" w:rsidRPr="00BA0B99" w:rsidRDefault="00BA0B99" w:rsidP="00BA0B99">
    <w:pPr>
      <w:pStyle w:val="Header"/>
      <w:jc w:val="right"/>
      <w:rPr>
        <w:rFonts w:ascii="Calibri" w:eastAsia="Times New Roman" w:hAnsi="Calibri" w:cs="Arial"/>
      </w:rPr>
    </w:pPr>
    <w:r w:rsidRPr="00BA0B99">
      <w:rPr>
        <w:rFonts w:ascii="Calibri" w:eastAsia="Times New Roman" w:hAnsi="Calibri" w:cs="Arial"/>
      </w:rPr>
      <w:t xml:space="preserve">March 14, </w:t>
    </w:r>
    <w:proofErr w:type="gramStart"/>
    <w:r w:rsidRPr="00BA0B99">
      <w:rPr>
        <w:rFonts w:ascii="Calibri" w:eastAsia="Times New Roman" w:hAnsi="Calibri" w:cs="Arial"/>
      </w:rPr>
      <w:t>2024</w:t>
    </w:r>
    <w:proofErr w:type="gramEnd"/>
    <w:r w:rsidRPr="00BA0B99">
      <w:rPr>
        <w:rFonts w:ascii="Calibri" w:eastAsia="Times New Roman" w:hAnsi="Calibri" w:cs="Arial"/>
      </w:rPr>
      <w:t xml:space="preserve"> Virtual Meeting</w:t>
    </w:r>
  </w:p>
  <w:p w14:paraId="2D342581" w14:textId="4CF4D67D" w:rsidR="0063240F" w:rsidRDefault="00BA0B99" w:rsidP="00BA0B99">
    <w:pPr>
      <w:pStyle w:val="Header"/>
      <w:jc w:val="right"/>
      <w:rPr>
        <w:rFonts w:ascii="Calibri" w:eastAsia="Times New Roman" w:hAnsi="Calibri" w:cs="Arial"/>
      </w:rPr>
    </w:pPr>
    <w:r w:rsidRPr="00BA0B99">
      <w:rPr>
        <w:rFonts w:ascii="Calibri" w:eastAsia="Times New Roman" w:hAnsi="Calibri" w:cs="Arial"/>
      </w:rPr>
      <w:t>Document no.: 2024.</w:t>
    </w:r>
    <w:r w:rsidR="00B03FBD">
      <w:rPr>
        <w:rFonts w:ascii="Calibri" w:eastAsia="Times New Roman" w:hAnsi="Calibri" w:cs="Arial"/>
      </w:rPr>
      <w:t>30</w:t>
    </w:r>
  </w:p>
  <w:p w14:paraId="7ACD8AB3" w14:textId="77777777" w:rsidR="00BA0B99" w:rsidRPr="00913926" w:rsidRDefault="00BA0B99" w:rsidP="00BA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6F6"/>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106D"/>
    <w:multiLevelType w:val="hybridMultilevel"/>
    <w:tmpl w:val="86B2D12C"/>
    <w:lvl w:ilvl="0" w:tplc="937C6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E1544"/>
    <w:multiLevelType w:val="hybridMultilevel"/>
    <w:tmpl w:val="76B69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E58F8"/>
    <w:multiLevelType w:val="hybridMultilevel"/>
    <w:tmpl w:val="D7FA2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C4EF9"/>
    <w:multiLevelType w:val="hybridMultilevel"/>
    <w:tmpl w:val="055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355E"/>
    <w:multiLevelType w:val="hybridMultilevel"/>
    <w:tmpl w:val="4262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F5014"/>
    <w:multiLevelType w:val="hybridMultilevel"/>
    <w:tmpl w:val="CF6C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2033BE"/>
    <w:multiLevelType w:val="hybridMultilevel"/>
    <w:tmpl w:val="CC8A57D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9426B0"/>
    <w:multiLevelType w:val="hybridMultilevel"/>
    <w:tmpl w:val="E4AA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E421F"/>
    <w:multiLevelType w:val="hybridMultilevel"/>
    <w:tmpl w:val="DA6A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72B00"/>
    <w:multiLevelType w:val="hybridMultilevel"/>
    <w:tmpl w:val="A1AA6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F947AF"/>
    <w:multiLevelType w:val="hybridMultilevel"/>
    <w:tmpl w:val="98BC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985134"/>
    <w:multiLevelType w:val="hybridMultilevel"/>
    <w:tmpl w:val="10A86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436F39"/>
    <w:multiLevelType w:val="hybridMultilevel"/>
    <w:tmpl w:val="477E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50377"/>
    <w:multiLevelType w:val="hybridMultilevel"/>
    <w:tmpl w:val="79E6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D71DB"/>
    <w:multiLevelType w:val="hybridMultilevel"/>
    <w:tmpl w:val="8AEC10C4"/>
    <w:lvl w:ilvl="0" w:tplc="B7C21E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4305C"/>
    <w:multiLevelType w:val="hybridMultilevel"/>
    <w:tmpl w:val="9198E880"/>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371918">
    <w:abstractNumId w:val="0"/>
  </w:num>
  <w:num w:numId="2" w16cid:durableId="501896398">
    <w:abstractNumId w:val="4"/>
  </w:num>
  <w:num w:numId="3" w16cid:durableId="1608465236">
    <w:abstractNumId w:val="0"/>
  </w:num>
  <w:num w:numId="4" w16cid:durableId="2023510495">
    <w:abstractNumId w:val="16"/>
  </w:num>
  <w:num w:numId="5" w16cid:durableId="1517452875">
    <w:abstractNumId w:val="11"/>
  </w:num>
  <w:num w:numId="6" w16cid:durableId="1174875945">
    <w:abstractNumId w:val="7"/>
  </w:num>
  <w:num w:numId="7" w16cid:durableId="2004893365">
    <w:abstractNumId w:val="1"/>
  </w:num>
  <w:num w:numId="8" w16cid:durableId="1385131170">
    <w:abstractNumId w:val="15"/>
  </w:num>
  <w:num w:numId="9" w16cid:durableId="1228108590">
    <w:abstractNumId w:val="8"/>
  </w:num>
  <w:num w:numId="10" w16cid:durableId="161239423">
    <w:abstractNumId w:val="3"/>
  </w:num>
  <w:num w:numId="11" w16cid:durableId="735854423">
    <w:abstractNumId w:val="12"/>
  </w:num>
  <w:num w:numId="12" w16cid:durableId="614991000">
    <w:abstractNumId w:val="14"/>
  </w:num>
  <w:num w:numId="13" w16cid:durableId="247815471">
    <w:abstractNumId w:val="6"/>
  </w:num>
  <w:num w:numId="14" w16cid:durableId="179781197">
    <w:abstractNumId w:val="17"/>
  </w:num>
  <w:num w:numId="15" w16cid:durableId="1803689859">
    <w:abstractNumId w:val="5"/>
  </w:num>
  <w:num w:numId="16" w16cid:durableId="677469010">
    <w:abstractNumId w:val="2"/>
  </w:num>
  <w:num w:numId="17" w16cid:durableId="1334723517">
    <w:abstractNumId w:val="9"/>
  </w:num>
  <w:num w:numId="18" w16cid:durableId="1930001865">
    <w:abstractNumId w:val="13"/>
  </w:num>
  <w:num w:numId="19" w16cid:durableId="789669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03"/>
    <w:rsid w:val="00000CBE"/>
    <w:rsid w:val="000040B5"/>
    <w:rsid w:val="000065B8"/>
    <w:rsid w:val="00017506"/>
    <w:rsid w:val="00031E80"/>
    <w:rsid w:val="00037846"/>
    <w:rsid w:val="00042497"/>
    <w:rsid w:val="00046FBF"/>
    <w:rsid w:val="00053B7D"/>
    <w:rsid w:val="000544F1"/>
    <w:rsid w:val="000642DD"/>
    <w:rsid w:val="00080A55"/>
    <w:rsid w:val="00091201"/>
    <w:rsid w:val="00095C38"/>
    <w:rsid w:val="0009748B"/>
    <w:rsid w:val="00097D05"/>
    <w:rsid w:val="000A0360"/>
    <w:rsid w:val="000B1A22"/>
    <w:rsid w:val="000B6646"/>
    <w:rsid w:val="000D1D0B"/>
    <w:rsid w:val="000D3FE5"/>
    <w:rsid w:val="000E4D76"/>
    <w:rsid w:val="000F6976"/>
    <w:rsid w:val="000F76AA"/>
    <w:rsid w:val="0011078E"/>
    <w:rsid w:val="00111907"/>
    <w:rsid w:val="001471BF"/>
    <w:rsid w:val="001653C5"/>
    <w:rsid w:val="00184620"/>
    <w:rsid w:val="00186120"/>
    <w:rsid w:val="001B1E75"/>
    <w:rsid w:val="001B2F41"/>
    <w:rsid w:val="001F2C1D"/>
    <w:rsid w:val="00206068"/>
    <w:rsid w:val="002061EA"/>
    <w:rsid w:val="002136A3"/>
    <w:rsid w:val="00221D2E"/>
    <w:rsid w:val="002330E9"/>
    <w:rsid w:val="0024339C"/>
    <w:rsid w:val="002457EE"/>
    <w:rsid w:val="00246B79"/>
    <w:rsid w:val="002579B7"/>
    <w:rsid w:val="00257BD4"/>
    <w:rsid w:val="002618EC"/>
    <w:rsid w:val="00267575"/>
    <w:rsid w:val="00273E30"/>
    <w:rsid w:val="00287264"/>
    <w:rsid w:val="00291394"/>
    <w:rsid w:val="0029723B"/>
    <w:rsid w:val="002A7C4B"/>
    <w:rsid w:val="002B3D91"/>
    <w:rsid w:val="002D4C74"/>
    <w:rsid w:val="00301D4C"/>
    <w:rsid w:val="00314E14"/>
    <w:rsid w:val="00332A22"/>
    <w:rsid w:val="00353253"/>
    <w:rsid w:val="003812C5"/>
    <w:rsid w:val="00382D6C"/>
    <w:rsid w:val="0038443E"/>
    <w:rsid w:val="003A20B2"/>
    <w:rsid w:val="003A3B14"/>
    <w:rsid w:val="003A76DA"/>
    <w:rsid w:val="003B2E1F"/>
    <w:rsid w:val="003B54EC"/>
    <w:rsid w:val="003C7665"/>
    <w:rsid w:val="003D79BD"/>
    <w:rsid w:val="003F5E64"/>
    <w:rsid w:val="00442869"/>
    <w:rsid w:val="004446B2"/>
    <w:rsid w:val="00454F1E"/>
    <w:rsid w:val="00463464"/>
    <w:rsid w:val="00472735"/>
    <w:rsid w:val="00472978"/>
    <w:rsid w:val="004814E2"/>
    <w:rsid w:val="00494B6C"/>
    <w:rsid w:val="004A4551"/>
    <w:rsid w:val="004B155A"/>
    <w:rsid w:val="004B1B12"/>
    <w:rsid w:val="004B54F9"/>
    <w:rsid w:val="004D0C92"/>
    <w:rsid w:val="004D7F46"/>
    <w:rsid w:val="004E478A"/>
    <w:rsid w:val="004F011C"/>
    <w:rsid w:val="00501A9A"/>
    <w:rsid w:val="00507A1B"/>
    <w:rsid w:val="00532736"/>
    <w:rsid w:val="00544114"/>
    <w:rsid w:val="00553C56"/>
    <w:rsid w:val="00554274"/>
    <w:rsid w:val="00561169"/>
    <w:rsid w:val="00570896"/>
    <w:rsid w:val="005732FB"/>
    <w:rsid w:val="00576F8F"/>
    <w:rsid w:val="005933A4"/>
    <w:rsid w:val="005960C4"/>
    <w:rsid w:val="005973F8"/>
    <w:rsid w:val="005A353E"/>
    <w:rsid w:val="005D33F0"/>
    <w:rsid w:val="00604537"/>
    <w:rsid w:val="0060461C"/>
    <w:rsid w:val="0061511F"/>
    <w:rsid w:val="00620053"/>
    <w:rsid w:val="0062042E"/>
    <w:rsid w:val="006253F7"/>
    <w:rsid w:val="0063240F"/>
    <w:rsid w:val="0063336E"/>
    <w:rsid w:val="006417A7"/>
    <w:rsid w:val="00644954"/>
    <w:rsid w:val="00647A8C"/>
    <w:rsid w:val="00661C7B"/>
    <w:rsid w:val="00684967"/>
    <w:rsid w:val="0069282A"/>
    <w:rsid w:val="006A2B85"/>
    <w:rsid w:val="006A4E45"/>
    <w:rsid w:val="006B6043"/>
    <w:rsid w:val="006D20F4"/>
    <w:rsid w:val="006E343E"/>
    <w:rsid w:val="006E4032"/>
    <w:rsid w:val="006E4491"/>
    <w:rsid w:val="006E6B36"/>
    <w:rsid w:val="006E7BB0"/>
    <w:rsid w:val="006F4F54"/>
    <w:rsid w:val="00700DA5"/>
    <w:rsid w:val="007021EA"/>
    <w:rsid w:val="0071564C"/>
    <w:rsid w:val="00717AFB"/>
    <w:rsid w:val="007212A8"/>
    <w:rsid w:val="00724068"/>
    <w:rsid w:val="007302EF"/>
    <w:rsid w:val="00730E1A"/>
    <w:rsid w:val="00740079"/>
    <w:rsid w:val="0074629E"/>
    <w:rsid w:val="00752158"/>
    <w:rsid w:val="007651E5"/>
    <w:rsid w:val="00777AE0"/>
    <w:rsid w:val="00783180"/>
    <w:rsid w:val="00783926"/>
    <w:rsid w:val="007841FA"/>
    <w:rsid w:val="00787D0F"/>
    <w:rsid w:val="007A1B3E"/>
    <w:rsid w:val="007A4F61"/>
    <w:rsid w:val="007A5BDD"/>
    <w:rsid w:val="007A65D7"/>
    <w:rsid w:val="007C165F"/>
    <w:rsid w:val="007C3D47"/>
    <w:rsid w:val="00801200"/>
    <w:rsid w:val="00811F92"/>
    <w:rsid w:val="008120EB"/>
    <w:rsid w:val="00823C6F"/>
    <w:rsid w:val="008248F3"/>
    <w:rsid w:val="00836D59"/>
    <w:rsid w:val="00840A74"/>
    <w:rsid w:val="0085739D"/>
    <w:rsid w:val="00862CE7"/>
    <w:rsid w:val="0086710E"/>
    <w:rsid w:val="00872093"/>
    <w:rsid w:val="0087391D"/>
    <w:rsid w:val="008869AE"/>
    <w:rsid w:val="00886CCA"/>
    <w:rsid w:val="008941DA"/>
    <w:rsid w:val="008A2C83"/>
    <w:rsid w:val="008A34C1"/>
    <w:rsid w:val="008A5D06"/>
    <w:rsid w:val="008B1C62"/>
    <w:rsid w:val="008B5C34"/>
    <w:rsid w:val="008D1366"/>
    <w:rsid w:val="008D432E"/>
    <w:rsid w:val="008D760E"/>
    <w:rsid w:val="008F6A16"/>
    <w:rsid w:val="00906AF5"/>
    <w:rsid w:val="009134F2"/>
    <w:rsid w:val="00913926"/>
    <w:rsid w:val="00914142"/>
    <w:rsid w:val="00937625"/>
    <w:rsid w:val="0094311F"/>
    <w:rsid w:val="00943B1C"/>
    <w:rsid w:val="00943E95"/>
    <w:rsid w:val="00946177"/>
    <w:rsid w:val="00950738"/>
    <w:rsid w:val="00952F29"/>
    <w:rsid w:val="00955884"/>
    <w:rsid w:val="009624F1"/>
    <w:rsid w:val="00962E40"/>
    <w:rsid w:val="00967CAB"/>
    <w:rsid w:val="00971E4C"/>
    <w:rsid w:val="00983129"/>
    <w:rsid w:val="009B5C6D"/>
    <w:rsid w:val="009B5D65"/>
    <w:rsid w:val="009B5E5A"/>
    <w:rsid w:val="009D4D63"/>
    <w:rsid w:val="009E37C2"/>
    <w:rsid w:val="009E7CFE"/>
    <w:rsid w:val="00A038BA"/>
    <w:rsid w:val="00A12578"/>
    <w:rsid w:val="00A149CF"/>
    <w:rsid w:val="00A2791B"/>
    <w:rsid w:val="00A4086D"/>
    <w:rsid w:val="00A408C8"/>
    <w:rsid w:val="00A50A79"/>
    <w:rsid w:val="00A609EF"/>
    <w:rsid w:val="00A661E2"/>
    <w:rsid w:val="00A830FA"/>
    <w:rsid w:val="00A8633D"/>
    <w:rsid w:val="00A95E32"/>
    <w:rsid w:val="00A96DA5"/>
    <w:rsid w:val="00AB5F22"/>
    <w:rsid w:val="00AB70A9"/>
    <w:rsid w:val="00AC2EE9"/>
    <w:rsid w:val="00AC78FC"/>
    <w:rsid w:val="00AD3611"/>
    <w:rsid w:val="00AD4C22"/>
    <w:rsid w:val="00AF0DDC"/>
    <w:rsid w:val="00AF42AA"/>
    <w:rsid w:val="00B03FBD"/>
    <w:rsid w:val="00B120A9"/>
    <w:rsid w:val="00B12D85"/>
    <w:rsid w:val="00B24F1A"/>
    <w:rsid w:val="00B363EF"/>
    <w:rsid w:val="00B42FB3"/>
    <w:rsid w:val="00B51B42"/>
    <w:rsid w:val="00B52C82"/>
    <w:rsid w:val="00B82B6B"/>
    <w:rsid w:val="00B83D2C"/>
    <w:rsid w:val="00B8470F"/>
    <w:rsid w:val="00B93526"/>
    <w:rsid w:val="00B93A15"/>
    <w:rsid w:val="00B9718C"/>
    <w:rsid w:val="00BA0B99"/>
    <w:rsid w:val="00BA3604"/>
    <w:rsid w:val="00BC4001"/>
    <w:rsid w:val="00BD3482"/>
    <w:rsid w:val="00BD3CCB"/>
    <w:rsid w:val="00BE08BA"/>
    <w:rsid w:val="00BE4FF8"/>
    <w:rsid w:val="00BE5CE8"/>
    <w:rsid w:val="00BE6688"/>
    <w:rsid w:val="00BE7ED0"/>
    <w:rsid w:val="00BF026C"/>
    <w:rsid w:val="00BF2201"/>
    <w:rsid w:val="00C01B63"/>
    <w:rsid w:val="00C065A7"/>
    <w:rsid w:val="00C067B4"/>
    <w:rsid w:val="00C10821"/>
    <w:rsid w:val="00C15AD0"/>
    <w:rsid w:val="00C20000"/>
    <w:rsid w:val="00C22270"/>
    <w:rsid w:val="00C367D6"/>
    <w:rsid w:val="00C42D0A"/>
    <w:rsid w:val="00C4348B"/>
    <w:rsid w:val="00C5274C"/>
    <w:rsid w:val="00C54333"/>
    <w:rsid w:val="00C6602A"/>
    <w:rsid w:val="00C66F39"/>
    <w:rsid w:val="00C94803"/>
    <w:rsid w:val="00CA4B32"/>
    <w:rsid w:val="00CB595B"/>
    <w:rsid w:val="00CD1AE4"/>
    <w:rsid w:val="00CE7A2F"/>
    <w:rsid w:val="00CF3D95"/>
    <w:rsid w:val="00CF444D"/>
    <w:rsid w:val="00D04C30"/>
    <w:rsid w:val="00D11276"/>
    <w:rsid w:val="00D125A7"/>
    <w:rsid w:val="00D360DB"/>
    <w:rsid w:val="00D47C55"/>
    <w:rsid w:val="00D53BD5"/>
    <w:rsid w:val="00D8667E"/>
    <w:rsid w:val="00D91E55"/>
    <w:rsid w:val="00DB6C0E"/>
    <w:rsid w:val="00DE15F4"/>
    <w:rsid w:val="00DF19FD"/>
    <w:rsid w:val="00E058A9"/>
    <w:rsid w:val="00E0710E"/>
    <w:rsid w:val="00E12B4A"/>
    <w:rsid w:val="00E2792B"/>
    <w:rsid w:val="00E444A9"/>
    <w:rsid w:val="00E46097"/>
    <w:rsid w:val="00E47D3A"/>
    <w:rsid w:val="00E52633"/>
    <w:rsid w:val="00E6386F"/>
    <w:rsid w:val="00E67F39"/>
    <w:rsid w:val="00E90905"/>
    <w:rsid w:val="00E93867"/>
    <w:rsid w:val="00EA4CBE"/>
    <w:rsid w:val="00EB722C"/>
    <w:rsid w:val="00EC2A2E"/>
    <w:rsid w:val="00EC44D5"/>
    <w:rsid w:val="00ED0FD8"/>
    <w:rsid w:val="00ED4042"/>
    <w:rsid w:val="00EE3B04"/>
    <w:rsid w:val="00F03950"/>
    <w:rsid w:val="00F1006B"/>
    <w:rsid w:val="00F12462"/>
    <w:rsid w:val="00F13371"/>
    <w:rsid w:val="00F30156"/>
    <w:rsid w:val="00F42CA0"/>
    <w:rsid w:val="00F43589"/>
    <w:rsid w:val="00F454B1"/>
    <w:rsid w:val="00F45B6C"/>
    <w:rsid w:val="00F64255"/>
    <w:rsid w:val="00F81813"/>
    <w:rsid w:val="00F90282"/>
    <w:rsid w:val="00FB6C1A"/>
    <w:rsid w:val="00FD2913"/>
    <w:rsid w:val="00FD2C1B"/>
    <w:rsid w:val="00FE0517"/>
    <w:rsid w:val="00FF0BED"/>
    <w:rsid w:val="00FF10E2"/>
    <w:rsid w:val="00FF2D6F"/>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CD0D"/>
  <w15:docId w15:val="{87BFD098-0724-4693-838D-8BE9DD9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iPriority w:val="99"/>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E37C2"/>
    <w:rPr>
      <w:sz w:val="16"/>
      <w:szCs w:val="16"/>
    </w:rPr>
  </w:style>
  <w:style w:type="paragraph" w:styleId="CommentText">
    <w:name w:val="annotation text"/>
    <w:basedOn w:val="Normal"/>
    <w:link w:val="CommentTextChar"/>
    <w:uiPriority w:val="99"/>
    <w:unhideWhenUsed/>
    <w:rsid w:val="009E37C2"/>
    <w:pPr>
      <w:spacing w:line="240" w:lineRule="auto"/>
    </w:pPr>
    <w:rPr>
      <w:sz w:val="20"/>
      <w:szCs w:val="20"/>
    </w:rPr>
  </w:style>
  <w:style w:type="character" w:customStyle="1" w:styleId="CommentTextChar">
    <w:name w:val="Comment Text Char"/>
    <w:basedOn w:val="DefaultParagraphFont"/>
    <w:link w:val="CommentText"/>
    <w:uiPriority w:val="99"/>
    <w:rsid w:val="009E37C2"/>
    <w:rPr>
      <w:sz w:val="20"/>
      <w:szCs w:val="20"/>
    </w:rPr>
  </w:style>
  <w:style w:type="paragraph" w:styleId="CommentSubject">
    <w:name w:val="annotation subject"/>
    <w:basedOn w:val="CommentText"/>
    <w:next w:val="CommentText"/>
    <w:link w:val="CommentSubjectChar"/>
    <w:uiPriority w:val="99"/>
    <w:semiHidden/>
    <w:unhideWhenUsed/>
    <w:rsid w:val="009E37C2"/>
    <w:rPr>
      <w:b/>
      <w:bCs/>
    </w:rPr>
  </w:style>
  <w:style w:type="character" w:customStyle="1" w:styleId="CommentSubjectChar">
    <w:name w:val="Comment Subject Char"/>
    <w:basedOn w:val="CommentTextChar"/>
    <w:link w:val="CommentSubject"/>
    <w:uiPriority w:val="99"/>
    <w:semiHidden/>
    <w:rsid w:val="009E37C2"/>
    <w:rPr>
      <w:b/>
      <w:bCs/>
      <w:sz w:val="20"/>
      <w:szCs w:val="20"/>
    </w:rPr>
  </w:style>
  <w:style w:type="paragraph" w:styleId="BalloonText">
    <w:name w:val="Balloon Text"/>
    <w:basedOn w:val="Normal"/>
    <w:link w:val="BalloonTextChar"/>
    <w:uiPriority w:val="99"/>
    <w:semiHidden/>
    <w:unhideWhenUsed/>
    <w:rsid w:val="00BF2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01"/>
    <w:rPr>
      <w:rFonts w:ascii="Segoe UI" w:hAnsi="Segoe UI" w:cs="Segoe UI"/>
      <w:sz w:val="18"/>
      <w:szCs w:val="18"/>
    </w:rPr>
  </w:style>
  <w:style w:type="paragraph" w:styleId="Subtitle">
    <w:name w:val="Subtitle"/>
    <w:basedOn w:val="Normal"/>
    <w:next w:val="Normal"/>
    <w:link w:val="SubtitleChar"/>
    <w:uiPriority w:val="11"/>
    <w:qFormat/>
    <w:rsid w:val="00D360D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D360DB"/>
    <w:rPr>
      <w:color w:val="5A5A5A" w:themeColor="text1" w:themeTint="A5"/>
      <w:spacing w:val="15"/>
    </w:rPr>
  </w:style>
  <w:style w:type="paragraph" w:styleId="Revision">
    <w:name w:val="Revision"/>
    <w:hidden/>
    <w:uiPriority w:val="99"/>
    <w:semiHidden/>
    <w:rsid w:val="007021EA"/>
    <w:pPr>
      <w:spacing w:after="0" w:line="240" w:lineRule="auto"/>
    </w:pPr>
  </w:style>
  <w:style w:type="character" w:styleId="Hyperlink">
    <w:name w:val="Hyperlink"/>
    <w:basedOn w:val="DefaultParagraphFont"/>
    <w:uiPriority w:val="99"/>
    <w:unhideWhenUsed/>
    <w:rsid w:val="004B54F9"/>
    <w:rPr>
      <w:color w:val="0000FF" w:themeColor="hyperlink"/>
      <w:u w:val="single"/>
    </w:rPr>
  </w:style>
  <w:style w:type="character" w:customStyle="1" w:styleId="UnresolvedMention1">
    <w:name w:val="Unresolved Mention1"/>
    <w:basedOn w:val="DefaultParagraphFont"/>
    <w:uiPriority w:val="99"/>
    <w:semiHidden/>
    <w:unhideWhenUsed/>
    <w:rsid w:val="004B54F9"/>
    <w:rPr>
      <w:color w:val="605E5C"/>
      <w:shd w:val="clear" w:color="auto" w:fill="E1DFDD"/>
    </w:rPr>
  </w:style>
  <w:style w:type="character" w:styleId="FollowedHyperlink">
    <w:name w:val="FollowedHyperlink"/>
    <w:basedOn w:val="DefaultParagraphFont"/>
    <w:uiPriority w:val="99"/>
    <w:semiHidden/>
    <w:unhideWhenUsed/>
    <w:rsid w:val="008120EB"/>
    <w:rPr>
      <w:color w:val="800080" w:themeColor="followedHyperlink"/>
      <w:u w:val="single"/>
    </w:rPr>
  </w:style>
  <w:style w:type="paragraph" w:customStyle="1" w:styleId="xmsonormal">
    <w:name w:val="x_msonormal"/>
    <w:basedOn w:val="Normal"/>
    <w:rsid w:val="00544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jjwmq6us">
    <w:name w:val="markrjjwmq6us"/>
    <w:basedOn w:val="DefaultParagraphFont"/>
    <w:rsid w:val="00544114"/>
  </w:style>
  <w:style w:type="paragraph" w:customStyle="1" w:styleId="xxmsonormal">
    <w:name w:val="x_xmsonormal"/>
    <w:basedOn w:val="Normal"/>
    <w:rsid w:val="00D11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6745">
      <w:bodyDiv w:val="1"/>
      <w:marLeft w:val="0"/>
      <w:marRight w:val="0"/>
      <w:marTop w:val="0"/>
      <w:marBottom w:val="0"/>
      <w:divBdr>
        <w:top w:val="none" w:sz="0" w:space="0" w:color="auto"/>
        <w:left w:val="none" w:sz="0" w:space="0" w:color="auto"/>
        <w:bottom w:val="none" w:sz="0" w:space="0" w:color="auto"/>
        <w:right w:val="none" w:sz="0" w:space="0" w:color="auto"/>
      </w:divBdr>
    </w:div>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630938819">
      <w:bodyDiv w:val="1"/>
      <w:marLeft w:val="0"/>
      <w:marRight w:val="0"/>
      <w:marTop w:val="0"/>
      <w:marBottom w:val="0"/>
      <w:divBdr>
        <w:top w:val="none" w:sz="0" w:space="0" w:color="auto"/>
        <w:left w:val="none" w:sz="0" w:space="0" w:color="auto"/>
        <w:bottom w:val="none" w:sz="0" w:space="0" w:color="auto"/>
        <w:right w:val="none" w:sz="0" w:space="0" w:color="auto"/>
      </w:divBdr>
      <w:divsChild>
        <w:div w:id="2103523702">
          <w:marLeft w:val="0"/>
          <w:marRight w:val="0"/>
          <w:marTop w:val="0"/>
          <w:marBottom w:val="0"/>
          <w:divBdr>
            <w:top w:val="none" w:sz="0" w:space="0" w:color="auto"/>
            <w:left w:val="none" w:sz="0" w:space="0" w:color="auto"/>
            <w:bottom w:val="none" w:sz="0" w:space="0" w:color="auto"/>
            <w:right w:val="none" w:sz="0" w:space="0" w:color="auto"/>
          </w:divBdr>
          <w:divsChild>
            <w:div w:id="486675380">
              <w:marLeft w:val="0"/>
              <w:marRight w:val="0"/>
              <w:marTop w:val="0"/>
              <w:marBottom w:val="0"/>
              <w:divBdr>
                <w:top w:val="none" w:sz="0" w:space="0" w:color="auto"/>
                <w:left w:val="none" w:sz="0" w:space="0" w:color="auto"/>
                <w:bottom w:val="none" w:sz="0" w:space="0" w:color="auto"/>
                <w:right w:val="none" w:sz="0" w:space="0" w:color="auto"/>
              </w:divBdr>
            </w:div>
          </w:divsChild>
        </w:div>
        <w:div w:id="358822513">
          <w:marLeft w:val="0"/>
          <w:marRight w:val="0"/>
          <w:marTop w:val="0"/>
          <w:marBottom w:val="0"/>
          <w:divBdr>
            <w:top w:val="none" w:sz="0" w:space="0" w:color="auto"/>
            <w:left w:val="none" w:sz="0" w:space="0" w:color="auto"/>
            <w:bottom w:val="none" w:sz="0" w:space="0" w:color="auto"/>
            <w:right w:val="none" w:sz="0" w:space="0" w:color="auto"/>
          </w:divBdr>
          <w:divsChild>
            <w:div w:id="1415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877938105">
      <w:marLeft w:val="0"/>
      <w:marRight w:val="0"/>
      <w:marTop w:val="0"/>
      <w:marBottom w:val="0"/>
      <w:divBdr>
        <w:top w:val="none" w:sz="0" w:space="0" w:color="auto"/>
        <w:left w:val="none" w:sz="0" w:space="0" w:color="auto"/>
        <w:bottom w:val="none" w:sz="0" w:space="0" w:color="auto"/>
        <w:right w:val="none" w:sz="0" w:space="0" w:color="auto"/>
      </w:divBdr>
      <w:divsChild>
        <w:div w:id="915867847">
          <w:marLeft w:val="0"/>
          <w:marRight w:val="0"/>
          <w:marTop w:val="0"/>
          <w:marBottom w:val="0"/>
          <w:divBdr>
            <w:top w:val="none" w:sz="0" w:space="0" w:color="auto"/>
            <w:left w:val="none" w:sz="0" w:space="0" w:color="auto"/>
            <w:bottom w:val="none" w:sz="0" w:space="0" w:color="auto"/>
            <w:right w:val="none" w:sz="0" w:space="0" w:color="auto"/>
          </w:divBdr>
        </w:div>
      </w:divsChild>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20438671">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674725874">
      <w:marLeft w:val="0"/>
      <w:marRight w:val="0"/>
      <w:marTop w:val="0"/>
      <w:marBottom w:val="0"/>
      <w:divBdr>
        <w:top w:val="none" w:sz="0" w:space="0" w:color="auto"/>
        <w:left w:val="none" w:sz="0" w:space="0" w:color="auto"/>
        <w:bottom w:val="none" w:sz="0" w:space="0" w:color="auto"/>
        <w:right w:val="none" w:sz="0" w:space="0" w:color="auto"/>
      </w:divBdr>
      <w:divsChild>
        <w:div w:id="2102290562">
          <w:marLeft w:val="0"/>
          <w:marRight w:val="0"/>
          <w:marTop w:val="0"/>
          <w:marBottom w:val="0"/>
          <w:divBdr>
            <w:top w:val="none" w:sz="0" w:space="0" w:color="auto"/>
            <w:left w:val="none" w:sz="0" w:space="0" w:color="auto"/>
            <w:bottom w:val="none" w:sz="0" w:space="0" w:color="auto"/>
            <w:right w:val="none" w:sz="0" w:space="0" w:color="auto"/>
          </w:divBdr>
        </w:div>
      </w:divsChild>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Megan Stewart</cp:lastModifiedBy>
  <cp:revision>4</cp:revision>
  <cp:lastPrinted>2024-03-08T21:47:00Z</cp:lastPrinted>
  <dcterms:created xsi:type="dcterms:W3CDTF">2024-03-08T20:51:00Z</dcterms:created>
  <dcterms:modified xsi:type="dcterms:W3CDTF">2024-03-08T21:47:00Z</dcterms:modified>
</cp:coreProperties>
</file>