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5D78" w14:textId="77777777" w:rsidR="00D3328E" w:rsidRDefault="00D3328E" w:rsidP="00D34667">
      <w:pPr>
        <w:rPr>
          <w:rFonts w:asciiTheme="minorHAnsi" w:hAnsiTheme="minorHAnsi" w:cstheme="minorHAnsi"/>
          <w:b/>
        </w:rPr>
      </w:pPr>
      <w:r>
        <w:rPr>
          <w:rFonts w:asciiTheme="minorHAnsi" w:hAnsiTheme="minorHAnsi" w:cstheme="minorHAnsi"/>
          <w:b/>
        </w:rPr>
        <w:t>Public Library Association</w:t>
      </w:r>
    </w:p>
    <w:p w14:paraId="3BA09CF1" w14:textId="25DE8355" w:rsidR="00D34667" w:rsidRPr="00B561F1" w:rsidRDefault="00D34667" w:rsidP="00D34667">
      <w:pPr>
        <w:rPr>
          <w:rFonts w:asciiTheme="minorHAnsi" w:hAnsiTheme="minorHAnsi" w:cstheme="minorHAnsi"/>
          <w:b/>
        </w:rPr>
      </w:pPr>
      <w:r w:rsidRPr="00B561F1">
        <w:rPr>
          <w:rFonts w:asciiTheme="minorHAnsi" w:hAnsiTheme="minorHAnsi" w:cstheme="minorHAnsi"/>
          <w:b/>
        </w:rPr>
        <w:t>FY</w:t>
      </w:r>
      <w:r w:rsidR="00D3328E">
        <w:rPr>
          <w:rFonts w:asciiTheme="minorHAnsi" w:hAnsiTheme="minorHAnsi" w:cstheme="minorHAnsi"/>
          <w:b/>
        </w:rPr>
        <w:t>20</w:t>
      </w:r>
      <w:r w:rsidR="00C4715C">
        <w:rPr>
          <w:rFonts w:asciiTheme="minorHAnsi" w:hAnsiTheme="minorHAnsi" w:cstheme="minorHAnsi"/>
          <w:b/>
        </w:rPr>
        <w:t xml:space="preserve"> Operating</w:t>
      </w:r>
      <w:r w:rsidRPr="00B561F1">
        <w:rPr>
          <w:rFonts w:asciiTheme="minorHAnsi" w:hAnsiTheme="minorHAnsi" w:cstheme="minorHAnsi"/>
          <w:b/>
        </w:rPr>
        <w:t xml:space="preserve"> Budget</w:t>
      </w:r>
      <w:r>
        <w:rPr>
          <w:rFonts w:asciiTheme="minorHAnsi" w:hAnsiTheme="minorHAnsi" w:cstheme="minorHAnsi"/>
          <w:b/>
        </w:rPr>
        <w:t xml:space="preserve"> as of </w:t>
      </w:r>
      <w:r w:rsidR="00B822CC">
        <w:rPr>
          <w:rFonts w:asciiTheme="minorHAnsi" w:hAnsiTheme="minorHAnsi" w:cstheme="minorHAnsi"/>
          <w:b/>
        </w:rPr>
        <w:t>January 2020</w:t>
      </w:r>
      <w:bookmarkStart w:id="0" w:name="_GoBack"/>
      <w:bookmarkEnd w:id="0"/>
    </w:p>
    <w:p w14:paraId="691AEC32" w14:textId="77777777" w:rsidR="00EE2579" w:rsidRDefault="00EE2579" w:rsidP="00066FDA">
      <w:pPr>
        <w:rPr>
          <w:rFonts w:asciiTheme="minorHAnsi" w:hAnsiTheme="minorHAnsi" w:cstheme="minorHAnsi"/>
          <w:u w:val="single"/>
        </w:rPr>
      </w:pPr>
    </w:p>
    <w:tbl>
      <w:tblPr>
        <w:tblW w:w="1089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409"/>
        <w:gridCol w:w="1409"/>
        <w:gridCol w:w="42"/>
        <w:gridCol w:w="1341"/>
        <w:gridCol w:w="6"/>
        <w:gridCol w:w="1311"/>
        <w:gridCol w:w="39"/>
        <w:gridCol w:w="1302"/>
        <w:gridCol w:w="68"/>
        <w:gridCol w:w="1341"/>
      </w:tblGrid>
      <w:tr w:rsidR="00A11259" w:rsidRPr="00E07AE6" w14:paraId="6672BB77" w14:textId="77777777" w:rsidTr="00FE5A9E">
        <w:trPr>
          <w:gridAfter w:val="2"/>
          <w:wAfter w:w="1409" w:type="dxa"/>
          <w:trHeight w:val="255"/>
        </w:trPr>
        <w:tc>
          <w:tcPr>
            <w:tcW w:w="2623" w:type="dxa"/>
            <w:shd w:val="clear" w:color="auto" w:fill="auto"/>
            <w:noWrap/>
            <w:vAlign w:val="bottom"/>
            <w:hideMark/>
          </w:tcPr>
          <w:p w14:paraId="0435F84F" w14:textId="45D28AC8" w:rsidR="00A11259" w:rsidRPr="00E07AE6" w:rsidRDefault="00A11259" w:rsidP="0007292D">
            <w:pPr>
              <w:jc w:val="right"/>
              <w:rPr>
                <w:rFonts w:ascii="Arial" w:hAnsi="Arial" w:cs="Arial"/>
                <w:b/>
                <w:sz w:val="20"/>
                <w:szCs w:val="20"/>
              </w:rPr>
            </w:pPr>
          </w:p>
        </w:tc>
        <w:tc>
          <w:tcPr>
            <w:tcW w:w="1409" w:type="dxa"/>
            <w:shd w:val="clear" w:color="auto" w:fill="auto"/>
            <w:noWrap/>
            <w:vAlign w:val="bottom"/>
            <w:hideMark/>
          </w:tcPr>
          <w:p w14:paraId="6E152B7B" w14:textId="24F13CF9" w:rsidR="00D34667" w:rsidRDefault="00B822CC" w:rsidP="0007292D">
            <w:pPr>
              <w:rPr>
                <w:rFonts w:ascii="Arial" w:hAnsi="Arial" w:cs="Arial"/>
                <w:b/>
                <w:sz w:val="20"/>
                <w:szCs w:val="20"/>
              </w:rPr>
            </w:pPr>
            <w:r>
              <w:rPr>
                <w:rFonts w:ascii="Arial" w:hAnsi="Arial" w:cs="Arial"/>
                <w:b/>
                <w:sz w:val="20"/>
                <w:szCs w:val="20"/>
              </w:rPr>
              <w:t>Jan 2020</w:t>
            </w:r>
          </w:p>
          <w:p w14:paraId="2583ABD8" w14:textId="67D19384" w:rsidR="00A11259" w:rsidRPr="00E07AE6" w:rsidRDefault="00A11259" w:rsidP="0007292D">
            <w:pPr>
              <w:rPr>
                <w:rFonts w:ascii="Arial" w:hAnsi="Arial" w:cs="Arial"/>
                <w:b/>
                <w:sz w:val="20"/>
                <w:szCs w:val="20"/>
              </w:rPr>
            </w:pPr>
            <w:r w:rsidRPr="00E07AE6">
              <w:rPr>
                <w:rFonts w:ascii="Arial" w:hAnsi="Arial" w:cs="Arial"/>
                <w:b/>
                <w:sz w:val="20"/>
                <w:szCs w:val="20"/>
              </w:rPr>
              <w:t>YTD Budget</w:t>
            </w:r>
          </w:p>
        </w:tc>
        <w:tc>
          <w:tcPr>
            <w:tcW w:w="1451" w:type="dxa"/>
            <w:gridSpan w:val="2"/>
            <w:shd w:val="clear" w:color="auto" w:fill="auto"/>
            <w:noWrap/>
            <w:vAlign w:val="bottom"/>
            <w:hideMark/>
          </w:tcPr>
          <w:p w14:paraId="3F5B1810" w14:textId="06E4572A" w:rsidR="00D34667" w:rsidRDefault="00B822CC" w:rsidP="0007292D">
            <w:pPr>
              <w:rPr>
                <w:rFonts w:ascii="Arial" w:hAnsi="Arial" w:cs="Arial"/>
                <w:b/>
                <w:sz w:val="20"/>
                <w:szCs w:val="20"/>
              </w:rPr>
            </w:pPr>
            <w:r>
              <w:rPr>
                <w:rFonts w:ascii="Arial" w:hAnsi="Arial" w:cs="Arial"/>
                <w:b/>
                <w:sz w:val="20"/>
                <w:szCs w:val="20"/>
              </w:rPr>
              <w:t>Jan 2020</w:t>
            </w:r>
          </w:p>
          <w:p w14:paraId="47643956" w14:textId="4E5F76BD" w:rsidR="00A11259" w:rsidRPr="00E07AE6" w:rsidRDefault="00A11259" w:rsidP="0007292D">
            <w:pPr>
              <w:rPr>
                <w:rFonts w:ascii="Arial" w:hAnsi="Arial" w:cs="Arial"/>
                <w:b/>
                <w:sz w:val="20"/>
                <w:szCs w:val="20"/>
              </w:rPr>
            </w:pPr>
            <w:r w:rsidRPr="00E07AE6">
              <w:rPr>
                <w:rFonts w:ascii="Arial" w:hAnsi="Arial" w:cs="Arial"/>
                <w:b/>
                <w:sz w:val="20"/>
                <w:szCs w:val="20"/>
              </w:rPr>
              <w:t>YTD Actual</w:t>
            </w:r>
          </w:p>
        </w:tc>
        <w:tc>
          <w:tcPr>
            <w:tcW w:w="1341" w:type="dxa"/>
            <w:shd w:val="clear" w:color="auto" w:fill="auto"/>
            <w:noWrap/>
            <w:vAlign w:val="bottom"/>
            <w:hideMark/>
          </w:tcPr>
          <w:p w14:paraId="6AF87719" w14:textId="36DFF7DD" w:rsidR="00A11259" w:rsidRPr="00E07AE6" w:rsidRDefault="00B822CC" w:rsidP="0007292D">
            <w:pPr>
              <w:rPr>
                <w:rFonts w:ascii="Arial" w:hAnsi="Arial" w:cs="Arial"/>
                <w:b/>
                <w:sz w:val="20"/>
                <w:szCs w:val="20"/>
              </w:rPr>
            </w:pPr>
            <w:r>
              <w:rPr>
                <w:rFonts w:ascii="Arial" w:hAnsi="Arial" w:cs="Arial"/>
                <w:b/>
                <w:sz w:val="20"/>
                <w:szCs w:val="20"/>
              </w:rPr>
              <w:t>Jan 2020</w:t>
            </w:r>
            <w:r w:rsidR="00D34667">
              <w:rPr>
                <w:rFonts w:ascii="Arial" w:hAnsi="Arial" w:cs="Arial"/>
                <w:b/>
                <w:sz w:val="20"/>
                <w:szCs w:val="20"/>
              </w:rPr>
              <w:t xml:space="preserve"> </w:t>
            </w:r>
            <w:r w:rsidR="00A11259" w:rsidRPr="00E07AE6">
              <w:rPr>
                <w:rFonts w:ascii="Arial" w:hAnsi="Arial" w:cs="Arial"/>
                <w:b/>
                <w:sz w:val="20"/>
                <w:szCs w:val="20"/>
              </w:rPr>
              <w:t>Variance</w:t>
            </w:r>
          </w:p>
        </w:tc>
        <w:tc>
          <w:tcPr>
            <w:tcW w:w="1317" w:type="dxa"/>
            <w:gridSpan w:val="2"/>
            <w:shd w:val="clear" w:color="auto" w:fill="auto"/>
            <w:noWrap/>
            <w:vAlign w:val="bottom"/>
            <w:hideMark/>
          </w:tcPr>
          <w:p w14:paraId="58FDF8A2" w14:textId="5933DEC1" w:rsidR="00A11259" w:rsidRPr="00E07AE6" w:rsidRDefault="00B822CC" w:rsidP="0007292D">
            <w:pPr>
              <w:rPr>
                <w:rFonts w:ascii="Arial" w:hAnsi="Arial" w:cs="Arial"/>
                <w:b/>
                <w:sz w:val="20"/>
                <w:szCs w:val="20"/>
              </w:rPr>
            </w:pPr>
            <w:r>
              <w:rPr>
                <w:rFonts w:ascii="Arial" w:hAnsi="Arial" w:cs="Arial"/>
                <w:b/>
                <w:sz w:val="20"/>
                <w:szCs w:val="20"/>
              </w:rPr>
              <w:t>Jan 2020</w:t>
            </w:r>
            <w:r w:rsidR="00D34667">
              <w:rPr>
                <w:rFonts w:ascii="Arial" w:hAnsi="Arial" w:cs="Arial"/>
                <w:b/>
                <w:sz w:val="20"/>
                <w:szCs w:val="20"/>
              </w:rPr>
              <w:t xml:space="preserve"> </w:t>
            </w:r>
            <w:r w:rsidR="00A11259" w:rsidRPr="00E07AE6">
              <w:rPr>
                <w:rFonts w:ascii="Arial" w:hAnsi="Arial" w:cs="Arial"/>
                <w:b/>
                <w:sz w:val="20"/>
                <w:szCs w:val="20"/>
              </w:rPr>
              <w:t>Variance %</w:t>
            </w:r>
          </w:p>
        </w:tc>
        <w:tc>
          <w:tcPr>
            <w:tcW w:w="1341" w:type="dxa"/>
            <w:gridSpan w:val="2"/>
            <w:shd w:val="clear" w:color="auto" w:fill="auto"/>
            <w:noWrap/>
            <w:vAlign w:val="bottom"/>
            <w:hideMark/>
          </w:tcPr>
          <w:p w14:paraId="2238571D" w14:textId="77777777" w:rsidR="00A11259" w:rsidRPr="00E07AE6" w:rsidRDefault="00A11259" w:rsidP="0007292D">
            <w:pPr>
              <w:rPr>
                <w:rFonts w:ascii="Arial" w:hAnsi="Arial" w:cs="Arial"/>
                <w:b/>
                <w:sz w:val="20"/>
                <w:szCs w:val="20"/>
              </w:rPr>
            </w:pPr>
            <w:r w:rsidRPr="00E07AE6">
              <w:rPr>
                <w:rFonts w:ascii="Arial" w:hAnsi="Arial" w:cs="Arial"/>
                <w:b/>
                <w:sz w:val="20"/>
                <w:szCs w:val="20"/>
              </w:rPr>
              <w:t>Remaining Current Budget</w:t>
            </w:r>
          </w:p>
        </w:tc>
      </w:tr>
      <w:tr w:rsidR="006D629D" w:rsidRPr="006D629D" w14:paraId="2B1935A9" w14:textId="77777777" w:rsidTr="00FE5A9E">
        <w:trPr>
          <w:gridAfter w:val="2"/>
          <w:wAfter w:w="1409" w:type="dxa"/>
          <w:trHeight w:val="255"/>
        </w:trPr>
        <w:tc>
          <w:tcPr>
            <w:tcW w:w="2623" w:type="dxa"/>
            <w:shd w:val="clear" w:color="auto" w:fill="auto"/>
            <w:noWrap/>
            <w:vAlign w:val="bottom"/>
            <w:hideMark/>
          </w:tcPr>
          <w:p w14:paraId="5A8EAC74" w14:textId="77777777" w:rsidR="00A11259" w:rsidRPr="00E07AE6" w:rsidRDefault="00A11259" w:rsidP="0007292D">
            <w:pPr>
              <w:jc w:val="right"/>
              <w:rPr>
                <w:rFonts w:ascii="Arial" w:hAnsi="Arial" w:cs="Arial"/>
                <w:b/>
                <w:sz w:val="20"/>
                <w:szCs w:val="20"/>
              </w:rPr>
            </w:pPr>
            <w:r w:rsidRPr="00E07AE6">
              <w:rPr>
                <w:rFonts w:ascii="Arial" w:hAnsi="Arial" w:cs="Arial"/>
                <w:b/>
                <w:sz w:val="20"/>
                <w:szCs w:val="20"/>
              </w:rPr>
              <w:t>Total Revenues</w:t>
            </w:r>
          </w:p>
        </w:tc>
        <w:tc>
          <w:tcPr>
            <w:tcW w:w="1409" w:type="dxa"/>
            <w:shd w:val="clear" w:color="auto" w:fill="auto"/>
            <w:noWrap/>
            <w:vAlign w:val="bottom"/>
            <w:hideMark/>
          </w:tcPr>
          <w:p w14:paraId="2E7AD162" w14:textId="4F206B26" w:rsidR="00A11259" w:rsidRPr="0051293D" w:rsidRDefault="00A11259" w:rsidP="0007292D">
            <w:pPr>
              <w:jc w:val="right"/>
              <w:rPr>
                <w:rFonts w:ascii="Arial" w:hAnsi="Arial" w:cs="Arial"/>
                <w:sz w:val="20"/>
                <w:szCs w:val="20"/>
              </w:rPr>
            </w:pPr>
            <w:r w:rsidRPr="0051293D">
              <w:rPr>
                <w:rFonts w:ascii="Arial" w:hAnsi="Arial" w:cs="Arial"/>
                <w:sz w:val="20"/>
                <w:szCs w:val="20"/>
              </w:rPr>
              <w:t>$</w:t>
            </w:r>
            <w:r w:rsidR="0084566C">
              <w:rPr>
                <w:rFonts w:ascii="Arial" w:hAnsi="Arial" w:cs="Arial"/>
                <w:sz w:val="20"/>
                <w:szCs w:val="20"/>
              </w:rPr>
              <w:t>516,330</w:t>
            </w:r>
            <w:r w:rsidRPr="0051293D">
              <w:rPr>
                <w:rFonts w:ascii="Arial" w:hAnsi="Arial" w:cs="Arial"/>
                <w:sz w:val="20"/>
                <w:szCs w:val="20"/>
              </w:rPr>
              <w:t xml:space="preserve"> </w:t>
            </w:r>
          </w:p>
        </w:tc>
        <w:tc>
          <w:tcPr>
            <w:tcW w:w="1451" w:type="dxa"/>
            <w:gridSpan w:val="2"/>
            <w:shd w:val="clear" w:color="auto" w:fill="auto"/>
            <w:noWrap/>
            <w:vAlign w:val="bottom"/>
            <w:hideMark/>
          </w:tcPr>
          <w:p w14:paraId="38BF5E04" w14:textId="56E82A7B" w:rsidR="00A11259" w:rsidRPr="0051293D" w:rsidRDefault="00D3328E" w:rsidP="0007292D">
            <w:pPr>
              <w:jc w:val="right"/>
              <w:rPr>
                <w:rFonts w:ascii="Arial" w:hAnsi="Arial" w:cs="Arial"/>
                <w:sz w:val="20"/>
                <w:szCs w:val="20"/>
              </w:rPr>
            </w:pPr>
            <w:r w:rsidRPr="0051293D">
              <w:rPr>
                <w:rFonts w:ascii="Arial" w:hAnsi="Arial" w:cs="Arial"/>
                <w:sz w:val="20"/>
                <w:szCs w:val="20"/>
              </w:rPr>
              <w:t>$</w:t>
            </w:r>
            <w:r w:rsidR="0084566C">
              <w:rPr>
                <w:rFonts w:ascii="Arial" w:hAnsi="Arial" w:cs="Arial"/>
                <w:sz w:val="20"/>
                <w:szCs w:val="20"/>
              </w:rPr>
              <w:t>414,290</w:t>
            </w:r>
          </w:p>
        </w:tc>
        <w:tc>
          <w:tcPr>
            <w:tcW w:w="1341" w:type="dxa"/>
            <w:shd w:val="clear" w:color="auto" w:fill="auto"/>
            <w:noWrap/>
            <w:vAlign w:val="bottom"/>
            <w:hideMark/>
          </w:tcPr>
          <w:p w14:paraId="208688E3" w14:textId="29DFD9E3" w:rsidR="00A11259" w:rsidRPr="0051293D" w:rsidRDefault="0051293D" w:rsidP="0007292D">
            <w:pPr>
              <w:jc w:val="right"/>
              <w:rPr>
                <w:rFonts w:ascii="Arial" w:hAnsi="Arial" w:cs="Arial"/>
                <w:sz w:val="20"/>
                <w:szCs w:val="20"/>
              </w:rPr>
            </w:pPr>
            <w:r w:rsidRPr="0051293D">
              <w:rPr>
                <w:rFonts w:ascii="Arial" w:hAnsi="Arial" w:cs="Arial"/>
                <w:sz w:val="20"/>
                <w:szCs w:val="20"/>
              </w:rPr>
              <w:t>$</w:t>
            </w:r>
            <w:r w:rsidR="0084566C">
              <w:rPr>
                <w:rFonts w:ascii="Arial" w:hAnsi="Arial" w:cs="Arial"/>
                <w:sz w:val="20"/>
                <w:szCs w:val="20"/>
              </w:rPr>
              <w:t>102,040</w:t>
            </w:r>
          </w:p>
        </w:tc>
        <w:tc>
          <w:tcPr>
            <w:tcW w:w="1317" w:type="dxa"/>
            <w:gridSpan w:val="2"/>
            <w:shd w:val="clear" w:color="auto" w:fill="auto"/>
            <w:noWrap/>
            <w:vAlign w:val="bottom"/>
            <w:hideMark/>
          </w:tcPr>
          <w:p w14:paraId="643E203D" w14:textId="6384391F" w:rsidR="00A11259" w:rsidRPr="0051293D" w:rsidRDefault="0051293D" w:rsidP="0007292D">
            <w:pPr>
              <w:jc w:val="right"/>
              <w:rPr>
                <w:rFonts w:ascii="Arial" w:hAnsi="Arial" w:cs="Arial"/>
                <w:sz w:val="20"/>
                <w:szCs w:val="20"/>
              </w:rPr>
            </w:pPr>
            <w:r w:rsidRPr="0051293D">
              <w:rPr>
                <w:rFonts w:ascii="Arial" w:hAnsi="Arial" w:cs="Arial"/>
                <w:sz w:val="20"/>
                <w:szCs w:val="20"/>
              </w:rPr>
              <w:t>-</w:t>
            </w:r>
            <w:r w:rsidR="0084566C">
              <w:rPr>
                <w:rFonts w:ascii="Arial" w:hAnsi="Arial" w:cs="Arial"/>
                <w:sz w:val="20"/>
                <w:szCs w:val="20"/>
              </w:rPr>
              <w:t>20</w:t>
            </w:r>
            <w:r w:rsidRPr="0051293D">
              <w:rPr>
                <w:rFonts w:ascii="Arial" w:hAnsi="Arial" w:cs="Arial"/>
                <w:sz w:val="20"/>
                <w:szCs w:val="20"/>
              </w:rPr>
              <w:t>%</w:t>
            </w:r>
          </w:p>
        </w:tc>
        <w:tc>
          <w:tcPr>
            <w:tcW w:w="1341" w:type="dxa"/>
            <w:gridSpan w:val="2"/>
            <w:shd w:val="clear" w:color="auto" w:fill="auto"/>
            <w:noWrap/>
            <w:vAlign w:val="bottom"/>
            <w:hideMark/>
          </w:tcPr>
          <w:p w14:paraId="3E67B1B5" w14:textId="15E703DE" w:rsidR="00A11259" w:rsidRPr="0051293D" w:rsidRDefault="0051293D" w:rsidP="0051293D">
            <w:pPr>
              <w:jc w:val="right"/>
              <w:rPr>
                <w:rFonts w:ascii="Arial" w:hAnsi="Arial" w:cs="Arial"/>
                <w:sz w:val="20"/>
                <w:szCs w:val="20"/>
              </w:rPr>
            </w:pPr>
            <w:r w:rsidRPr="0051293D">
              <w:rPr>
                <w:rFonts w:ascii="Arial" w:hAnsi="Arial" w:cs="Arial"/>
                <w:sz w:val="20"/>
                <w:szCs w:val="20"/>
              </w:rPr>
              <w:t>$</w:t>
            </w:r>
            <w:r w:rsidR="0084566C">
              <w:rPr>
                <w:rFonts w:ascii="Arial" w:hAnsi="Arial" w:cs="Arial"/>
                <w:sz w:val="20"/>
                <w:szCs w:val="20"/>
              </w:rPr>
              <w:t>4,304,325</w:t>
            </w:r>
          </w:p>
        </w:tc>
      </w:tr>
      <w:tr w:rsidR="00F00437" w:rsidRPr="00E07AE6" w14:paraId="015A91CA" w14:textId="77777777" w:rsidTr="00FE5A9E">
        <w:trPr>
          <w:gridAfter w:val="2"/>
          <w:wAfter w:w="1409" w:type="dxa"/>
          <w:trHeight w:val="255"/>
        </w:trPr>
        <w:tc>
          <w:tcPr>
            <w:tcW w:w="2623" w:type="dxa"/>
            <w:shd w:val="clear" w:color="auto" w:fill="auto"/>
            <w:noWrap/>
            <w:vAlign w:val="bottom"/>
            <w:hideMark/>
          </w:tcPr>
          <w:p w14:paraId="012C641F"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Total Expenses before OH and tax</w:t>
            </w:r>
          </w:p>
        </w:tc>
        <w:tc>
          <w:tcPr>
            <w:tcW w:w="1409" w:type="dxa"/>
            <w:shd w:val="clear" w:color="auto" w:fill="auto"/>
            <w:noWrap/>
            <w:vAlign w:val="bottom"/>
            <w:hideMark/>
          </w:tcPr>
          <w:p w14:paraId="1F09B6EE" w14:textId="4F3D990E" w:rsidR="00F00437" w:rsidRPr="0051293D" w:rsidRDefault="00F00437" w:rsidP="00F00437">
            <w:pPr>
              <w:jc w:val="right"/>
              <w:rPr>
                <w:rFonts w:ascii="Arial" w:hAnsi="Arial" w:cs="Arial"/>
                <w:sz w:val="20"/>
                <w:szCs w:val="20"/>
              </w:rPr>
            </w:pPr>
            <w:r w:rsidRPr="0051293D">
              <w:rPr>
                <w:rFonts w:ascii="Arial" w:hAnsi="Arial" w:cs="Arial"/>
                <w:sz w:val="20"/>
                <w:szCs w:val="20"/>
              </w:rPr>
              <w:t>$</w:t>
            </w:r>
            <w:r w:rsidR="0084566C">
              <w:rPr>
                <w:rFonts w:ascii="Arial" w:hAnsi="Arial" w:cs="Arial"/>
                <w:sz w:val="20"/>
                <w:szCs w:val="20"/>
              </w:rPr>
              <w:t>1,250,173</w:t>
            </w:r>
            <w:r w:rsidRPr="0051293D">
              <w:rPr>
                <w:rFonts w:ascii="Arial" w:hAnsi="Arial" w:cs="Arial"/>
                <w:sz w:val="20"/>
                <w:szCs w:val="20"/>
              </w:rPr>
              <w:t xml:space="preserve"> </w:t>
            </w:r>
          </w:p>
        </w:tc>
        <w:tc>
          <w:tcPr>
            <w:tcW w:w="1451" w:type="dxa"/>
            <w:gridSpan w:val="2"/>
            <w:shd w:val="clear" w:color="auto" w:fill="auto"/>
            <w:noWrap/>
            <w:vAlign w:val="bottom"/>
            <w:hideMark/>
          </w:tcPr>
          <w:p w14:paraId="52BB8EBE" w14:textId="787D5910" w:rsidR="00F00437" w:rsidRPr="0051293D" w:rsidRDefault="0084566C" w:rsidP="00F00437">
            <w:pPr>
              <w:jc w:val="right"/>
              <w:rPr>
                <w:rFonts w:ascii="Arial" w:hAnsi="Arial" w:cs="Arial"/>
                <w:sz w:val="20"/>
                <w:szCs w:val="20"/>
              </w:rPr>
            </w:pPr>
            <w:r>
              <w:rPr>
                <w:rFonts w:ascii="Arial" w:hAnsi="Arial" w:cs="Arial"/>
                <w:sz w:val="20"/>
                <w:szCs w:val="20"/>
              </w:rPr>
              <w:t>$845,120</w:t>
            </w:r>
          </w:p>
        </w:tc>
        <w:tc>
          <w:tcPr>
            <w:tcW w:w="1341" w:type="dxa"/>
            <w:shd w:val="clear" w:color="auto" w:fill="auto"/>
            <w:noWrap/>
            <w:vAlign w:val="bottom"/>
            <w:hideMark/>
          </w:tcPr>
          <w:p w14:paraId="006002E7" w14:textId="52AD1D56" w:rsidR="00F00437" w:rsidRPr="0051293D" w:rsidRDefault="0084566C" w:rsidP="00F00437">
            <w:pPr>
              <w:jc w:val="right"/>
              <w:rPr>
                <w:rFonts w:ascii="Arial" w:hAnsi="Arial" w:cs="Arial"/>
                <w:sz w:val="20"/>
                <w:szCs w:val="20"/>
              </w:rPr>
            </w:pPr>
            <w:r>
              <w:rPr>
                <w:rFonts w:ascii="Arial" w:hAnsi="Arial" w:cs="Arial"/>
                <w:sz w:val="20"/>
                <w:szCs w:val="20"/>
              </w:rPr>
              <w:t>$405,053</w:t>
            </w:r>
          </w:p>
        </w:tc>
        <w:tc>
          <w:tcPr>
            <w:tcW w:w="1317" w:type="dxa"/>
            <w:gridSpan w:val="2"/>
            <w:shd w:val="clear" w:color="auto" w:fill="auto"/>
            <w:noWrap/>
            <w:vAlign w:val="bottom"/>
          </w:tcPr>
          <w:p w14:paraId="7E5C1B0D" w14:textId="5C43E678" w:rsidR="00F00437" w:rsidRPr="0051293D" w:rsidRDefault="0084566C" w:rsidP="00F00437">
            <w:pPr>
              <w:jc w:val="right"/>
              <w:rPr>
                <w:rFonts w:ascii="Arial" w:hAnsi="Arial" w:cs="Arial"/>
                <w:sz w:val="20"/>
                <w:szCs w:val="20"/>
              </w:rPr>
            </w:pPr>
            <w:r>
              <w:rPr>
                <w:rFonts w:ascii="Arial" w:hAnsi="Arial" w:cs="Arial"/>
                <w:sz w:val="20"/>
                <w:szCs w:val="20"/>
              </w:rPr>
              <w:t>32%</w:t>
            </w:r>
          </w:p>
        </w:tc>
        <w:tc>
          <w:tcPr>
            <w:tcW w:w="1341" w:type="dxa"/>
            <w:gridSpan w:val="2"/>
            <w:shd w:val="clear" w:color="auto" w:fill="auto"/>
            <w:noWrap/>
            <w:vAlign w:val="bottom"/>
          </w:tcPr>
          <w:p w14:paraId="2E86B856" w14:textId="6C72FC78" w:rsidR="00F00437" w:rsidRPr="0051293D" w:rsidRDefault="0084566C" w:rsidP="0051293D">
            <w:pPr>
              <w:jc w:val="right"/>
              <w:rPr>
                <w:rFonts w:ascii="Arial" w:hAnsi="Arial" w:cs="Arial"/>
                <w:sz w:val="20"/>
                <w:szCs w:val="20"/>
              </w:rPr>
            </w:pPr>
            <w:r>
              <w:rPr>
                <w:rFonts w:ascii="Arial" w:hAnsi="Arial" w:cs="Arial"/>
                <w:sz w:val="20"/>
                <w:szCs w:val="20"/>
              </w:rPr>
              <w:t>$2,820,132</w:t>
            </w:r>
          </w:p>
        </w:tc>
      </w:tr>
      <w:tr w:rsidR="00F00437" w:rsidRPr="00E07AE6" w14:paraId="148BDFCC" w14:textId="77777777" w:rsidTr="00FE5A9E">
        <w:trPr>
          <w:gridAfter w:val="2"/>
          <w:wAfter w:w="1409" w:type="dxa"/>
          <w:trHeight w:val="255"/>
        </w:trPr>
        <w:tc>
          <w:tcPr>
            <w:tcW w:w="2623" w:type="dxa"/>
            <w:shd w:val="clear" w:color="auto" w:fill="auto"/>
            <w:noWrap/>
            <w:vAlign w:val="bottom"/>
            <w:hideMark/>
          </w:tcPr>
          <w:p w14:paraId="0A979DFF"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Contribution Margin</w:t>
            </w:r>
          </w:p>
        </w:tc>
        <w:tc>
          <w:tcPr>
            <w:tcW w:w="1409" w:type="dxa"/>
            <w:shd w:val="clear" w:color="auto" w:fill="auto"/>
            <w:noWrap/>
            <w:vAlign w:val="bottom"/>
            <w:hideMark/>
          </w:tcPr>
          <w:p w14:paraId="7594E82C" w14:textId="19D5E4AD" w:rsidR="00F00437" w:rsidRPr="0051293D" w:rsidRDefault="0051293D" w:rsidP="00F00437">
            <w:pPr>
              <w:jc w:val="right"/>
              <w:rPr>
                <w:rFonts w:ascii="Arial" w:hAnsi="Arial" w:cs="Arial"/>
                <w:sz w:val="20"/>
                <w:szCs w:val="20"/>
              </w:rPr>
            </w:pPr>
            <w:r>
              <w:rPr>
                <w:rFonts w:ascii="Arial" w:hAnsi="Arial" w:cs="Arial"/>
                <w:sz w:val="20"/>
                <w:szCs w:val="20"/>
              </w:rPr>
              <w:t>-</w:t>
            </w:r>
            <w:r w:rsidR="00F00437" w:rsidRPr="0051293D">
              <w:rPr>
                <w:rFonts w:ascii="Arial" w:hAnsi="Arial" w:cs="Arial"/>
                <w:sz w:val="20"/>
                <w:szCs w:val="20"/>
              </w:rPr>
              <w:t>$</w:t>
            </w:r>
            <w:r w:rsidR="0084566C">
              <w:rPr>
                <w:rFonts w:ascii="Arial" w:hAnsi="Arial" w:cs="Arial"/>
                <w:sz w:val="20"/>
                <w:szCs w:val="20"/>
              </w:rPr>
              <w:t>733,843</w:t>
            </w:r>
          </w:p>
        </w:tc>
        <w:tc>
          <w:tcPr>
            <w:tcW w:w="1451" w:type="dxa"/>
            <w:gridSpan w:val="2"/>
            <w:shd w:val="clear" w:color="auto" w:fill="auto"/>
            <w:noWrap/>
            <w:vAlign w:val="bottom"/>
            <w:hideMark/>
          </w:tcPr>
          <w:p w14:paraId="6C9BCF96" w14:textId="4E97B200" w:rsidR="00F00437" w:rsidRPr="0051293D" w:rsidRDefault="0051293D" w:rsidP="00F00437">
            <w:pPr>
              <w:jc w:val="right"/>
              <w:rPr>
                <w:rFonts w:ascii="Arial" w:hAnsi="Arial" w:cs="Arial"/>
                <w:sz w:val="20"/>
                <w:szCs w:val="20"/>
              </w:rPr>
            </w:pPr>
            <w:r>
              <w:rPr>
                <w:rFonts w:ascii="Arial" w:hAnsi="Arial" w:cs="Arial"/>
                <w:sz w:val="20"/>
                <w:szCs w:val="20"/>
              </w:rPr>
              <w:t>-</w:t>
            </w:r>
            <w:r w:rsidR="00F00437" w:rsidRPr="0051293D">
              <w:rPr>
                <w:rFonts w:ascii="Arial" w:hAnsi="Arial" w:cs="Arial"/>
                <w:sz w:val="20"/>
                <w:szCs w:val="20"/>
              </w:rPr>
              <w:t>$</w:t>
            </w:r>
            <w:r w:rsidR="0084566C">
              <w:rPr>
                <w:rFonts w:ascii="Arial" w:hAnsi="Arial" w:cs="Arial"/>
                <w:sz w:val="20"/>
                <w:szCs w:val="20"/>
              </w:rPr>
              <w:t>430,830</w:t>
            </w:r>
          </w:p>
        </w:tc>
        <w:tc>
          <w:tcPr>
            <w:tcW w:w="1341" w:type="dxa"/>
            <w:shd w:val="clear" w:color="auto" w:fill="auto"/>
            <w:noWrap/>
            <w:vAlign w:val="bottom"/>
            <w:hideMark/>
          </w:tcPr>
          <w:p w14:paraId="3077AFCB" w14:textId="6E897F5D" w:rsidR="00F00437" w:rsidRPr="0051293D" w:rsidRDefault="006D629D" w:rsidP="00F00437">
            <w:pPr>
              <w:jc w:val="right"/>
              <w:rPr>
                <w:rFonts w:ascii="Arial" w:hAnsi="Arial" w:cs="Arial"/>
                <w:sz w:val="20"/>
                <w:szCs w:val="20"/>
              </w:rPr>
            </w:pPr>
            <w:r w:rsidRPr="0051293D">
              <w:rPr>
                <w:rFonts w:ascii="Arial" w:hAnsi="Arial" w:cs="Arial"/>
                <w:sz w:val="20"/>
                <w:szCs w:val="20"/>
              </w:rPr>
              <w:t>$</w:t>
            </w:r>
            <w:r w:rsidR="0084566C">
              <w:rPr>
                <w:rFonts w:ascii="Arial" w:hAnsi="Arial" w:cs="Arial"/>
                <w:sz w:val="20"/>
                <w:szCs w:val="20"/>
              </w:rPr>
              <w:t>303,013</w:t>
            </w:r>
          </w:p>
        </w:tc>
        <w:tc>
          <w:tcPr>
            <w:tcW w:w="1317" w:type="dxa"/>
            <w:gridSpan w:val="2"/>
            <w:shd w:val="clear" w:color="auto" w:fill="auto"/>
            <w:noWrap/>
            <w:vAlign w:val="bottom"/>
          </w:tcPr>
          <w:p w14:paraId="7A9FD3C9" w14:textId="60661C2C" w:rsidR="00F00437" w:rsidRPr="0051293D" w:rsidRDefault="0084566C" w:rsidP="00F00437">
            <w:pPr>
              <w:jc w:val="right"/>
              <w:rPr>
                <w:rFonts w:ascii="Arial" w:hAnsi="Arial" w:cs="Arial"/>
                <w:sz w:val="20"/>
                <w:szCs w:val="20"/>
              </w:rPr>
            </w:pPr>
            <w:r>
              <w:rPr>
                <w:rFonts w:ascii="Arial" w:hAnsi="Arial" w:cs="Arial"/>
                <w:sz w:val="20"/>
                <w:szCs w:val="20"/>
              </w:rPr>
              <w:t>41%</w:t>
            </w:r>
          </w:p>
        </w:tc>
        <w:tc>
          <w:tcPr>
            <w:tcW w:w="1341" w:type="dxa"/>
            <w:gridSpan w:val="2"/>
            <w:shd w:val="clear" w:color="auto" w:fill="auto"/>
            <w:noWrap/>
            <w:vAlign w:val="bottom"/>
          </w:tcPr>
          <w:p w14:paraId="608CCC70" w14:textId="4DA4FDD0" w:rsidR="00F00437" w:rsidRPr="0051293D" w:rsidRDefault="0084566C" w:rsidP="0051293D">
            <w:pPr>
              <w:jc w:val="right"/>
              <w:rPr>
                <w:rFonts w:ascii="Arial" w:hAnsi="Arial" w:cs="Arial"/>
                <w:sz w:val="20"/>
                <w:szCs w:val="20"/>
              </w:rPr>
            </w:pPr>
            <w:r>
              <w:rPr>
                <w:rFonts w:ascii="Arial" w:hAnsi="Arial" w:cs="Arial"/>
                <w:sz w:val="20"/>
                <w:szCs w:val="20"/>
              </w:rPr>
              <w:t>$1,484,194</w:t>
            </w:r>
          </w:p>
        </w:tc>
      </w:tr>
      <w:tr w:rsidR="00F00437" w:rsidRPr="00E07AE6" w14:paraId="2928CB3B" w14:textId="77777777" w:rsidTr="00FE5A9E">
        <w:trPr>
          <w:gridAfter w:val="2"/>
          <w:wAfter w:w="1409" w:type="dxa"/>
          <w:trHeight w:val="255"/>
        </w:trPr>
        <w:tc>
          <w:tcPr>
            <w:tcW w:w="2623" w:type="dxa"/>
            <w:shd w:val="clear" w:color="auto" w:fill="auto"/>
            <w:noWrap/>
            <w:vAlign w:val="bottom"/>
            <w:hideMark/>
          </w:tcPr>
          <w:p w14:paraId="5515594B"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Overhead and Tax</w:t>
            </w:r>
          </w:p>
        </w:tc>
        <w:tc>
          <w:tcPr>
            <w:tcW w:w="1409" w:type="dxa"/>
            <w:shd w:val="clear" w:color="auto" w:fill="auto"/>
            <w:noWrap/>
            <w:vAlign w:val="bottom"/>
            <w:hideMark/>
          </w:tcPr>
          <w:p w14:paraId="2F0F7753" w14:textId="385D708D" w:rsidR="00F00437" w:rsidRPr="0051293D" w:rsidRDefault="00F00437" w:rsidP="00F00437">
            <w:pPr>
              <w:jc w:val="right"/>
              <w:rPr>
                <w:rFonts w:ascii="Arial" w:hAnsi="Arial" w:cs="Arial"/>
                <w:sz w:val="20"/>
                <w:szCs w:val="20"/>
              </w:rPr>
            </w:pPr>
            <w:r w:rsidRPr="0051293D">
              <w:rPr>
                <w:rFonts w:ascii="Arial" w:hAnsi="Arial" w:cs="Arial"/>
                <w:sz w:val="20"/>
                <w:szCs w:val="20"/>
              </w:rPr>
              <w:t>$</w:t>
            </w:r>
            <w:r w:rsidR="0084566C">
              <w:rPr>
                <w:rFonts w:ascii="Arial" w:hAnsi="Arial" w:cs="Arial"/>
                <w:sz w:val="20"/>
                <w:szCs w:val="20"/>
              </w:rPr>
              <w:t>31,748</w:t>
            </w:r>
            <w:r w:rsidRPr="0051293D">
              <w:rPr>
                <w:rFonts w:ascii="Arial" w:hAnsi="Arial" w:cs="Arial"/>
                <w:sz w:val="20"/>
                <w:szCs w:val="20"/>
              </w:rPr>
              <w:t xml:space="preserve"> </w:t>
            </w:r>
          </w:p>
        </w:tc>
        <w:tc>
          <w:tcPr>
            <w:tcW w:w="1451" w:type="dxa"/>
            <w:gridSpan w:val="2"/>
            <w:shd w:val="clear" w:color="auto" w:fill="auto"/>
            <w:noWrap/>
            <w:vAlign w:val="bottom"/>
            <w:hideMark/>
          </w:tcPr>
          <w:p w14:paraId="7F618643" w14:textId="48C8B40E" w:rsidR="00F00437" w:rsidRPr="0051293D" w:rsidRDefault="0084566C" w:rsidP="00DA3FCA">
            <w:pPr>
              <w:jc w:val="right"/>
              <w:rPr>
                <w:rFonts w:ascii="Arial" w:hAnsi="Arial" w:cs="Arial"/>
                <w:sz w:val="20"/>
                <w:szCs w:val="20"/>
              </w:rPr>
            </w:pPr>
            <w:r>
              <w:rPr>
                <w:rFonts w:ascii="Arial" w:hAnsi="Arial" w:cs="Arial"/>
                <w:sz w:val="20"/>
                <w:szCs w:val="20"/>
              </w:rPr>
              <w:t>$21,422</w:t>
            </w:r>
          </w:p>
        </w:tc>
        <w:tc>
          <w:tcPr>
            <w:tcW w:w="1341" w:type="dxa"/>
            <w:shd w:val="clear" w:color="auto" w:fill="auto"/>
            <w:noWrap/>
            <w:vAlign w:val="bottom"/>
            <w:hideMark/>
          </w:tcPr>
          <w:p w14:paraId="5B68B3BF" w14:textId="71535B40" w:rsidR="00F00437" w:rsidRPr="0051293D" w:rsidRDefault="0084566C" w:rsidP="00F00437">
            <w:pPr>
              <w:jc w:val="right"/>
              <w:rPr>
                <w:rFonts w:ascii="Arial" w:hAnsi="Arial" w:cs="Arial"/>
                <w:sz w:val="20"/>
                <w:szCs w:val="20"/>
              </w:rPr>
            </w:pPr>
            <w:r>
              <w:rPr>
                <w:rFonts w:ascii="Arial" w:hAnsi="Arial" w:cs="Arial"/>
                <w:sz w:val="20"/>
                <w:szCs w:val="20"/>
              </w:rPr>
              <w:t>$10,326</w:t>
            </w:r>
          </w:p>
        </w:tc>
        <w:tc>
          <w:tcPr>
            <w:tcW w:w="1317" w:type="dxa"/>
            <w:gridSpan w:val="2"/>
            <w:shd w:val="clear" w:color="auto" w:fill="auto"/>
            <w:noWrap/>
            <w:vAlign w:val="bottom"/>
          </w:tcPr>
          <w:p w14:paraId="5AC48685" w14:textId="293E2B0B" w:rsidR="00F00437" w:rsidRPr="0051293D" w:rsidRDefault="0084566C" w:rsidP="00F00437">
            <w:pPr>
              <w:jc w:val="right"/>
              <w:rPr>
                <w:rFonts w:ascii="Arial" w:hAnsi="Arial" w:cs="Arial"/>
                <w:sz w:val="20"/>
                <w:szCs w:val="20"/>
              </w:rPr>
            </w:pPr>
            <w:r>
              <w:rPr>
                <w:rFonts w:ascii="Arial" w:hAnsi="Arial" w:cs="Arial"/>
                <w:sz w:val="20"/>
                <w:szCs w:val="20"/>
              </w:rPr>
              <w:t>33%</w:t>
            </w:r>
          </w:p>
        </w:tc>
        <w:tc>
          <w:tcPr>
            <w:tcW w:w="1341" w:type="dxa"/>
            <w:gridSpan w:val="2"/>
            <w:shd w:val="clear" w:color="auto" w:fill="auto"/>
            <w:noWrap/>
            <w:vAlign w:val="bottom"/>
          </w:tcPr>
          <w:p w14:paraId="406977E1" w14:textId="5FAFE5AD" w:rsidR="00F00437" w:rsidRPr="0051293D" w:rsidRDefault="0084566C" w:rsidP="0051293D">
            <w:pPr>
              <w:jc w:val="right"/>
              <w:rPr>
                <w:rFonts w:ascii="Arial" w:hAnsi="Arial" w:cs="Arial"/>
                <w:sz w:val="20"/>
                <w:szCs w:val="20"/>
              </w:rPr>
            </w:pPr>
            <w:r>
              <w:rPr>
                <w:rFonts w:ascii="Arial" w:hAnsi="Arial" w:cs="Arial"/>
                <w:sz w:val="20"/>
                <w:szCs w:val="20"/>
              </w:rPr>
              <w:t>$920,467</w:t>
            </w:r>
          </w:p>
        </w:tc>
      </w:tr>
      <w:tr w:rsidR="00F00437" w:rsidRPr="00E07AE6" w14:paraId="08507902" w14:textId="77777777" w:rsidTr="00FE5A9E">
        <w:trPr>
          <w:gridAfter w:val="2"/>
          <w:wAfter w:w="1409" w:type="dxa"/>
          <w:trHeight w:val="255"/>
        </w:trPr>
        <w:tc>
          <w:tcPr>
            <w:tcW w:w="2623" w:type="dxa"/>
            <w:shd w:val="clear" w:color="auto" w:fill="auto"/>
            <w:noWrap/>
            <w:vAlign w:val="bottom"/>
            <w:hideMark/>
          </w:tcPr>
          <w:p w14:paraId="1D095DC5" w14:textId="77777777" w:rsidR="00F00437" w:rsidRPr="00E07AE6" w:rsidRDefault="00F00437" w:rsidP="00F00437">
            <w:pPr>
              <w:jc w:val="right"/>
              <w:rPr>
                <w:rFonts w:ascii="Arial" w:hAnsi="Arial" w:cs="Arial"/>
                <w:b/>
                <w:sz w:val="20"/>
                <w:szCs w:val="20"/>
              </w:rPr>
            </w:pPr>
          </w:p>
        </w:tc>
        <w:tc>
          <w:tcPr>
            <w:tcW w:w="1409" w:type="dxa"/>
            <w:shd w:val="clear" w:color="auto" w:fill="auto"/>
            <w:noWrap/>
            <w:vAlign w:val="bottom"/>
            <w:hideMark/>
          </w:tcPr>
          <w:p w14:paraId="0B5EFF0C" w14:textId="77777777" w:rsidR="00F00437" w:rsidRPr="0051293D" w:rsidRDefault="00F00437" w:rsidP="00F00437">
            <w:pPr>
              <w:rPr>
                <w:rFonts w:ascii="Arial" w:hAnsi="Arial" w:cs="Arial"/>
                <w:sz w:val="20"/>
                <w:szCs w:val="20"/>
              </w:rPr>
            </w:pPr>
          </w:p>
        </w:tc>
        <w:tc>
          <w:tcPr>
            <w:tcW w:w="1451" w:type="dxa"/>
            <w:gridSpan w:val="2"/>
            <w:shd w:val="clear" w:color="auto" w:fill="auto"/>
            <w:noWrap/>
            <w:vAlign w:val="bottom"/>
            <w:hideMark/>
          </w:tcPr>
          <w:p w14:paraId="566B36D7" w14:textId="77777777" w:rsidR="00F00437" w:rsidRPr="0051293D" w:rsidRDefault="00F00437" w:rsidP="00F00437">
            <w:pPr>
              <w:rPr>
                <w:rFonts w:ascii="Arial" w:hAnsi="Arial" w:cs="Arial"/>
                <w:sz w:val="20"/>
                <w:szCs w:val="20"/>
              </w:rPr>
            </w:pPr>
          </w:p>
        </w:tc>
        <w:tc>
          <w:tcPr>
            <w:tcW w:w="1341" w:type="dxa"/>
            <w:shd w:val="clear" w:color="auto" w:fill="auto"/>
            <w:noWrap/>
            <w:vAlign w:val="bottom"/>
            <w:hideMark/>
          </w:tcPr>
          <w:p w14:paraId="6A23BAE2" w14:textId="77777777" w:rsidR="00F00437" w:rsidRPr="0051293D" w:rsidRDefault="00F00437" w:rsidP="00F00437">
            <w:pPr>
              <w:rPr>
                <w:rFonts w:ascii="Arial" w:hAnsi="Arial" w:cs="Arial"/>
                <w:sz w:val="20"/>
                <w:szCs w:val="20"/>
              </w:rPr>
            </w:pPr>
          </w:p>
        </w:tc>
        <w:tc>
          <w:tcPr>
            <w:tcW w:w="1317" w:type="dxa"/>
            <w:gridSpan w:val="2"/>
            <w:shd w:val="clear" w:color="auto" w:fill="auto"/>
            <w:noWrap/>
            <w:vAlign w:val="bottom"/>
            <w:hideMark/>
          </w:tcPr>
          <w:p w14:paraId="77C555B4" w14:textId="77777777" w:rsidR="00F00437" w:rsidRPr="0051293D" w:rsidRDefault="00F00437" w:rsidP="00F00437">
            <w:pPr>
              <w:rPr>
                <w:rFonts w:ascii="Arial" w:hAnsi="Arial" w:cs="Arial"/>
                <w:sz w:val="20"/>
                <w:szCs w:val="20"/>
              </w:rPr>
            </w:pPr>
          </w:p>
        </w:tc>
        <w:tc>
          <w:tcPr>
            <w:tcW w:w="1341" w:type="dxa"/>
            <w:gridSpan w:val="2"/>
            <w:shd w:val="clear" w:color="auto" w:fill="auto"/>
            <w:noWrap/>
            <w:vAlign w:val="bottom"/>
            <w:hideMark/>
          </w:tcPr>
          <w:p w14:paraId="6875BFEB" w14:textId="77777777" w:rsidR="00F00437" w:rsidRPr="0051293D" w:rsidRDefault="00F00437" w:rsidP="0051293D">
            <w:pPr>
              <w:jc w:val="right"/>
              <w:rPr>
                <w:rFonts w:ascii="Arial" w:hAnsi="Arial" w:cs="Arial"/>
                <w:sz w:val="20"/>
                <w:szCs w:val="20"/>
              </w:rPr>
            </w:pPr>
          </w:p>
        </w:tc>
      </w:tr>
      <w:tr w:rsidR="00F00437" w:rsidRPr="00E07AE6" w14:paraId="6DE71111" w14:textId="77777777" w:rsidTr="00FE5A9E">
        <w:trPr>
          <w:gridAfter w:val="2"/>
          <w:wAfter w:w="1409" w:type="dxa"/>
          <w:trHeight w:val="255"/>
        </w:trPr>
        <w:tc>
          <w:tcPr>
            <w:tcW w:w="2623" w:type="dxa"/>
            <w:shd w:val="clear" w:color="auto" w:fill="auto"/>
            <w:noWrap/>
            <w:vAlign w:val="bottom"/>
            <w:hideMark/>
          </w:tcPr>
          <w:p w14:paraId="1602ED65" w14:textId="77777777" w:rsidR="00F00437" w:rsidRPr="00E07AE6" w:rsidRDefault="00F00437" w:rsidP="00F00437">
            <w:pPr>
              <w:jc w:val="right"/>
              <w:rPr>
                <w:rFonts w:ascii="Arial" w:hAnsi="Arial" w:cs="Arial"/>
                <w:b/>
                <w:sz w:val="20"/>
                <w:szCs w:val="20"/>
              </w:rPr>
            </w:pPr>
          </w:p>
        </w:tc>
        <w:tc>
          <w:tcPr>
            <w:tcW w:w="1409" w:type="dxa"/>
            <w:shd w:val="clear" w:color="auto" w:fill="auto"/>
            <w:noWrap/>
            <w:vAlign w:val="bottom"/>
            <w:hideMark/>
          </w:tcPr>
          <w:p w14:paraId="0959ECA0" w14:textId="77777777" w:rsidR="00F00437" w:rsidRPr="0051293D" w:rsidRDefault="00F00437" w:rsidP="00F00437">
            <w:pPr>
              <w:rPr>
                <w:rFonts w:ascii="Arial" w:hAnsi="Arial" w:cs="Arial"/>
                <w:b/>
                <w:sz w:val="20"/>
                <w:szCs w:val="20"/>
              </w:rPr>
            </w:pPr>
            <w:r w:rsidRPr="0051293D">
              <w:rPr>
                <w:rFonts w:ascii="Arial" w:hAnsi="Arial" w:cs="Arial"/>
                <w:b/>
                <w:sz w:val="20"/>
                <w:szCs w:val="20"/>
              </w:rPr>
              <w:t>YTD Budget</w:t>
            </w:r>
          </w:p>
        </w:tc>
        <w:tc>
          <w:tcPr>
            <w:tcW w:w="1451" w:type="dxa"/>
            <w:gridSpan w:val="2"/>
            <w:shd w:val="clear" w:color="auto" w:fill="auto"/>
            <w:noWrap/>
            <w:vAlign w:val="bottom"/>
            <w:hideMark/>
          </w:tcPr>
          <w:p w14:paraId="59D75AB0" w14:textId="77777777" w:rsidR="00F00437" w:rsidRPr="0051293D" w:rsidRDefault="00F00437" w:rsidP="00F00437">
            <w:pPr>
              <w:rPr>
                <w:rFonts w:ascii="Arial" w:hAnsi="Arial" w:cs="Arial"/>
                <w:b/>
                <w:sz w:val="20"/>
                <w:szCs w:val="20"/>
              </w:rPr>
            </w:pPr>
            <w:r w:rsidRPr="0051293D">
              <w:rPr>
                <w:rFonts w:ascii="Arial" w:hAnsi="Arial" w:cs="Arial"/>
                <w:b/>
                <w:sz w:val="20"/>
                <w:szCs w:val="20"/>
              </w:rPr>
              <w:t>YTD Actual</w:t>
            </w:r>
          </w:p>
        </w:tc>
        <w:tc>
          <w:tcPr>
            <w:tcW w:w="1341" w:type="dxa"/>
            <w:shd w:val="clear" w:color="auto" w:fill="auto"/>
            <w:noWrap/>
            <w:vAlign w:val="bottom"/>
            <w:hideMark/>
          </w:tcPr>
          <w:p w14:paraId="35BF045B" w14:textId="77777777" w:rsidR="00F00437" w:rsidRPr="0051293D" w:rsidRDefault="00F00437" w:rsidP="00F00437">
            <w:pPr>
              <w:rPr>
                <w:rFonts w:ascii="Arial" w:hAnsi="Arial" w:cs="Arial"/>
                <w:b/>
                <w:sz w:val="20"/>
                <w:szCs w:val="20"/>
              </w:rPr>
            </w:pPr>
            <w:r w:rsidRPr="0051293D">
              <w:rPr>
                <w:rFonts w:ascii="Arial" w:hAnsi="Arial" w:cs="Arial"/>
                <w:b/>
                <w:sz w:val="20"/>
                <w:szCs w:val="20"/>
              </w:rPr>
              <w:t>Variance</w:t>
            </w:r>
          </w:p>
        </w:tc>
        <w:tc>
          <w:tcPr>
            <w:tcW w:w="1317" w:type="dxa"/>
            <w:gridSpan w:val="2"/>
            <w:tcBorders>
              <w:bottom w:val="single" w:sz="4" w:space="0" w:color="auto"/>
            </w:tcBorders>
            <w:shd w:val="clear" w:color="auto" w:fill="auto"/>
            <w:noWrap/>
            <w:vAlign w:val="bottom"/>
            <w:hideMark/>
          </w:tcPr>
          <w:p w14:paraId="7C16D88B" w14:textId="77777777" w:rsidR="00F00437" w:rsidRPr="0051293D" w:rsidRDefault="00F00437" w:rsidP="00F00437">
            <w:pPr>
              <w:rPr>
                <w:rFonts w:ascii="Arial" w:hAnsi="Arial" w:cs="Arial"/>
                <w:b/>
                <w:sz w:val="20"/>
                <w:szCs w:val="20"/>
              </w:rPr>
            </w:pPr>
            <w:r w:rsidRPr="0051293D">
              <w:rPr>
                <w:rFonts w:ascii="Arial" w:hAnsi="Arial" w:cs="Arial"/>
                <w:b/>
                <w:sz w:val="20"/>
                <w:szCs w:val="20"/>
              </w:rPr>
              <w:t>Variance %</w:t>
            </w:r>
          </w:p>
        </w:tc>
        <w:tc>
          <w:tcPr>
            <w:tcW w:w="1341" w:type="dxa"/>
            <w:gridSpan w:val="2"/>
            <w:tcBorders>
              <w:bottom w:val="single" w:sz="4" w:space="0" w:color="auto"/>
            </w:tcBorders>
            <w:shd w:val="clear" w:color="auto" w:fill="auto"/>
            <w:noWrap/>
            <w:vAlign w:val="bottom"/>
            <w:hideMark/>
          </w:tcPr>
          <w:p w14:paraId="137E4343" w14:textId="77777777" w:rsidR="00F00437" w:rsidRPr="0051293D" w:rsidRDefault="00F00437" w:rsidP="0051293D">
            <w:pPr>
              <w:jc w:val="right"/>
              <w:rPr>
                <w:rFonts w:ascii="Arial" w:hAnsi="Arial" w:cs="Arial"/>
                <w:sz w:val="20"/>
                <w:szCs w:val="20"/>
              </w:rPr>
            </w:pPr>
          </w:p>
        </w:tc>
      </w:tr>
      <w:tr w:rsidR="00F00437" w:rsidRPr="00E07AE6" w14:paraId="65C19B65" w14:textId="77777777" w:rsidTr="00FE5A9E">
        <w:trPr>
          <w:gridAfter w:val="2"/>
          <w:wAfter w:w="1409" w:type="dxa"/>
          <w:trHeight w:val="255"/>
        </w:trPr>
        <w:tc>
          <w:tcPr>
            <w:tcW w:w="2623" w:type="dxa"/>
            <w:shd w:val="clear" w:color="auto" w:fill="auto"/>
            <w:noWrap/>
            <w:vAlign w:val="bottom"/>
            <w:hideMark/>
          </w:tcPr>
          <w:p w14:paraId="5486AE10"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Net Revenue (Expense)</w:t>
            </w:r>
          </w:p>
        </w:tc>
        <w:tc>
          <w:tcPr>
            <w:tcW w:w="1409" w:type="dxa"/>
            <w:shd w:val="clear" w:color="auto" w:fill="auto"/>
            <w:noWrap/>
            <w:vAlign w:val="bottom"/>
            <w:hideMark/>
          </w:tcPr>
          <w:p w14:paraId="4DD08370" w14:textId="32085733" w:rsidR="00F00437" w:rsidRPr="0051293D" w:rsidRDefault="0051293D" w:rsidP="00F00437">
            <w:pPr>
              <w:jc w:val="right"/>
              <w:rPr>
                <w:rFonts w:ascii="Arial" w:hAnsi="Arial" w:cs="Arial"/>
                <w:sz w:val="20"/>
                <w:szCs w:val="20"/>
              </w:rPr>
            </w:pPr>
            <w:r>
              <w:rPr>
                <w:rFonts w:ascii="Arial" w:hAnsi="Arial" w:cs="Arial"/>
                <w:sz w:val="20"/>
                <w:szCs w:val="20"/>
              </w:rPr>
              <w:t>-$</w:t>
            </w:r>
            <w:r w:rsidR="0084566C">
              <w:rPr>
                <w:rFonts w:ascii="Arial" w:hAnsi="Arial" w:cs="Arial"/>
                <w:sz w:val="20"/>
                <w:szCs w:val="20"/>
              </w:rPr>
              <w:t>765,591</w:t>
            </w:r>
          </w:p>
        </w:tc>
        <w:tc>
          <w:tcPr>
            <w:tcW w:w="1451" w:type="dxa"/>
            <w:gridSpan w:val="2"/>
            <w:shd w:val="clear" w:color="auto" w:fill="auto"/>
            <w:noWrap/>
            <w:vAlign w:val="bottom"/>
            <w:hideMark/>
          </w:tcPr>
          <w:p w14:paraId="534F418B" w14:textId="1822505B" w:rsidR="00F00437" w:rsidRPr="0051293D" w:rsidRDefault="0051293D" w:rsidP="00F00437">
            <w:pPr>
              <w:jc w:val="right"/>
              <w:rPr>
                <w:rFonts w:ascii="Arial" w:hAnsi="Arial" w:cs="Arial"/>
                <w:sz w:val="20"/>
                <w:szCs w:val="20"/>
              </w:rPr>
            </w:pPr>
            <w:r>
              <w:rPr>
                <w:rFonts w:ascii="Arial" w:hAnsi="Arial" w:cs="Arial"/>
                <w:sz w:val="20"/>
                <w:szCs w:val="20"/>
              </w:rPr>
              <w:t>-$</w:t>
            </w:r>
            <w:r w:rsidR="0084566C">
              <w:rPr>
                <w:rFonts w:ascii="Arial" w:hAnsi="Arial" w:cs="Arial"/>
                <w:sz w:val="20"/>
                <w:szCs w:val="20"/>
              </w:rPr>
              <w:t>452,252</w:t>
            </w:r>
          </w:p>
        </w:tc>
        <w:tc>
          <w:tcPr>
            <w:tcW w:w="1341" w:type="dxa"/>
            <w:tcBorders>
              <w:bottom w:val="single" w:sz="4" w:space="0" w:color="auto"/>
            </w:tcBorders>
            <w:shd w:val="clear" w:color="auto" w:fill="auto"/>
            <w:noWrap/>
            <w:vAlign w:val="bottom"/>
            <w:hideMark/>
          </w:tcPr>
          <w:p w14:paraId="229253E1" w14:textId="379F47CB" w:rsidR="00F00437" w:rsidRPr="0051293D" w:rsidRDefault="0051293D" w:rsidP="00F00437">
            <w:pPr>
              <w:jc w:val="right"/>
              <w:rPr>
                <w:rFonts w:ascii="Arial" w:hAnsi="Arial" w:cs="Arial"/>
                <w:sz w:val="20"/>
                <w:szCs w:val="20"/>
              </w:rPr>
            </w:pPr>
            <w:r>
              <w:rPr>
                <w:rFonts w:ascii="Arial" w:hAnsi="Arial" w:cs="Arial"/>
                <w:sz w:val="20"/>
                <w:szCs w:val="20"/>
              </w:rPr>
              <w:t>$</w:t>
            </w:r>
            <w:r w:rsidR="0084566C">
              <w:rPr>
                <w:rFonts w:ascii="Arial" w:hAnsi="Arial" w:cs="Arial"/>
                <w:sz w:val="20"/>
                <w:szCs w:val="20"/>
              </w:rPr>
              <w:t>313,339</w:t>
            </w:r>
          </w:p>
        </w:tc>
        <w:tc>
          <w:tcPr>
            <w:tcW w:w="1317" w:type="dxa"/>
            <w:gridSpan w:val="2"/>
            <w:tcBorders>
              <w:bottom w:val="single" w:sz="4" w:space="0" w:color="auto"/>
            </w:tcBorders>
            <w:shd w:val="clear" w:color="auto" w:fill="auto"/>
            <w:noWrap/>
            <w:vAlign w:val="bottom"/>
            <w:hideMark/>
          </w:tcPr>
          <w:p w14:paraId="62A8A52B" w14:textId="4CA39C80" w:rsidR="00F00437" w:rsidRPr="0051293D" w:rsidRDefault="0084566C" w:rsidP="00F00437">
            <w:pPr>
              <w:jc w:val="right"/>
              <w:rPr>
                <w:rFonts w:ascii="Arial" w:hAnsi="Arial" w:cs="Arial"/>
                <w:sz w:val="20"/>
                <w:szCs w:val="20"/>
              </w:rPr>
            </w:pPr>
            <w:r>
              <w:rPr>
                <w:rFonts w:ascii="Arial" w:hAnsi="Arial" w:cs="Arial"/>
                <w:sz w:val="20"/>
                <w:szCs w:val="20"/>
              </w:rPr>
              <w:t>41%</w:t>
            </w:r>
          </w:p>
        </w:tc>
        <w:tc>
          <w:tcPr>
            <w:tcW w:w="1341" w:type="dxa"/>
            <w:gridSpan w:val="2"/>
            <w:tcBorders>
              <w:bottom w:val="single" w:sz="4" w:space="0" w:color="auto"/>
            </w:tcBorders>
            <w:shd w:val="clear" w:color="auto" w:fill="auto"/>
            <w:noWrap/>
            <w:vAlign w:val="bottom"/>
            <w:hideMark/>
          </w:tcPr>
          <w:p w14:paraId="7AD558EE" w14:textId="0E539A00" w:rsidR="00F00437" w:rsidRPr="0051293D" w:rsidRDefault="0084566C" w:rsidP="0051293D">
            <w:pPr>
              <w:jc w:val="right"/>
              <w:rPr>
                <w:rFonts w:ascii="Arial" w:hAnsi="Arial" w:cs="Arial"/>
                <w:sz w:val="20"/>
                <w:szCs w:val="20"/>
              </w:rPr>
            </w:pPr>
            <w:r>
              <w:rPr>
                <w:rFonts w:ascii="Arial" w:hAnsi="Arial" w:cs="Arial"/>
                <w:sz w:val="20"/>
                <w:szCs w:val="20"/>
              </w:rPr>
              <w:t>$563,727</w:t>
            </w:r>
          </w:p>
        </w:tc>
      </w:tr>
      <w:tr w:rsidR="00FE5A9E" w:rsidRPr="00E07AE6" w14:paraId="37A09FC4" w14:textId="77777777" w:rsidTr="001355DE">
        <w:trPr>
          <w:trHeight w:val="323"/>
        </w:trPr>
        <w:tc>
          <w:tcPr>
            <w:tcW w:w="2623" w:type="dxa"/>
            <w:shd w:val="clear" w:color="auto" w:fill="auto"/>
            <w:noWrap/>
            <w:vAlign w:val="bottom"/>
            <w:hideMark/>
          </w:tcPr>
          <w:p w14:paraId="6A5B1D4F" w14:textId="77777777" w:rsidR="00FE5A9E" w:rsidRDefault="00FE5A9E" w:rsidP="00F00437">
            <w:pPr>
              <w:jc w:val="right"/>
              <w:rPr>
                <w:rFonts w:ascii="Arial" w:hAnsi="Arial" w:cs="Arial"/>
                <w:b/>
                <w:sz w:val="20"/>
                <w:szCs w:val="20"/>
              </w:rPr>
            </w:pPr>
          </w:p>
          <w:p w14:paraId="081A9E90" w14:textId="77777777" w:rsidR="00FE5A9E" w:rsidRDefault="00FE5A9E" w:rsidP="00F00437">
            <w:pPr>
              <w:jc w:val="right"/>
              <w:rPr>
                <w:rFonts w:ascii="Arial" w:hAnsi="Arial" w:cs="Arial"/>
                <w:b/>
                <w:sz w:val="20"/>
                <w:szCs w:val="20"/>
              </w:rPr>
            </w:pPr>
          </w:p>
          <w:p w14:paraId="4C17C8CB" w14:textId="4480466D" w:rsidR="00FE5A9E" w:rsidRPr="00E07AE6" w:rsidRDefault="00FE5A9E" w:rsidP="00F00437">
            <w:pPr>
              <w:jc w:val="right"/>
              <w:rPr>
                <w:rFonts w:ascii="Arial" w:hAnsi="Arial" w:cs="Arial"/>
                <w:b/>
                <w:sz w:val="20"/>
                <w:szCs w:val="20"/>
              </w:rPr>
            </w:pPr>
            <w:r w:rsidRPr="00E07AE6">
              <w:rPr>
                <w:rFonts w:ascii="Arial" w:hAnsi="Arial" w:cs="Arial"/>
                <w:b/>
                <w:sz w:val="20"/>
                <w:szCs w:val="20"/>
              </w:rPr>
              <w:t>Beginning NAB</w:t>
            </w:r>
          </w:p>
        </w:tc>
        <w:tc>
          <w:tcPr>
            <w:tcW w:w="1409" w:type="dxa"/>
          </w:tcPr>
          <w:p w14:paraId="087F9255" w14:textId="77777777" w:rsidR="00FE5A9E" w:rsidRPr="0051293D" w:rsidRDefault="00FE5A9E" w:rsidP="00F00437">
            <w:pPr>
              <w:rPr>
                <w:rFonts w:ascii="Arial" w:hAnsi="Arial" w:cs="Arial"/>
                <w:b/>
                <w:sz w:val="20"/>
                <w:szCs w:val="20"/>
              </w:rPr>
            </w:pPr>
          </w:p>
        </w:tc>
        <w:tc>
          <w:tcPr>
            <w:tcW w:w="1409" w:type="dxa"/>
            <w:shd w:val="clear" w:color="auto" w:fill="auto"/>
            <w:noWrap/>
            <w:vAlign w:val="bottom"/>
            <w:hideMark/>
          </w:tcPr>
          <w:p w14:paraId="477F032A" w14:textId="6291A54E" w:rsidR="00FE5A9E" w:rsidRPr="0051293D" w:rsidRDefault="00FE5A9E" w:rsidP="00F00437">
            <w:pPr>
              <w:rPr>
                <w:rFonts w:ascii="Arial" w:hAnsi="Arial" w:cs="Arial"/>
                <w:b/>
                <w:sz w:val="20"/>
                <w:szCs w:val="20"/>
              </w:rPr>
            </w:pPr>
            <w:r w:rsidRPr="0051293D">
              <w:rPr>
                <w:rFonts w:ascii="Arial" w:hAnsi="Arial" w:cs="Arial"/>
                <w:b/>
                <w:sz w:val="20"/>
                <w:szCs w:val="20"/>
              </w:rPr>
              <w:t>Ending NAB</w:t>
            </w:r>
          </w:p>
        </w:tc>
        <w:tc>
          <w:tcPr>
            <w:tcW w:w="1389" w:type="dxa"/>
            <w:gridSpan w:val="3"/>
            <w:shd w:val="clear" w:color="auto" w:fill="auto"/>
            <w:noWrap/>
            <w:vAlign w:val="bottom"/>
            <w:hideMark/>
          </w:tcPr>
          <w:p w14:paraId="6EA93FEA" w14:textId="77777777" w:rsidR="00FE5A9E" w:rsidRPr="0051293D" w:rsidRDefault="00FE5A9E" w:rsidP="00F00437">
            <w:pPr>
              <w:rPr>
                <w:rFonts w:ascii="Arial" w:hAnsi="Arial" w:cs="Arial"/>
                <w:b/>
                <w:sz w:val="20"/>
                <w:szCs w:val="20"/>
              </w:rPr>
            </w:pPr>
            <w:r w:rsidRPr="0051293D">
              <w:rPr>
                <w:rFonts w:ascii="Arial" w:hAnsi="Arial" w:cs="Arial"/>
                <w:b/>
                <w:sz w:val="20"/>
                <w:szCs w:val="20"/>
              </w:rPr>
              <w:t>Net Revenue</w:t>
            </w:r>
          </w:p>
        </w:tc>
        <w:tc>
          <w:tcPr>
            <w:tcW w:w="1350" w:type="dxa"/>
            <w:gridSpan w:val="2"/>
            <w:tcBorders>
              <w:right w:val="single" w:sz="4" w:space="0" w:color="auto"/>
            </w:tcBorders>
            <w:shd w:val="clear" w:color="auto" w:fill="auto"/>
            <w:noWrap/>
            <w:vAlign w:val="bottom"/>
            <w:hideMark/>
          </w:tcPr>
          <w:p w14:paraId="6E05F628" w14:textId="77777777" w:rsidR="00FE5A9E" w:rsidRPr="0051293D" w:rsidRDefault="00FE5A9E" w:rsidP="00F00437">
            <w:pPr>
              <w:rPr>
                <w:rFonts w:ascii="Arial" w:hAnsi="Arial" w:cs="Arial"/>
                <w:b/>
                <w:sz w:val="20"/>
                <w:szCs w:val="20"/>
              </w:rPr>
            </w:pPr>
            <w:r w:rsidRPr="0051293D">
              <w:rPr>
                <w:rFonts w:ascii="Arial" w:hAnsi="Arial" w:cs="Arial"/>
                <w:b/>
                <w:sz w:val="20"/>
                <w:szCs w:val="20"/>
              </w:rPr>
              <w:t>Increase in NAB</w:t>
            </w:r>
          </w:p>
        </w:tc>
        <w:tc>
          <w:tcPr>
            <w:tcW w:w="1370" w:type="dxa"/>
            <w:gridSpan w:val="2"/>
            <w:tcBorders>
              <w:top w:val="nil"/>
              <w:left w:val="single" w:sz="4" w:space="0" w:color="auto"/>
              <w:bottom w:val="nil"/>
              <w:right w:val="nil"/>
            </w:tcBorders>
            <w:shd w:val="clear" w:color="auto" w:fill="auto"/>
            <w:noWrap/>
            <w:vAlign w:val="bottom"/>
            <w:hideMark/>
          </w:tcPr>
          <w:p w14:paraId="75C14A00" w14:textId="77777777" w:rsidR="00FE5A9E" w:rsidRPr="0051293D" w:rsidRDefault="00FE5A9E" w:rsidP="00F00437">
            <w:pPr>
              <w:rPr>
                <w:rFonts w:ascii="Arial" w:hAnsi="Arial" w:cs="Arial"/>
                <w:sz w:val="20"/>
                <w:szCs w:val="20"/>
              </w:rPr>
            </w:pPr>
          </w:p>
        </w:tc>
        <w:tc>
          <w:tcPr>
            <w:tcW w:w="1341" w:type="dxa"/>
            <w:tcBorders>
              <w:top w:val="nil"/>
              <w:left w:val="nil"/>
              <w:bottom w:val="nil"/>
              <w:right w:val="nil"/>
            </w:tcBorders>
            <w:shd w:val="clear" w:color="auto" w:fill="auto"/>
            <w:noWrap/>
            <w:vAlign w:val="bottom"/>
            <w:hideMark/>
          </w:tcPr>
          <w:p w14:paraId="1340CA61" w14:textId="77777777" w:rsidR="00FE5A9E" w:rsidRPr="00E07AE6" w:rsidRDefault="00FE5A9E" w:rsidP="00F00437">
            <w:pPr>
              <w:rPr>
                <w:rFonts w:ascii="Arial" w:hAnsi="Arial" w:cs="Arial"/>
                <w:sz w:val="20"/>
                <w:szCs w:val="20"/>
              </w:rPr>
            </w:pPr>
          </w:p>
        </w:tc>
      </w:tr>
      <w:tr w:rsidR="00FE5A9E" w:rsidRPr="00E07AE6" w14:paraId="2EB98A3C" w14:textId="77777777" w:rsidTr="001355DE">
        <w:trPr>
          <w:trHeight w:val="255"/>
        </w:trPr>
        <w:tc>
          <w:tcPr>
            <w:tcW w:w="2623" w:type="dxa"/>
            <w:shd w:val="clear" w:color="auto" w:fill="auto"/>
            <w:noWrap/>
            <w:vAlign w:val="bottom"/>
            <w:hideMark/>
          </w:tcPr>
          <w:p w14:paraId="281DE258" w14:textId="68442D25" w:rsidR="00FE5A9E" w:rsidRPr="00E07AE6" w:rsidRDefault="00FE5A9E" w:rsidP="00F00437">
            <w:pPr>
              <w:jc w:val="right"/>
              <w:rPr>
                <w:rFonts w:ascii="Arial" w:hAnsi="Arial" w:cs="Arial"/>
                <w:sz w:val="20"/>
                <w:szCs w:val="20"/>
              </w:rPr>
            </w:pPr>
            <w:r>
              <w:rPr>
                <w:rFonts w:ascii="Arial" w:hAnsi="Arial" w:cs="Arial"/>
                <w:sz w:val="20"/>
                <w:szCs w:val="20"/>
              </w:rPr>
              <w:t>$3,493,338</w:t>
            </w:r>
          </w:p>
        </w:tc>
        <w:tc>
          <w:tcPr>
            <w:tcW w:w="1409" w:type="dxa"/>
          </w:tcPr>
          <w:p w14:paraId="026D4C6D" w14:textId="77777777" w:rsidR="00FE5A9E" w:rsidRDefault="00FE5A9E" w:rsidP="00F00437">
            <w:pPr>
              <w:jc w:val="right"/>
              <w:rPr>
                <w:rFonts w:ascii="Arial" w:hAnsi="Arial" w:cs="Arial"/>
                <w:sz w:val="20"/>
                <w:szCs w:val="20"/>
              </w:rPr>
            </w:pPr>
          </w:p>
        </w:tc>
        <w:tc>
          <w:tcPr>
            <w:tcW w:w="1409" w:type="dxa"/>
            <w:shd w:val="clear" w:color="auto" w:fill="auto"/>
            <w:noWrap/>
            <w:vAlign w:val="bottom"/>
            <w:hideMark/>
          </w:tcPr>
          <w:p w14:paraId="1D811007" w14:textId="211D770F" w:rsidR="00FE5A9E" w:rsidRPr="0051293D" w:rsidRDefault="00FE5A9E" w:rsidP="00F00437">
            <w:pPr>
              <w:jc w:val="right"/>
              <w:rPr>
                <w:rFonts w:ascii="Arial" w:hAnsi="Arial" w:cs="Arial"/>
                <w:sz w:val="20"/>
                <w:szCs w:val="20"/>
              </w:rPr>
            </w:pPr>
            <w:r>
              <w:rPr>
                <w:rFonts w:ascii="Arial" w:hAnsi="Arial" w:cs="Arial"/>
                <w:sz w:val="20"/>
                <w:szCs w:val="20"/>
              </w:rPr>
              <w:t>$3,041,087</w:t>
            </w:r>
          </w:p>
        </w:tc>
        <w:tc>
          <w:tcPr>
            <w:tcW w:w="1389" w:type="dxa"/>
            <w:gridSpan w:val="3"/>
            <w:shd w:val="clear" w:color="auto" w:fill="auto"/>
            <w:noWrap/>
            <w:vAlign w:val="bottom"/>
            <w:hideMark/>
          </w:tcPr>
          <w:p w14:paraId="7B50B003" w14:textId="6B9F5F41" w:rsidR="00FE5A9E" w:rsidRPr="0051293D" w:rsidRDefault="00FE5A9E" w:rsidP="00DA3FCA">
            <w:pPr>
              <w:jc w:val="right"/>
              <w:rPr>
                <w:rFonts w:ascii="Arial" w:hAnsi="Arial" w:cs="Arial"/>
                <w:sz w:val="20"/>
                <w:szCs w:val="20"/>
              </w:rPr>
            </w:pPr>
            <w:r>
              <w:rPr>
                <w:rFonts w:ascii="Arial" w:hAnsi="Arial" w:cs="Arial"/>
                <w:sz w:val="20"/>
                <w:szCs w:val="20"/>
              </w:rPr>
              <w:t>-$452,252</w:t>
            </w:r>
          </w:p>
        </w:tc>
        <w:tc>
          <w:tcPr>
            <w:tcW w:w="1350" w:type="dxa"/>
            <w:gridSpan w:val="2"/>
            <w:tcBorders>
              <w:right w:val="single" w:sz="4" w:space="0" w:color="auto"/>
            </w:tcBorders>
            <w:shd w:val="clear" w:color="auto" w:fill="auto"/>
            <w:noWrap/>
            <w:vAlign w:val="bottom"/>
            <w:hideMark/>
          </w:tcPr>
          <w:p w14:paraId="617D4A44" w14:textId="5C304A7E" w:rsidR="00FE5A9E" w:rsidRPr="0051293D" w:rsidRDefault="00FE5A9E" w:rsidP="00F00437">
            <w:pPr>
              <w:jc w:val="right"/>
              <w:rPr>
                <w:rFonts w:ascii="Arial" w:hAnsi="Arial" w:cs="Arial"/>
                <w:sz w:val="20"/>
                <w:szCs w:val="20"/>
              </w:rPr>
            </w:pPr>
            <w:r>
              <w:rPr>
                <w:rFonts w:ascii="Arial" w:hAnsi="Arial" w:cs="Arial"/>
                <w:sz w:val="20"/>
                <w:szCs w:val="20"/>
              </w:rPr>
              <w:t>-12.9%</w:t>
            </w:r>
          </w:p>
        </w:tc>
        <w:tc>
          <w:tcPr>
            <w:tcW w:w="1370" w:type="dxa"/>
            <w:gridSpan w:val="2"/>
            <w:tcBorders>
              <w:top w:val="nil"/>
              <w:left w:val="single" w:sz="4" w:space="0" w:color="auto"/>
              <w:bottom w:val="nil"/>
              <w:right w:val="nil"/>
            </w:tcBorders>
            <w:shd w:val="clear" w:color="auto" w:fill="auto"/>
            <w:noWrap/>
            <w:vAlign w:val="bottom"/>
            <w:hideMark/>
          </w:tcPr>
          <w:p w14:paraId="1E96F131" w14:textId="77777777" w:rsidR="00FE5A9E" w:rsidRPr="0051293D" w:rsidRDefault="00FE5A9E" w:rsidP="00F00437">
            <w:pPr>
              <w:rPr>
                <w:rFonts w:ascii="Arial" w:hAnsi="Arial" w:cs="Arial"/>
                <w:sz w:val="20"/>
                <w:szCs w:val="20"/>
              </w:rPr>
            </w:pPr>
          </w:p>
        </w:tc>
        <w:tc>
          <w:tcPr>
            <w:tcW w:w="1341" w:type="dxa"/>
            <w:tcBorders>
              <w:top w:val="nil"/>
              <w:left w:val="nil"/>
              <w:bottom w:val="nil"/>
              <w:right w:val="nil"/>
            </w:tcBorders>
            <w:shd w:val="clear" w:color="auto" w:fill="auto"/>
            <w:noWrap/>
            <w:vAlign w:val="bottom"/>
            <w:hideMark/>
          </w:tcPr>
          <w:p w14:paraId="1FAF9A27" w14:textId="77777777" w:rsidR="00FE5A9E" w:rsidRPr="00E07AE6" w:rsidRDefault="00FE5A9E" w:rsidP="00F00437">
            <w:pPr>
              <w:rPr>
                <w:rFonts w:ascii="Arial" w:hAnsi="Arial" w:cs="Arial"/>
                <w:sz w:val="20"/>
                <w:szCs w:val="20"/>
              </w:rPr>
            </w:pPr>
          </w:p>
        </w:tc>
      </w:tr>
    </w:tbl>
    <w:p w14:paraId="6069532A" w14:textId="77777777" w:rsidR="00C34D30" w:rsidRPr="000E032B" w:rsidRDefault="00C34D30" w:rsidP="00066FDA">
      <w:pPr>
        <w:rPr>
          <w:rFonts w:asciiTheme="minorHAnsi" w:hAnsiTheme="minorHAnsi" w:cstheme="minorHAnsi"/>
        </w:rPr>
      </w:pPr>
    </w:p>
    <w:p w14:paraId="3AF945DF" w14:textId="462EF8E8" w:rsidR="00C4715C" w:rsidRDefault="00FC72B4" w:rsidP="00C4715C">
      <w:pPr>
        <w:rPr>
          <w:rFonts w:asciiTheme="minorHAnsi" w:hAnsiTheme="minorHAnsi" w:cstheme="minorHAnsi"/>
        </w:rPr>
      </w:pPr>
      <w:r>
        <w:rPr>
          <w:rFonts w:asciiTheme="minorHAnsi" w:hAnsiTheme="minorHAnsi" w:cstheme="minorHAnsi"/>
          <w:u w:val="single"/>
        </w:rPr>
        <w:t>Operating Budget:</w:t>
      </w:r>
      <w:r>
        <w:rPr>
          <w:rFonts w:asciiTheme="minorHAnsi" w:hAnsiTheme="minorHAnsi" w:cstheme="minorHAnsi"/>
        </w:rPr>
        <w:t xml:space="preserve"> </w:t>
      </w:r>
      <w:r w:rsidR="00C4715C" w:rsidRPr="000E032B">
        <w:rPr>
          <w:rFonts w:asciiTheme="minorHAnsi" w:hAnsiTheme="minorHAnsi" w:cstheme="minorHAnsi"/>
        </w:rPr>
        <w:t xml:space="preserve">As of </w:t>
      </w:r>
      <w:r w:rsidR="00FE5A9E">
        <w:rPr>
          <w:rFonts w:asciiTheme="minorHAnsi" w:hAnsiTheme="minorHAnsi" w:cstheme="minorHAnsi"/>
        </w:rPr>
        <w:t xml:space="preserve">January </w:t>
      </w:r>
      <w:r w:rsidR="00C4715C" w:rsidRPr="000E032B">
        <w:rPr>
          <w:rFonts w:asciiTheme="minorHAnsi" w:hAnsiTheme="minorHAnsi" w:cstheme="minorHAnsi"/>
        </w:rPr>
        <w:t>20</w:t>
      </w:r>
      <w:r w:rsidR="00FE5A9E">
        <w:rPr>
          <w:rFonts w:asciiTheme="minorHAnsi" w:hAnsiTheme="minorHAnsi" w:cstheme="minorHAnsi"/>
        </w:rPr>
        <w:t>20</w:t>
      </w:r>
      <w:r w:rsidR="00C4715C" w:rsidRPr="000E032B">
        <w:rPr>
          <w:rFonts w:asciiTheme="minorHAnsi" w:hAnsiTheme="minorHAnsi" w:cstheme="minorHAnsi"/>
        </w:rPr>
        <w:t>, PLA has an actual operating loss of $</w:t>
      </w:r>
      <w:r w:rsidR="00FE5A9E">
        <w:rPr>
          <w:rFonts w:asciiTheme="minorHAnsi" w:hAnsiTheme="minorHAnsi" w:cstheme="minorHAnsi"/>
        </w:rPr>
        <w:t>452,252</w:t>
      </w:r>
      <w:r w:rsidR="00C4715C" w:rsidRPr="000E032B">
        <w:rPr>
          <w:rFonts w:asciiTheme="minorHAnsi" w:hAnsiTheme="minorHAnsi" w:cstheme="minorHAnsi"/>
        </w:rPr>
        <w:t>, compared to a budgeted operating loss of $</w:t>
      </w:r>
      <w:r w:rsidR="00FE5A9E">
        <w:rPr>
          <w:rFonts w:asciiTheme="minorHAnsi" w:hAnsiTheme="minorHAnsi" w:cstheme="minorHAnsi"/>
        </w:rPr>
        <w:t>765,591</w:t>
      </w:r>
      <w:r w:rsidR="00C4715C" w:rsidRPr="000E032B">
        <w:rPr>
          <w:rFonts w:asciiTheme="minorHAnsi" w:hAnsiTheme="minorHAnsi" w:cstheme="minorHAnsi"/>
        </w:rPr>
        <w:t xml:space="preserve">. </w:t>
      </w:r>
      <w:r w:rsidR="00D72B4E">
        <w:rPr>
          <w:rFonts w:asciiTheme="minorHAnsi" w:hAnsiTheme="minorHAnsi" w:cstheme="minorHAnsi"/>
        </w:rPr>
        <w:t xml:space="preserve">PLA </w:t>
      </w:r>
      <w:r w:rsidR="001355DE">
        <w:rPr>
          <w:rFonts w:asciiTheme="minorHAnsi" w:hAnsiTheme="minorHAnsi" w:cstheme="minorHAnsi"/>
        </w:rPr>
        <w:t>had</w:t>
      </w:r>
      <w:r w:rsidR="00D72B4E">
        <w:rPr>
          <w:rFonts w:asciiTheme="minorHAnsi" w:hAnsiTheme="minorHAnsi" w:cstheme="minorHAnsi"/>
        </w:rPr>
        <w:t xml:space="preserve"> significant variances in both r</w:t>
      </w:r>
      <w:r w:rsidR="00BC4143">
        <w:rPr>
          <w:rFonts w:asciiTheme="minorHAnsi" w:hAnsiTheme="minorHAnsi" w:cstheme="minorHAnsi"/>
        </w:rPr>
        <w:t xml:space="preserve">evenue </w:t>
      </w:r>
      <w:r w:rsidR="00D72B4E">
        <w:rPr>
          <w:rFonts w:asciiTheme="minorHAnsi" w:hAnsiTheme="minorHAnsi" w:cstheme="minorHAnsi"/>
        </w:rPr>
        <w:t>and expenses</w:t>
      </w:r>
      <w:r w:rsidR="001355DE" w:rsidRPr="001355DE">
        <w:rPr>
          <w:rFonts w:asciiTheme="minorHAnsi" w:hAnsiTheme="minorHAnsi" w:cstheme="minorHAnsi"/>
        </w:rPr>
        <w:t xml:space="preserve"> </w:t>
      </w:r>
      <w:r w:rsidR="001355DE">
        <w:rPr>
          <w:rFonts w:asciiTheme="minorHAnsi" w:hAnsiTheme="minorHAnsi" w:cstheme="minorHAnsi"/>
        </w:rPr>
        <w:t>during the first</w:t>
      </w:r>
      <w:r w:rsidR="001355DE" w:rsidRPr="00414458">
        <w:rPr>
          <w:rFonts w:asciiTheme="minorHAnsi" w:hAnsiTheme="minorHAnsi" w:cstheme="minorHAnsi"/>
        </w:rPr>
        <w:t xml:space="preserve"> </w:t>
      </w:r>
      <w:r w:rsidR="001355DE">
        <w:rPr>
          <w:rFonts w:asciiTheme="minorHAnsi" w:hAnsiTheme="minorHAnsi" w:cstheme="minorHAnsi"/>
        </w:rPr>
        <w:t>5</w:t>
      </w:r>
      <w:r w:rsidR="001355DE" w:rsidRPr="00414458">
        <w:rPr>
          <w:rFonts w:asciiTheme="minorHAnsi" w:hAnsiTheme="minorHAnsi" w:cstheme="minorHAnsi"/>
        </w:rPr>
        <w:t xml:space="preserve"> months of Fiscal Year 2020</w:t>
      </w:r>
      <w:r w:rsidR="00D72B4E">
        <w:rPr>
          <w:rFonts w:asciiTheme="minorHAnsi" w:hAnsiTheme="minorHAnsi" w:cstheme="minorHAnsi"/>
        </w:rPr>
        <w:t xml:space="preserve">, but the large </w:t>
      </w:r>
      <w:r w:rsidR="00C4715C" w:rsidRPr="000E032B">
        <w:rPr>
          <w:rFonts w:asciiTheme="minorHAnsi" w:hAnsiTheme="minorHAnsi" w:cstheme="minorHAnsi"/>
        </w:rPr>
        <w:t>(</w:t>
      </w:r>
      <w:r w:rsidR="00FE5A9E">
        <w:rPr>
          <w:rFonts w:asciiTheme="minorHAnsi" w:hAnsiTheme="minorHAnsi" w:cstheme="minorHAnsi"/>
        </w:rPr>
        <w:t>41</w:t>
      </w:r>
      <w:r w:rsidR="00C4715C" w:rsidRPr="000E032B">
        <w:rPr>
          <w:rFonts w:asciiTheme="minorHAnsi" w:hAnsiTheme="minorHAnsi" w:cstheme="minorHAnsi"/>
        </w:rPr>
        <w:t xml:space="preserve">%) </w:t>
      </w:r>
      <w:r w:rsidR="00C4715C" w:rsidRPr="00414458">
        <w:rPr>
          <w:rFonts w:asciiTheme="minorHAnsi" w:hAnsiTheme="minorHAnsi" w:cstheme="minorHAnsi"/>
        </w:rPr>
        <w:t xml:space="preserve">variance </w:t>
      </w:r>
      <w:r w:rsidR="00D72B4E">
        <w:rPr>
          <w:rFonts w:asciiTheme="minorHAnsi" w:hAnsiTheme="minorHAnsi" w:cstheme="minorHAnsi"/>
        </w:rPr>
        <w:t>is mostly</w:t>
      </w:r>
      <w:r w:rsidR="001355DE">
        <w:rPr>
          <w:rFonts w:asciiTheme="minorHAnsi" w:hAnsiTheme="minorHAnsi" w:cstheme="minorHAnsi"/>
        </w:rPr>
        <w:t xml:space="preserve"> expense-related,</w:t>
      </w:r>
      <w:r w:rsidR="00D72B4E">
        <w:rPr>
          <w:rFonts w:asciiTheme="minorHAnsi" w:hAnsiTheme="minorHAnsi" w:cstheme="minorHAnsi"/>
        </w:rPr>
        <w:t xml:space="preserve"> </w:t>
      </w:r>
      <w:r w:rsidR="001355DE">
        <w:rPr>
          <w:rFonts w:asciiTheme="minorHAnsi" w:hAnsiTheme="minorHAnsi" w:cstheme="minorHAnsi"/>
        </w:rPr>
        <w:t xml:space="preserve">because some expenses turned out </w:t>
      </w:r>
      <w:r w:rsidR="00BC4143" w:rsidRPr="00414458">
        <w:rPr>
          <w:rFonts w:asciiTheme="minorHAnsi" w:hAnsiTheme="minorHAnsi" w:cstheme="minorHAnsi"/>
        </w:rPr>
        <w:t>lower</w:t>
      </w:r>
      <w:r w:rsidR="001355DE">
        <w:rPr>
          <w:rFonts w:asciiTheme="minorHAnsi" w:hAnsiTheme="minorHAnsi" w:cstheme="minorHAnsi"/>
        </w:rPr>
        <w:t xml:space="preserve"> than anticipated and some conference-related expenses did not occur yet</w:t>
      </w:r>
      <w:r w:rsidR="00B77C41" w:rsidRPr="00414458">
        <w:rPr>
          <w:rFonts w:asciiTheme="minorHAnsi" w:hAnsiTheme="minorHAnsi" w:cstheme="minorHAnsi"/>
        </w:rPr>
        <w:t>.</w:t>
      </w:r>
      <w:r w:rsidR="00B77C41">
        <w:rPr>
          <w:rFonts w:asciiTheme="minorHAnsi" w:hAnsiTheme="minorHAnsi" w:cstheme="minorHAnsi"/>
        </w:rPr>
        <w:t xml:space="preserve"> </w:t>
      </w:r>
    </w:p>
    <w:p w14:paraId="6DED818C" w14:textId="77777777" w:rsidR="00AF3327" w:rsidRPr="000E032B" w:rsidRDefault="00AF3327" w:rsidP="00C4715C">
      <w:pPr>
        <w:rPr>
          <w:rFonts w:asciiTheme="minorHAnsi" w:hAnsiTheme="minorHAnsi" w:cstheme="minorHAnsi"/>
        </w:rPr>
      </w:pPr>
    </w:p>
    <w:p w14:paraId="648F5B87" w14:textId="4404DBC4" w:rsidR="00AF3327" w:rsidRDefault="00E30603" w:rsidP="0050778A">
      <w:pPr>
        <w:pStyle w:val="ListParagraph"/>
        <w:numPr>
          <w:ilvl w:val="0"/>
          <w:numId w:val="9"/>
        </w:numPr>
        <w:rPr>
          <w:rFonts w:asciiTheme="minorHAnsi" w:hAnsiTheme="minorHAnsi" w:cstheme="minorHAnsi"/>
        </w:rPr>
      </w:pPr>
      <w:r w:rsidRPr="006B49AC">
        <w:rPr>
          <w:rFonts w:asciiTheme="minorHAnsi" w:hAnsiTheme="minorHAnsi" w:cstheme="minorHAnsi"/>
        </w:rPr>
        <w:t xml:space="preserve">Operating Revenue: </w:t>
      </w:r>
      <w:r w:rsidR="00BC4143" w:rsidRPr="006B49AC">
        <w:rPr>
          <w:rFonts w:asciiTheme="minorHAnsi" w:hAnsiTheme="minorHAnsi" w:cstheme="minorHAnsi"/>
        </w:rPr>
        <w:t xml:space="preserve">At the close of </w:t>
      </w:r>
      <w:r w:rsidR="00D72B4E" w:rsidRPr="006B49AC">
        <w:rPr>
          <w:rFonts w:asciiTheme="minorHAnsi" w:hAnsiTheme="minorHAnsi" w:cstheme="minorHAnsi"/>
        </w:rPr>
        <w:t>January 2020</w:t>
      </w:r>
      <w:r w:rsidR="00BC4143" w:rsidRPr="006B49AC">
        <w:rPr>
          <w:rFonts w:asciiTheme="minorHAnsi" w:hAnsiTheme="minorHAnsi" w:cstheme="minorHAnsi"/>
        </w:rPr>
        <w:t>, PLA had budgeted for $</w:t>
      </w:r>
      <w:r w:rsidR="00D72B4E" w:rsidRPr="006B49AC">
        <w:rPr>
          <w:rFonts w:asciiTheme="minorHAnsi" w:hAnsiTheme="minorHAnsi" w:cstheme="minorHAnsi"/>
        </w:rPr>
        <w:t>516,330</w:t>
      </w:r>
      <w:r w:rsidR="00BC4143" w:rsidRPr="006B49AC">
        <w:rPr>
          <w:rFonts w:asciiTheme="minorHAnsi" w:hAnsiTheme="minorHAnsi" w:cstheme="minorHAnsi"/>
        </w:rPr>
        <w:t xml:space="preserve"> in revenue</w:t>
      </w:r>
      <w:r w:rsidR="00EF3161">
        <w:rPr>
          <w:rFonts w:asciiTheme="minorHAnsi" w:hAnsiTheme="minorHAnsi" w:cstheme="minorHAnsi"/>
        </w:rPr>
        <w:t xml:space="preserve"> but only saw $</w:t>
      </w:r>
      <w:r w:rsidR="00EF3161" w:rsidRPr="00EF3161">
        <w:rPr>
          <w:rFonts w:asciiTheme="minorHAnsi" w:hAnsiTheme="minorHAnsi" w:cstheme="minorHAnsi"/>
        </w:rPr>
        <w:t>414,290</w:t>
      </w:r>
      <w:r w:rsidR="001355DE">
        <w:rPr>
          <w:rFonts w:asciiTheme="minorHAnsi" w:hAnsiTheme="minorHAnsi" w:cstheme="minorHAnsi"/>
        </w:rPr>
        <w:t>. O</w:t>
      </w:r>
      <w:r w:rsidR="00D72B4E" w:rsidRPr="006B49AC">
        <w:rPr>
          <w:rFonts w:asciiTheme="minorHAnsi" w:hAnsiTheme="minorHAnsi" w:cstheme="minorHAnsi"/>
        </w:rPr>
        <w:t>ur variance has grown from about</w:t>
      </w:r>
      <w:r w:rsidR="00BC4143" w:rsidRPr="006B49AC">
        <w:rPr>
          <w:rFonts w:asciiTheme="minorHAnsi" w:hAnsiTheme="minorHAnsi" w:cstheme="minorHAnsi"/>
        </w:rPr>
        <w:t xml:space="preserve"> </w:t>
      </w:r>
      <w:r w:rsidR="00D72B4E" w:rsidRPr="006B49AC">
        <w:rPr>
          <w:rFonts w:asciiTheme="minorHAnsi" w:hAnsiTheme="minorHAnsi" w:cstheme="minorHAnsi"/>
        </w:rPr>
        <w:t>-</w:t>
      </w:r>
      <w:r w:rsidR="00BC4143" w:rsidRPr="006B49AC">
        <w:rPr>
          <w:rFonts w:asciiTheme="minorHAnsi" w:hAnsiTheme="minorHAnsi" w:cstheme="minorHAnsi"/>
        </w:rPr>
        <w:t>5%</w:t>
      </w:r>
      <w:r w:rsidR="00D72B4E" w:rsidRPr="006B49AC">
        <w:rPr>
          <w:rFonts w:asciiTheme="minorHAnsi" w:hAnsiTheme="minorHAnsi" w:cstheme="minorHAnsi"/>
        </w:rPr>
        <w:t xml:space="preserve"> (November 2019) to -20% (January 2020).</w:t>
      </w:r>
      <w:r w:rsidR="00BC4143" w:rsidRPr="006B49AC">
        <w:rPr>
          <w:rFonts w:asciiTheme="minorHAnsi" w:hAnsiTheme="minorHAnsi" w:cstheme="minorHAnsi"/>
        </w:rPr>
        <w:t xml:space="preserve"> </w:t>
      </w:r>
    </w:p>
    <w:p w14:paraId="70606A80" w14:textId="7DB1874D" w:rsidR="00AF3327" w:rsidRDefault="006B49AC" w:rsidP="00AF3327">
      <w:pPr>
        <w:pStyle w:val="ListParagraph"/>
        <w:numPr>
          <w:ilvl w:val="1"/>
          <w:numId w:val="9"/>
        </w:numPr>
        <w:rPr>
          <w:rFonts w:asciiTheme="minorHAnsi" w:hAnsiTheme="minorHAnsi" w:cstheme="minorHAnsi"/>
        </w:rPr>
      </w:pPr>
      <w:r>
        <w:rPr>
          <w:rFonts w:asciiTheme="minorHAnsi" w:hAnsiTheme="minorHAnsi" w:cstheme="minorHAnsi"/>
        </w:rPr>
        <w:t xml:space="preserve">In terms of </w:t>
      </w:r>
      <w:r>
        <w:rPr>
          <w:rFonts w:asciiTheme="minorHAnsi" w:hAnsiTheme="minorHAnsi" w:cstheme="minorHAnsi"/>
          <w:b/>
          <w:bCs/>
        </w:rPr>
        <w:t>budget</w:t>
      </w:r>
      <w:r w:rsidR="00EF3161">
        <w:rPr>
          <w:rFonts w:asciiTheme="minorHAnsi" w:hAnsiTheme="minorHAnsi" w:cstheme="minorHAnsi"/>
          <w:b/>
          <w:bCs/>
        </w:rPr>
        <w:t xml:space="preserve">ed revenue </w:t>
      </w:r>
      <w:r>
        <w:rPr>
          <w:rFonts w:asciiTheme="minorHAnsi" w:hAnsiTheme="minorHAnsi" w:cstheme="minorHAnsi"/>
          <w:b/>
          <w:bCs/>
        </w:rPr>
        <w:t xml:space="preserve">shortfalls, </w:t>
      </w:r>
      <w:r>
        <w:rPr>
          <w:rFonts w:asciiTheme="minorHAnsi" w:hAnsiTheme="minorHAnsi" w:cstheme="minorHAnsi"/>
        </w:rPr>
        <w:t>d</w:t>
      </w:r>
      <w:r w:rsidR="00BC4143" w:rsidRPr="006B49AC">
        <w:rPr>
          <w:rFonts w:asciiTheme="minorHAnsi" w:hAnsiTheme="minorHAnsi" w:cstheme="minorHAnsi"/>
        </w:rPr>
        <w:t xml:space="preserve">ues revenue </w:t>
      </w:r>
      <w:r w:rsidR="00FD3569">
        <w:rPr>
          <w:rFonts w:asciiTheme="minorHAnsi" w:hAnsiTheme="minorHAnsi" w:cstheme="minorHAnsi"/>
        </w:rPr>
        <w:t xml:space="preserve">is </w:t>
      </w:r>
      <w:r w:rsidR="00D72B4E" w:rsidRPr="006B49AC">
        <w:rPr>
          <w:rFonts w:asciiTheme="minorHAnsi" w:hAnsiTheme="minorHAnsi" w:cstheme="minorHAnsi"/>
        </w:rPr>
        <w:t>behind, with $252,563 collected against a budget of $340,000 (-26% variance)</w:t>
      </w:r>
      <w:r w:rsidR="00041EBC">
        <w:rPr>
          <w:rFonts w:asciiTheme="minorHAnsi" w:hAnsiTheme="minorHAnsi" w:cstheme="minorHAnsi"/>
        </w:rPr>
        <w:t xml:space="preserve">. This does not reflect a true shortfall. </w:t>
      </w:r>
      <w:r w:rsidR="00FD3569">
        <w:rPr>
          <w:rFonts w:asciiTheme="minorHAnsi" w:hAnsiTheme="minorHAnsi" w:cstheme="minorHAnsi"/>
        </w:rPr>
        <w:t>PLA inaccurately allocate</w:t>
      </w:r>
      <w:r w:rsidR="00C36A58">
        <w:rPr>
          <w:rFonts w:asciiTheme="minorHAnsi" w:hAnsiTheme="minorHAnsi" w:cstheme="minorHAnsi"/>
        </w:rPr>
        <w:t>d</w:t>
      </w:r>
      <w:r w:rsidR="00FD3569">
        <w:rPr>
          <w:rFonts w:asciiTheme="minorHAnsi" w:hAnsiTheme="minorHAnsi" w:cstheme="minorHAnsi"/>
        </w:rPr>
        <w:t xml:space="preserve"> the revenue, and dues income </w:t>
      </w:r>
      <w:r w:rsidR="00041EBC">
        <w:rPr>
          <w:rFonts w:asciiTheme="minorHAnsi" w:hAnsiTheme="minorHAnsi" w:cstheme="minorHAnsi"/>
        </w:rPr>
        <w:t>will</w:t>
      </w:r>
      <w:r w:rsidR="00FD3569">
        <w:rPr>
          <w:rFonts w:asciiTheme="minorHAnsi" w:hAnsiTheme="minorHAnsi" w:cstheme="minorHAnsi"/>
        </w:rPr>
        <w:t xml:space="preserve"> catch up to budget later in the spring</w:t>
      </w:r>
      <w:r w:rsidR="00BC4143" w:rsidRPr="006B49AC">
        <w:rPr>
          <w:rFonts w:asciiTheme="minorHAnsi" w:hAnsiTheme="minorHAnsi" w:cstheme="minorHAnsi"/>
        </w:rPr>
        <w:t xml:space="preserve">. </w:t>
      </w:r>
      <w:r w:rsidR="00D72B4E" w:rsidRPr="006B49AC">
        <w:rPr>
          <w:rFonts w:asciiTheme="minorHAnsi" w:hAnsiTheme="minorHAnsi" w:cstheme="minorHAnsi"/>
        </w:rPr>
        <w:t xml:space="preserve">Donations are also lagging significantly ($5,095 received against a budget amount of $22,000) because PLA has not undertaken the fundraising campaigns anticipated during budgeting. </w:t>
      </w:r>
      <w:r w:rsidR="0043074E" w:rsidRPr="006B49AC">
        <w:rPr>
          <w:rFonts w:asciiTheme="minorHAnsi" w:hAnsiTheme="minorHAnsi" w:cstheme="minorHAnsi"/>
        </w:rPr>
        <w:t xml:space="preserve">Revenue for fee-based CE/PD activity (regional trainings on equity, space planning, and outcomes, as well as paid webinars) </w:t>
      </w:r>
      <w:r>
        <w:rPr>
          <w:rFonts w:asciiTheme="minorHAnsi" w:hAnsiTheme="minorHAnsi" w:cstheme="minorHAnsi"/>
        </w:rPr>
        <w:t>are not far behind budget (</w:t>
      </w:r>
      <w:r w:rsidR="00041EBC">
        <w:rPr>
          <w:rFonts w:asciiTheme="minorHAnsi" w:hAnsiTheme="minorHAnsi" w:cstheme="minorHAnsi"/>
        </w:rPr>
        <w:t>19</w:t>
      </w:r>
      <w:r>
        <w:rPr>
          <w:rFonts w:asciiTheme="minorHAnsi" w:hAnsiTheme="minorHAnsi" w:cstheme="minorHAnsi"/>
        </w:rPr>
        <w:t xml:space="preserve">%, with </w:t>
      </w:r>
      <w:r w:rsidRPr="006B49AC">
        <w:rPr>
          <w:rFonts w:asciiTheme="minorHAnsi" w:hAnsiTheme="minorHAnsi" w:cstheme="minorHAnsi"/>
        </w:rPr>
        <w:t>$</w:t>
      </w:r>
      <w:r>
        <w:rPr>
          <w:rFonts w:asciiTheme="minorHAnsi" w:hAnsiTheme="minorHAnsi" w:cstheme="minorHAnsi"/>
        </w:rPr>
        <w:t>95,530</w:t>
      </w:r>
      <w:r w:rsidRPr="006B49AC">
        <w:rPr>
          <w:rFonts w:asciiTheme="minorHAnsi" w:hAnsiTheme="minorHAnsi" w:cstheme="minorHAnsi"/>
        </w:rPr>
        <w:t xml:space="preserve"> collected against $</w:t>
      </w:r>
      <w:r>
        <w:rPr>
          <w:rFonts w:asciiTheme="minorHAnsi" w:hAnsiTheme="minorHAnsi" w:cstheme="minorHAnsi"/>
        </w:rPr>
        <w:t>118,300</w:t>
      </w:r>
      <w:r w:rsidRPr="006B49AC">
        <w:rPr>
          <w:rFonts w:asciiTheme="minorHAnsi" w:hAnsiTheme="minorHAnsi" w:cstheme="minorHAnsi"/>
        </w:rPr>
        <w:t xml:space="preserve"> budgeted)</w:t>
      </w:r>
      <w:r>
        <w:rPr>
          <w:rFonts w:asciiTheme="minorHAnsi" w:hAnsiTheme="minorHAnsi" w:cstheme="minorHAnsi"/>
        </w:rPr>
        <w:t>. T</w:t>
      </w:r>
      <w:r w:rsidRPr="006B49AC">
        <w:rPr>
          <w:rFonts w:asciiTheme="minorHAnsi" w:hAnsiTheme="minorHAnsi" w:cstheme="minorHAnsi"/>
        </w:rPr>
        <w:t>h</w:t>
      </w:r>
      <w:r>
        <w:rPr>
          <w:rFonts w:asciiTheme="minorHAnsi" w:hAnsiTheme="minorHAnsi" w:cstheme="minorHAnsi"/>
        </w:rPr>
        <w:t xml:space="preserve">e </w:t>
      </w:r>
      <w:r w:rsidR="00EF3161">
        <w:rPr>
          <w:rFonts w:asciiTheme="minorHAnsi" w:hAnsiTheme="minorHAnsi" w:cstheme="minorHAnsi"/>
        </w:rPr>
        <w:t xml:space="preserve">current </w:t>
      </w:r>
      <w:r>
        <w:rPr>
          <w:rFonts w:asciiTheme="minorHAnsi" w:hAnsiTheme="minorHAnsi" w:cstheme="minorHAnsi"/>
        </w:rPr>
        <w:t>shortfall</w:t>
      </w:r>
      <w:r w:rsidRPr="006B49AC">
        <w:rPr>
          <w:rFonts w:asciiTheme="minorHAnsi" w:hAnsiTheme="minorHAnsi" w:cstheme="minorHAnsi"/>
        </w:rPr>
        <w:t xml:space="preserve"> </w:t>
      </w:r>
      <w:r w:rsidR="00EF3161">
        <w:rPr>
          <w:rFonts w:asciiTheme="minorHAnsi" w:hAnsiTheme="minorHAnsi" w:cstheme="minorHAnsi"/>
        </w:rPr>
        <w:t>is still</w:t>
      </w:r>
      <w:r w:rsidRPr="006B49AC">
        <w:rPr>
          <w:rFonts w:asciiTheme="minorHAnsi" w:hAnsiTheme="minorHAnsi" w:cstheme="minorHAnsi"/>
        </w:rPr>
        <w:t xml:space="preserve"> primarily due to timing</w:t>
      </w:r>
      <w:r w:rsidR="00AF3327">
        <w:rPr>
          <w:rFonts w:asciiTheme="minorHAnsi" w:hAnsiTheme="minorHAnsi" w:cstheme="minorHAnsi"/>
        </w:rPr>
        <w:t>,</w:t>
      </w:r>
      <w:r w:rsidRPr="006B49AC">
        <w:rPr>
          <w:rFonts w:asciiTheme="minorHAnsi" w:hAnsiTheme="minorHAnsi" w:cstheme="minorHAnsi"/>
        </w:rPr>
        <w:t xml:space="preserve"> as these events were scheduled later in 2020 than anticipated</w:t>
      </w:r>
      <w:r w:rsidR="00EF3161">
        <w:rPr>
          <w:rFonts w:asciiTheme="minorHAnsi" w:hAnsiTheme="minorHAnsi" w:cstheme="minorHAnsi"/>
        </w:rPr>
        <w:t>. However, whereas this fee-based CE/PD activity</w:t>
      </w:r>
      <w:r w:rsidR="00AF3327">
        <w:rPr>
          <w:rFonts w:asciiTheme="minorHAnsi" w:hAnsiTheme="minorHAnsi" w:cstheme="minorHAnsi"/>
        </w:rPr>
        <w:t xml:space="preserve"> </w:t>
      </w:r>
      <w:r w:rsidR="00EF3161">
        <w:rPr>
          <w:rFonts w:asciiTheme="minorHAnsi" w:hAnsiTheme="minorHAnsi" w:cstheme="minorHAnsi"/>
        </w:rPr>
        <w:t xml:space="preserve">seemed to be a bright spot earlier in the fiscal year, and </w:t>
      </w:r>
      <w:r w:rsidR="00AF3327">
        <w:rPr>
          <w:rFonts w:asciiTheme="minorHAnsi" w:hAnsiTheme="minorHAnsi" w:cstheme="minorHAnsi"/>
        </w:rPr>
        <w:t xml:space="preserve">PLA </w:t>
      </w:r>
      <w:r w:rsidR="00EF3161">
        <w:rPr>
          <w:rFonts w:asciiTheme="minorHAnsi" w:hAnsiTheme="minorHAnsi" w:cstheme="minorHAnsi"/>
        </w:rPr>
        <w:t xml:space="preserve">was </w:t>
      </w:r>
      <w:r w:rsidR="00AF3327">
        <w:rPr>
          <w:rFonts w:asciiTheme="minorHAnsi" w:hAnsiTheme="minorHAnsi" w:cstheme="minorHAnsi"/>
        </w:rPr>
        <w:t>anticipat</w:t>
      </w:r>
      <w:r w:rsidR="00EF3161">
        <w:rPr>
          <w:rFonts w:asciiTheme="minorHAnsi" w:hAnsiTheme="minorHAnsi" w:cstheme="minorHAnsi"/>
        </w:rPr>
        <w:t>ing</w:t>
      </w:r>
      <w:r w:rsidR="00AF3327">
        <w:rPr>
          <w:rFonts w:asciiTheme="minorHAnsi" w:hAnsiTheme="minorHAnsi" w:cstheme="minorHAnsi"/>
        </w:rPr>
        <w:t xml:space="preserve"> a strong finish to FY20</w:t>
      </w:r>
      <w:r w:rsidR="00EF3161">
        <w:rPr>
          <w:rFonts w:asciiTheme="minorHAnsi" w:hAnsiTheme="minorHAnsi" w:cstheme="minorHAnsi"/>
        </w:rPr>
        <w:t>, the</w:t>
      </w:r>
      <w:r w:rsidR="00EF3161" w:rsidRPr="006B49AC">
        <w:rPr>
          <w:rFonts w:asciiTheme="minorHAnsi" w:hAnsiTheme="minorHAnsi" w:cstheme="minorHAnsi"/>
        </w:rPr>
        <w:t xml:space="preserve"> postponements and cancellations </w:t>
      </w:r>
      <w:r w:rsidR="00EF3161">
        <w:rPr>
          <w:rFonts w:asciiTheme="minorHAnsi" w:hAnsiTheme="minorHAnsi" w:cstheme="minorHAnsi"/>
        </w:rPr>
        <w:t xml:space="preserve">of events </w:t>
      </w:r>
      <w:r w:rsidR="00EF3161" w:rsidRPr="006B49AC">
        <w:rPr>
          <w:rFonts w:asciiTheme="minorHAnsi" w:hAnsiTheme="minorHAnsi" w:cstheme="minorHAnsi"/>
        </w:rPr>
        <w:t>due to COVID-19</w:t>
      </w:r>
      <w:r w:rsidR="00EF3161">
        <w:rPr>
          <w:rFonts w:asciiTheme="minorHAnsi" w:hAnsiTheme="minorHAnsi" w:cstheme="minorHAnsi"/>
        </w:rPr>
        <w:t>,</w:t>
      </w:r>
      <w:r w:rsidR="00EF3161" w:rsidRPr="006B49AC">
        <w:rPr>
          <w:rFonts w:asciiTheme="minorHAnsi" w:hAnsiTheme="minorHAnsi" w:cstheme="minorHAnsi"/>
        </w:rPr>
        <w:t xml:space="preserve"> </w:t>
      </w:r>
      <w:r w:rsidR="00EF3161">
        <w:rPr>
          <w:rFonts w:asciiTheme="minorHAnsi" w:hAnsiTheme="minorHAnsi" w:cstheme="minorHAnsi"/>
        </w:rPr>
        <w:t xml:space="preserve">along with a </w:t>
      </w:r>
      <w:r w:rsidR="00AF3327">
        <w:rPr>
          <w:rFonts w:asciiTheme="minorHAnsi" w:hAnsiTheme="minorHAnsi" w:cstheme="minorHAnsi"/>
        </w:rPr>
        <w:t xml:space="preserve">significant reduction in Project Outcome regional trainings, </w:t>
      </w:r>
      <w:r w:rsidRPr="006B49AC">
        <w:rPr>
          <w:rFonts w:asciiTheme="minorHAnsi" w:hAnsiTheme="minorHAnsi" w:cstheme="minorHAnsi"/>
        </w:rPr>
        <w:t>suggests PLA will not meet budget on these activities.</w:t>
      </w:r>
    </w:p>
    <w:p w14:paraId="3D933046" w14:textId="53A65CF7" w:rsidR="00AF3327" w:rsidRDefault="006B49AC" w:rsidP="00AF3327">
      <w:pPr>
        <w:pStyle w:val="ListParagraph"/>
        <w:numPr>
          <w:ilvl w:val="1"/>
          <w:numId w:val="9"/>
        </w:numPr>
        <w:rPr>
          <w:rFonts w:asciiTheme="minorHAnsi" w:hAnsiTheme="minorHAnsi" w:cstheme="minorHAnsi"/>
        </w:rPr>
      </w:pPr>
      <w:r>
        <w:rPr>
          <w:rFonts w:asciiTheme="minorHAnsi" w:hAnsiTheme="minorHAnsi" w:cstheme="minorHAnsi"/>
        </w:rPr>
        <w:t xml:space="preserve">In terms of </w:t>
      </w:r>
      <w:r>
        <w:rPr>
          <w:rFonts w:asciiTheme="minorHAnsi" w:hAnsiTheme="minorHAnsi" w:cstheme="minorHAnsi"/>
          <w:b/>
          <w:bCs/>
        </w:rPr>
        <w:t xml:space="preserve">meeting budget, </w:t>
      </w:r>
      <w:r>
        <w:rPr>
          <w:rFonts w:asciiTheme="minorHAnsi" w:hAnsiTheme="minorHAnsi" w:cstheme="minorHAnsi"/>
        </w:rPr>
        <w:t>c</w:t>
      </w:r>
      <w:r w:rsidRPr="006B49AC">
        <w:rPr>
          <w:rFonts w:asciiTheme="minorHAnsi" w:hAnsiTheme="minorHAnsi" w:cstheme="minorHAnsi"/>
        </w:rPr>
        <w:t xml:space="preserve">ollectively </w:t>
      </w:r>
      <w:r w:rsidR="00EF3161">
        <w:rPr>
          <w:rFonts w:asciiTheme="minorHAnsi" w:hAnsiTheme="minorHAnsi" w:cstheme="minorHAnsi"/>
        </w:rPr>
        <w:t xml:space="preserve">PLA’s </w:t>
      </w:r>
      <w:r w:rsidRPr="006B49AC">
        <w:rPr>
          <w:rFonts w:asciiTheme="minorHAnsi" w:hAnsiTheme="minorHAnsi" w:cstheme="minorHAnsi"/>
        </w:rPr>
        <w:t xml:space="preserve">publications (which includes Public Libraries ad and subscription revenue, Every Child Read to Read, PLA’s </w:t>
      </w:r>
      <w:r w:rsidRPr="006B49AC">
        <w:rPr>
          <w:rFonts w:asciiTheme="minorHAnsi" w:hAnsiTheme="minorHAnsi" w:cstheme="minorHAnsi"/>
        </w:rPr>
        <w:lastRenderedPageBreak/>
        <w:t xml:space="preserve">early literacy calendar, and miscellaneous back catalog sales) are about even with budget. </w:t>
      </w:r>
    </w:p>
    <w:p w14:paraId="3282487F" w14:textId="1D9D0A64" w:rsidR="00D72B4E" w:rsidRPr="006B49AC" w:rsidRDefault="006B49AC" w:rsidP="00AF3327">
      <w:pPr>
        <w:pStyle w:val="ListParagraph"/>
        <w:numPr>
          <w:ilvl w:val="1"/>
          <w:numId w:val="9"/>
        </w:numPr>
        <w:rPr>
          <w:rFonts w:asciiTheme="minorHAnsi" w:hAnsiTheme="minorHAnsi" w:cstheme="minorHAnsi"/>
        </w:rPr>
      </w:pPr>
      <w:r>
        <w:rPr>
          <w:rFonts w:asciiTheme="minorHAnsi" w:hAnsiTheme="minorHAnsi" w:cstheme="minorHAnsi"/>
        </w:rPr>
        <w:t xml:space="preserve">In terms of </w:t>
      </w:r>
      <w:r>
        <w:rPr>
          <w:rFonts w:asciiTheme="minorHAnsi" w:hAnsiTheme="minorHAnsi" w:cstheme="minorHAnsi"/>
          <w:b/>
          <w:bCs/>
        </w:rPr>
        <w:t xml:space="preserve">exceeding revenue, </w:t>
      </w:r>
      <w:r>
        <w:rPr>
          <w:rFonts w:asciiTheme="minorHAnsi" w:hAnsiTheme="minorHAnsi" w:cstheme="minorHAnsi"/>
        </w:rPr>
        <w:t>t</w:t>
      </w:r>
      <w:r w:rsidR="0043074E" w:rsidRPr="006B49AC">
        <w:rPr>
          <w:rFonts w:asciiTheme="minorHAnsi" w:hAnsiTheme="minorHAnsi" w:cstheme="minorHAnsi"/>
        </w:rPr>
        <w:t xml:space="preserve">wo products will help. PLA’s new online Family Engagement product did not budget revenue, but the product evolved and launched successfully in January, and just over $17,000 in registrations will show up in February and March reports. PLA’s </w:t>
      </w:r>
      <w:proofErr w:type="spellStart"/>
      <w:r w:rsidR="0043074E" w:rsidRPr="006B49AC">
        <w:rPr>
          <w:rFonts w:asciiTheme="minorHAnsi" w:hAnsiTheme="minorHAnsi" w:cstheme="minorHAnsi"/>
        </w:rPr>
        <w:t>DigitalLearn</w:t>
      </w:r>
      <w:proofErr w:type="spellEnd"/>
      <w:r w:rsidR="0043074E" w:rsidRPr="006B49AC">
        <w:rPr>
          <w:rFonts w:asciiTheme="minorHAnsi" w:hAnsiTheme="minorHAnsi" w:cstheme="minorHAnsi"/>
        </w:rPr>
        <w:t xml:space="preserve"> also sold two library subsites and the $30,000 in revenue </w:t>
      </w:r>
      <w:r w:rsidR="00EF3161" w:rsidRPr="006B49AC">
        <w:rPr>
          <w:rFonts w:asciiTheme="minorHAnsi" w:hAnsiTheme="minorHAnsi" w:cstheme="minorHAnsi"/>
        </w:rPr>
        <w:t>has yet to show up in reports</w:t>
      </w:r>
      <w:r w:rsidR="00041EBC">
        <w:rPr>
          <w:rFonts w:asciiTheme="minorHAnsi" w:hAnsiTheme="minorHAnsi" w:cstheme="minorHAnsi"/>
        </w:rPr>
        <w:t>. Any additional subsite sales or other revenue will exceed budget</w:t>
      </w:r>
      <w:r w:rsidR="0043074E" w:rsidRPr="006B49AC">
        <w:rPr>
          <w:rFonts w:asciiTheme="minorHAnsi" w:hAnsiTheme="minorHAnsi" w:cstheme="minorHAnsi"/>
        </w:rPr>
        <w:t>.</w:t>
      </w:r>
      <w:r>
        <w:rPr>
          <w:rFonts w:asciiTheme="minorHAnsi" w:hAnsiTheme="minorHAnsi" w:cstheme="minorHAnsi"/>
        </w:rPr>
        <w:t xml:space="preserve"> Finally, </w:t>
      </w:r>
      <w:proofErr w:type="gramStart"/>
      <w:r>
        <w:rPr>
          <w:rFonts w:asciiTheme="minorHAnsi" w:hAnsiTheme="minorHAnsi" w:cstheme="minorHAnsi"/>
        </w:rPr>
        <w:t>t</w:t>
      </w:r>
      <w:r w:rsidRPr="00414458">
        <w:rPr>
          <w:rFonts w:asciiTheme="minorHAnsi" w:hAnsiTheme="minorHAnsi" w:cstheme="minorHAnsi"/>
        </w:rPr>
        <w:t>he majority of</w:t>
      </w:r>
      <w:proofErr w:type="gramEnd"/>
      <w:r w:rsidRPr="00414458">
        <w:rPr>
          <w:rFonts w:asciiTheme="minorHAnsi" w:hAnsiTheme="minorHAnsi" w:cstheme="minorHAnsi"/>
        </w:rPr>
        <w:t xml:space="preserve"> PLA revenues and expenses are derived from the PLA 2020 conference</w:t>
      </w:r>
      <w:r>
        <w:rPr>
          <w:rFonts w:asciiTheme="minorHAnsi" w:hAnsiTheme="minorHAnsi" w:cstheme="minorHAnsi"/>
        </w:rPr>
        <w:t xml:space="preserve">. </w:t>
      </w:r>
      <w:r w:rsidR="00AF3327">
        <w:rPr>
          <w:rFonts w:asciiTheme="minorHAnsi" w:hAnsiTheme="minorHAnsi" w:cstheme="minorHAnsi"/>
        </w:rPr>
        <w:t xml:space="preserve">In total across registrations, meal tickets, exhibit fees, and sponsorships, PLA has budgeted to receive $3,712,365 in </w:t>
      </w:r>
      <w:r w:rsidRPr="00414458">
        <w:rPr>
          <w:rFonts w:asciiTheme="minorHAnsi" w:hAnsiTheme="minorHAnsi" w:cstheme="minorHAnsi"/>
        </w:rPr>
        <w:t>revenue</w:t>
      </w:r>
      <w:r w:rsidR="00AF3327">
        <w:rPr>
          <w:rFonts w:asciiTheme="minorHAnsi" w:hAnsiTheme="minorHAnsi" w:cstheme="minorHAnsi"/>
        </w:rPr>
        <w:t xml:space="preserve">. While PLA will not see results until the </w:t>
      </w:r>
      <w:r w:rsidR="00C17C8E">
        <w:rPr>
          <w:rFonts w:asciiTheme="minorHAnsi" w:hAnsiTheme="minorHAnsi" w:cstheme="minorHAnsi"/>
        </w:rPr>
        <w:t xml:space="preserve">February </w:t>
      </w:r>
      <w:r w:rsidR="00AF3327">
        <w:rPr>
          <w:rFonts w:asciiTheme="minorHAnsi" w:hAnsiTheme="minorHAnsi" w:cstheme="minorHAnsi"/>
        </w:rPr>
        <w:t xml:space="preserve">2020 reports, preliminary indications suggest we will exceed </w:t>
      </w:r>
      <w:r w:rsidR="00041EBC">
        <w:rPr>
          <w:rFonts w:asciiTheme="minorHAnsi" w:hAnsiTheme="minorHAnsi" w:cstheme="minorHAnsi"/>
        </w:rPr>
        <w:t>budgeted</w:t>
      </w:r>
      <w:r w:rsidR="00AF3327">
        <w:rPr>
          <w:rFonts w:asciiTheme="minorHAnsi" w:hAnsiTheme="minorHAnsi" w:cstheme="minorHAnsi"/>
        </w:rPr>
        <w:t xml:space="preserve"> revenue due to high registrations and </w:t>
      </w:r>
      <w:r w:rsidR="00EF3161">
        <w:rPr>
          <w:rFonts w:asciiTheme="minorHAnsi" w:hAnsiTheme="minorHAnsi" w:cstheme="minorHAnsi"/>
        </w:rPr>
        <w:t>a large</w:t>
      </w:r>
      <w:r w:rsidR="00AF3327">
        <w:rPr>
          <w:rFonts w:asciiTheme="minorHAnsi" w:hAnsiTheme="minorHAnsi" w:cstheme="minorHAnsi"/>
        </w:rPr>
        <w:t xml:space="preserve"> exhibit</w:t>
      </w:r>
      <w:r w:rsidR="00EF3161">
        <w:rPr>
          <w:rFonts w:asciiTheme="minorHAnsi" w:hAnsiTheme="minorHAnsi" w:cstheme="minorHAnsi"/>
        </w:rPr>
        <w:t xml:space="preserve"> floor.</w:t>
      </w:r>
    </w:p>
    <w:p w14:paraId="630B2AF6" w14:textId="57EBCD3F" w:rsidR="00BC4143" w:rsidRPr="00AF3327" w:rsidRDefault="00BC4143" w:rsidP="00AF3327">
      <w:pPr>
        <w:rPr>
          <w:rFonts w:asciiTheme="minorHAnsi" w:hAnsiTheme="minorHAnsi" w:cstheme="minorHAnsi"/>
        </w:rPr>
      </w:pPr>
    </w:p>
    <w:p w14:paraId="7511E339" w14:textId="77777777" w:rsidR="00926CC8" w:rsidRDefault="005D5242" w:rsidP="00C7690F">
      <w:pPr>
        <w:pStyle w:val="ListParagraph"/>
        <w:numPr>
          <w:ilvl w:val="0"/>
          <w:numId w:val="5"/>
        </w:numPr>
        <w:rPr>
          <w:rFonts w:asciiTheme="minorHAnsi" w:hAnsiTheme="minorHAnsi" w:cstheme="minorHAnsi"/>
        </w:rPr>
      </w:pPr>
      <w:r w:rsidRPr="000E032B">
        <w:rPr>
          <w:rFonts w:asciiTheme="minorHAnsi" w:hAnsiTheme="minorHAnsi" w:cstheme="minorHAnsi"/>
        </w:rPr>
        <w:t xml:space="preserve">Operating Expenses: </w:t>
      </w:r>
      <w:r w:rsidR="00BC4143">
        <w:rPr>
          <w:rFonts w:asciiTheme="minorHAnsi" w:hAnsiTheme="minorHAnsi" w:cstheme="minorHAnsi"/>
        </w:rPr>
        <w:t xml:space="preserve">At the close of </w:t>
      </w:r>
      <w:r w:rsidR="00AF3327">
        <w:rPr>
          <w:rFonts w:asciiTheme="minorHAnsi" w:hAnsiTheme="minorHAnsi" w:cstheme="minorHAnsi"/>
        </w:rPr>
        <w:t>January 2020</w:t>
      </w:r>
      <w:r w:rsidR="00BC4143">
        <w:rPr>
          <w:rFonts w:asciiTheme="minorHAnsi" w:hAnsiTheme="minorHAnsi" w:cstheme="minorHAnsi"/>
        </w:rPr>
        <w:t>, PLA had budgeted to spend $</w:t>
      </w:r>
      <w:r w:rsidR="00AF3327" w:rsidRPr="00AF3327">
        <w:rPr>
          <w:rFonts w:asciiTheme="minorHAnsi" w:hAnsiTheme="minorHAnsi" w:cstheme="minorHAnsi"/>
        </w:rPr>
        <w:t xml:space="preserve">1,250,173 </w:t>
      </w:r>
      <w:r w:rsidR="002D0836">
        <w:rPr>
          <w:rFonts w:asciiTheme="minorHAnsi" w:hAnsiTheme="minorHAnsi" w:cstheme="minorHAnsi"/>
        </w:rPr>
        <w:t>and has spent $</w:t>
      </w:r>
      <w:r w:rsidR="00AF3327" w:rsidRPr="00AF3327">
        <w:rPr>
          <w:rFonts w:asciiTheme="minorHAnsi" w:hAnsiTheme="minorHAnsi" w:cstheme="minorHAnsi"/>
        </w:rPr>
        <w:t>845,120</w:t>
      </w:r>
      <w:r w:rsidR="002D0836">
        <w:rPr>
          <w:rFonts w:asciiTheme="minorHAnsi" w:hAnsiTheme="minorHAnsi" w:cstheme="minorHAnsi"/>
        </w:rPr>
        <w:t xml:space="preserve">, for a favorable variance of about </w:t>
      </w:r>
      <w:r w:rsidR="00AF3327">
        <w:rPr>
          <w:rFonts w:asciiTheme="minorHAnsi" w:hAnsiTheme="minorHAnsi" w:cstheme="minorHAnsi"/>
        </w:rPr>
        <w:t>32</w:t>
      </w:r>
      <w:r w:rsidR="002D0836">
        <w:rPr>
          <w:rFonts w:asciiTheme="minorHAnsi" w:hAnsiTheme="minorHAnsi" w:cstheme="minorHAnsi"/>
        </w:rPr>
        <w:t xml:space="preserve">%. </w:t>
      </w:r>
    </w:p>
    <w:p w14:paraId="604937D6" w14:textId="54962EAE" w:rsidR="00BC4143" w:rsidRDefault="000328E6" w:rsidP="00926CC8">
      <w:pPr>
        <w:pStyle w:val="ListParagraph"/>
        <w:numPr>
          <w:ilvl w:val="1"/>
          <w:numId w:val="5"/>
        </w:numPr>
        <w:rPr>
          <w:rFonts w:asciiTheme="minorHAnsi" w:hAnsiTheme="minorHAnsi" w:cstheme="minorHAnsi"/>
        </w:rPr>
      </w:pPr>
      <w:r>
        <w:rPr>
          <w:rFonts w:asciiTheme="minorHAnsi" w:hAnsiTheme="minorHAnsi" w:cstheme="minorHAnsi"/>
        </w:rPr>
        <w:t>The primary reason</w:t>
      </w:r>
      <w:r w:rsidR="00926CC8">
        <w:rPr>
          <w:rFonts w:asciiTheme="minorHAnsi" w:hAnsiTheme="minorHAnsi" w:cstheme="minorHAnsi"/>
        </w:rPr>
        <w:t xml:space="preserve"> for the favorable variance </w:t>
      </w:r>
      <w:proofErr w:type="gramStart"/>
      <w:r w:rsidR="00926CC8">
        <w:rPr>
          <w:rFonts w:asciiTheme="minorHAnsi" w:hAnsiTheme="minorHAnsi" w:cstheme="minorHAnsi"/>
        </w:rPr>
        <w:t>are</w:t>
      </w:r>
      <w:proofErr w:type="gramEnd"/>
      <w:r w:rsidR="00926CC8">
        <w:rPr>
          <w:rFonts w:asciiTheme="minorHAnsi" w:hAnsiTheme="minorHAnsi" w:cstheme="minorHAnsi"/>
        </w:rPr>
        <w:t xml:space="preserve"> </w:t>
      </w:r>
      <w:r w:rsidR="00926CC8">
        <w:rPr>
          <w:rFonts w:asciiTheme="minorHAnsi" w:hAnsiTheme="minorHAnsi" w:cstheme="minorHAnsi"/>
          <w:b/>
          <w:bCs/>
        </w:rPr>
        <w:t xml:space="preserve">conference </w:t>
      </w:r>
      <w:r w:rsidR="00926CC8" w:rsidRPr="00926CC8">
        <w:rPr>
          <w:rFonts w:asciiTheme="minorHAnsi" w:hAnsiTheme="minorHAnsi" w:cstheme="minorHAnsi"/>
          <w:b/>
          <w:bCs/>
        </w:rPr>
        <w:t>expenses</w:t>
      </w:r>
      <w:r w:rsidR="00926CC8">
        <w:rPr>
          <w:rFonts w:asciiTheme="minorHAnsi" w:hAnsiTheme="minorHAnsi" w:cstheme="minorHAnsi"/>
        </w:rPr>
        <w:t>. Many p</w:t>
      </w:r>
      <w:r w:rsidR="002D0836" w:rsidRPr="00926CC8">
        <w:rPr>
          <w:rFonts w:asciiTheme="minorHAnsi" w:hAnsiTheme="minorHAnsi" w:cstheme="minorHAnsi"/>
        </w:rPr>
        <w:t>ayments</w:t>
      </w:r>
      <w:r w:rsidR="002D0836">
        <w:rPr>
          <w:rFonts w:asciiTheme="minorHAnsi" w:hAnsiTheme="minorHAnsi" w:cstheme="minorHAnsi"/>
        </w:rPr>
        <w:t xml:space="preserve"> related to the PLA 2020 Conference (February 2020) were expected to occur by </w:t>
      </w:r>
      <w:r w:rsidR="00926CC8">
        <w:rPr>
          <w:rFonts w:asciiTheme="minorHAnsi" w:hAnsiTheme="minorHAnsi" w:cstheme="minorHAnsi"/>
        </w:rPr>
        <w:t>January 2020</w:t>
      </w:r>
      <w:r w:rsidR="002D0836">
        <w:rPr>
          <w:rFonts w:asciiTheme="minorHAnsi" w:hAnsiTheme="minorHAnsi" w:cstheme="minorHAnsi"/>
        </w:rPr>
        <w:t xml:space="preserve"> but </w:t>
      </w:r>
      <w:r w:rsidR="00926CC8">
        <w:rPr>
          <w:rFonts w:asciiTheme="minorHAnsi" w:hAnsiTheme="minorHAnsi" w:cstheme="minorHAnsi"/>
        </w:rPr>
        <w:t>did not get issued</w:t>
      </w:r>
      <w:r w:rsidR="002D0836">
        <w:rPr>
          <w:rFonts w:asciiTheme="minorHAnsi" w:hAnsiTheme="minorHAnsi" w:cstheme="minorHAnsi"/>
        </w:rPr>
        <w:t>.</w:t>
      </w:r>
      <w:r w:rsidR="00926CC8" w:rsidRPr="00926CC8">
        <w:t xml:space="preserve"> </w:t>
      </w:r>
      <w:r w:rsidR="00926CC8" w:rsidRPr="00926CC8">
        <w:rPr>
          <w:rFonts w:asciiTheme="minorHAnsi" w:hAnsiTheme="minorHAnsi" w:cstheme="minorHAnsi"/>
        </w:rPr>
        <w:t>For instance, no charges were yet recorded for general session speaker and entertainment fees, audiovisual rental, facilities rental, security, meal functions, and other large costs. For many of those expenses, PLA budgeted to spend a portion by January, due to prepayments</w:t>
      </w:r>
      <w:r w:rsidR="00926CC8">
        <w:rPr>
          <w:rFonts w:asciiTheme="minorHAnsi" w:hAnsiTheme="minorHAnsi" w:cstheme="minorHAnsi"/>
        </w:rPr>
        <w:t>, deposits and similar</w:t>
      </w:r>
      <w:r w:rsidR="00926CC8" w:rsidRPr="00926CC8">
        <w:rPr>
          <w:rFonts w:asciiTheme="minorHAnsi" w:hAnsiTheme="minorHAnsi" w:cstheme="minorHAnsi"/>
        </w:rPr>
        <w:t xml:space="preserve"> fees, which is why expenses as of January are under budget. </w:t>
      </w:r>
      <w:r w:rsidR="00926CC8">
        <w:rPr>
          <w:rFonts w:asciiTheme="minorHAnsi" w:hAnsiTheme="minorHAnsi" w:cstheme="minorHAnsi"/>
        </w:rPr>
        <w:t>However, o</w:t>
      </w:r>
      <w:r w:rsidR="00926CC8" w:rsidRPr="00926CC8">
        <w:rPr>
          <w:rFonts w:asciiTheme="minorHAnsi" w:hAnsiTheme="minorHAnsi" w:cstheme="minorHAnsi"/>
        </w:rPr>
        <w:t xml:space="preserve">verall, PLA should </w:t>
      </w:r>
      <w:r w:rsidR="00EF3161">
        <w:rPr>
          <w:rFonts w:asciiTheme="minorHAnsi" w:hAnsiTheme="minorHAnsi" w:cstheme="minorHAnsi"/>
        </w:rPr>
        <w:t>remain</w:t>
      </w:r>
      <w:r w:rsidR="00926CC8" w:rsidRPr="00926CC8">
        <w:rPr>
          <w:rFonts w:asciiTheme="minorHAnsi" w:hAnsiTheme="minorHAnsi" w:cstheme="minorHAnsi"/>
        </w:rPr>
        <w:t xml:space="preserve"> under budget for conference expenses</w:t>
      </w:r>
      <w:r w:rsidR="00926CC8">
        <w:rPr>
          <w:rFonts w:asciiTheme="minorHAnsi" w:hAnsiTheme="minorHAnsi" w:cstheme="minorHAnsi"/>
        </w:rPr>
        <w:t xml:space="preserve"> in FY20,</w:t>
      </w:r>
      <w:r w:rsidR="00926CC8" w:rsidRPr="00926CC8">
        <w:rPr>
          <w:rFonts w:asciiTheme="minorHAnsi" w:hAnsiTheme="minorHAnsi" w:cstheme="minorHAnsi"/>
        </w:rPr>
        <w:t xml:space="preserve"> since certain items such as shuttle buses were budgeted but did not occur</w:t>
      </w:r>
      <w:r w:rsidR="00926CC8">
        <w:rPr>
          <w:rFonts w:asciiTheme="minorHAnsi" w:hAnsiTheme="minorHAnsi" w:cstheme="minorHAnsi"/>
        </w:rPr>
        <w:t xml:space="preserve">, </w:t>
      </w:r>
      <w:r w:rsidR="00926CC8" w:rsidRPr="00926CC8">
        <w:rPr>
          <w:rFonts w:asciiTheme="minorHAnsi" w:hAnsiTheme="minorHAnsi" w:cstheme="minorHAnsi"/>
        </w:rPr>
        <w:t>and promotional expenses were much lower than budgeted (the planning and promotion budgets are showing an 83% positive variance, with only $37,922 spent against $221,543 budgeted).</w:t>
      </w:r>
    </w:p>
    <w:p w14:paraId="0BCEE6C7" w14:textId="17D2F728" w:rsidR="00926CC8" w:rsidRDefault="00926CC8" w:rsidP="00926CC8">
      <w:pPr>
        <w:pStyle w:val="ListParagraph"/>
        <w:numPr>
          <w:ilvl w:val="1"/>
          <w:numId w:val="5"/>
        </w:numPr>
        <w:rPr>
          <w:rFonts w:asciiTheme="minorHAnsi" w:hAnsiTheme="minorHAnsi" w:cstheme="minorHAnsi"/>
        </w:rPr>
      </w:pPr>
      <w:r>
        <w:rPr>
          <w:rFonts w:asciiTheme="minorHAnsi" w:hAnsiTheme="minorHAnsi" w:cstheme="minorHAnsi"/>
        </w:rPr>
        <w:t xml:space="preserve">In terms of </w:t>
      </w:r>
      <w:r>
        <w:rPr>
          <w:rFonts w:asciiTheme="minorHAnsi" w:hAnsiTheme="minorHAnsi" w:cstheme="minorHAnsi"/>
          <w:b/>
          <w:bCs/>
        </w:rPr>
        <w:t>administrative and project expenses</w:t>
      </w:r>
      <w:r>
        <w:rPr>
          <w:rFonts w:asciiTheme="minorHAnsi" w:hAnsiTheme="minorHAnsi" w:cstheme="minorHAnsi"/>
        </w:rPr>
        <w:t xml:space="preserve">, </w:t>
      </w:r>
      <w:r w:rsidR="000328E6">
        <w:rPr>
          <w:rFonts w:asciiTheme="minorHAnsi" w:hAnsiTheme="minorHAnsi" w:cstheme="minorHAnsi"/>
        </w:rPr>
        <w:t xml:space="preserve">many accounts have positive or negative variances, but few are significant, and none are projected to end FY20 radically different than budgeted. The exception is </w:t>
      </w:r>
      <w:proofErr w:type="spellStart"/>
      <w:r w:rsidR="000328E6">
        <w:rPr>
          <w:rFonts w:asciiTheme="minorHAnsi" w:hAnsiTheme="minorHAnsi" w:cstheme="minorHAnsi"/>
        </w:rPr>
        <w:t>DigitalLearn</w:t>
      </w:r>
      <w:proofErr w:type="spellEnd"/>
      <w:r w:rsidR="000328E6">
        <w:rPr>
          <w:rFonts w:asciiTheme="minorHAnsi" w:hAnsiTheme="minorHAnsi" w:cstheme="minorHAnsi"/>
        </w:rPr>
        <w:t xml:space="preserve">, which is projected to have a large unanticipated negative variance due to increased consulting costs for hosting and updating the site (as of January, PLA had spent $63,849 versus the $23,250 budgeted). </w:t>
      </w:r>
    </w:p>
    <w:p w14:paraId="3D6BD837" w14:textId="77777777" w:rsidR="00761259" w:rsidRPr="000E032B" w:rsidRDefault="00761259" w:rsidP="00761259">
      <w:pPr>
        <w:rPr>
          <w:rFonts w:asciiTheme="minorHAnsi" w:hAnsiTheme="minorHAnsi" w:cstheme="minorHAnsi"/>
          <w:u w:val="single"/>
        </w:rPr>
      </w:pPr>
    </w:p>
    <w:p w14:paraId="32D0548B" w14:textId="5A482D5F" w:rsidR="002D0836" w:rsidRDefault="00761259" w:rsidP="00F2597D">
      <w:pPr>
        <w:rPr>
          <w:rFonts w:asciiTheme="minorHAnsi" w:hAnsiTheme="minorHAnsi" w:cstheme="minorHAnsi"/>
        </w:rPr>
      </w:pPr>
      <w:r w:rsidRPr="000E032B">
        <w:rPr>
          <w:rFonts w:asciiTheme="minorHAnsi" w:hAnsiTheme="minorHAnsi" w:cstheme="minorHAnsi"/>
          <w:u w:val="single"/>
        </w:rPr>
        <w:t>Grant Budgets</w:t>
      </w:r>
      <w:r w:rsidR="00FC72B4">
        <w:rPr>
          <w:rFonts w:asciiTheme="minorHAnsi" w:hAnsiTheme="minorHAnsi" w:cstheme="minorHAnsi"/>
          <w:u w:val="single"/>
        </w:rPr>
        <w:t>:</w:t>
      </w:r>
      <w:r w:rsidR="00FC72B4">
        <w:rPr>
          <w:rFonts w:asciiTheme="minorHAnsi" w:hAnsiTheme="minorHAnsi" w:cstheme="minorHAnsi"/>
        </w:rPr>
        <w:t xml:space="preserve"> </w:t>
      </w:r>
      <w:r w:rsidRPr="000E032B">
        <w:rPr>
          <w:rFonts w:asciiTheme="minorHAnsi" w:hAnsiTheme="minorHAnsi" w:cstheme="minorHAnsi"/>
        </w:rPr>
        <w:t>By</w:t>
      </w:r>
      <w:r w:rsidR="00DB0302" w:rsidRPr="000E032B">
        <w:rPr>
          <w:rFonts w:asciiTheme="minorHAnsi" w:hAnsiTheme="minorHAnsi" w:cstheme="minorHAnsi"/>
        </w:rPr>
        <w:t xml:space="preserve"> the close of </w:t>
      </w:r>
      <w:r w:rsidR="000328E6">
        <w:rPr>
          <w:rFonts w:asciiTheme="minorHAnsi" w:hAnsiTheme="minorHAnsi" w:cstheme="minorHAnsi"/>
        </w:rPr>
        <w:t>January 2020</w:t>
      </w:r>
      <w:r w:rsidR="00346867" w:rsidRPr="000E032B">
        <w:rPr>
          <w:rFonts w:asciiTheme="minorHAnsi" w:hAnsiTheme="minorHAnsi" w:cstheme="minorHAnsi"/>
        </w:rPr>
        <w:t>,</w:t>
      </w:r>
      <w:r w:rsidR="00CA080C" w:rsidRPr="000E032B">
        <w:rPr>
          <w:rFonts w:asciiTheme="minorHAnsi" w:hAnsiTheme="minorHAnsi" w:cstheme="minorHAnsi"/>
        </w:rPr>
        <w:t xml:space="preserve"> PLA h</w:t>
      </w:r>
      <w:r w:rsidR="00DB0302" w:rsidRPr="000E032B">
        <w:rPr>
          <w:rFonts w:asciiTheme="minorHAnsi" w:hAnsiTheme="minorHAnsi" w:cstheme="minorHAnsi"/>
        </w:rPr>
        <w:t xml:space="preserve">ad </w:t>
      </w:r>
      <w:r w:rsidR="00CA080C" w:rsidRPr="000E032B">
        <w:rPr>
          <w:rFonts w:asciiTheme="minorHAnsi" w:hAnsiTheme="minorHAnsi" w:cstheme="minorHAnsi"/>
        </w:rPr>
        <w:t xml:space="preserve">spent </w:t>
      </w:r>
      <w:r w:rsidR="002D0836">
        <w:rPr>
          <w:rFonts w:asciiTheme="minorHAnsi" w:hAnsiTheme="minorHAnsi" w:cstheme="minorHAnsi"/>
        </w:rPr>
        <w:t>$</w:t>
      </w:r>
      <w:r w:rsidR="000328E6">
        <w:rPr>
          <w:rFonts w:asciiTheme="minorHAnsi" w:hAnsiTheme="minorHAnsi" w:cstheme="minorHAnsi"/>
        </w:rPr>
        <w:t>785,156</w:t>
      </w:r>
      <w:r w:rsidR="002D0836">
        <w:rPr>
          <w:rFonts w:asciiTheme="minorHAnsi" w:hAnsiTheme="minorHAnsi" w:cstheme="minorHAnsi"/>
        </w:rPr>
        <w:t xml:space="preserve"> in grant funds compared to a budgeted amount of $</w:t>
      </w:r>
      <w:r w:rsidR="000328E6">
        <w:rPr>
          <w:rFonts w:asciiTheme="minorHAnsi" w:hAnsiTheme="minorHAnsi" w:cstheme="minorHAnsi"/>
        </w:rPr>
        <w:t>890,869. Since the last report in November 2019, this positive variance increased from 6% to 12</w:t>
      </w:r>
      <w:r w:rsidR="002D0836">
        <w:rPr>
          <w:rFonts w:asciiTheme="minorHAnsi" w:hAnsiTheme="minorHAnsi" w:cstheme="minorHAnsi"/>
        </w:rPr>
        <w:t>%</w:t>
      </w:r>
      <w:r w:rsidR="00015918">
        <w:rPr>
          <w:rFonts w:asciiTheme="minorHAnsi" w:hAnsiTheme="minorHAnsi" w:cstheme="minorHAnsi"/>
        </w:rPr>
        <w:t>, suggesting slower or reduced grant spending</w:t>
      </w:r>
      <w:r w:rsidR="000328E6">
        <w:rPr>
          <w:rFonts w:asciiTheme="minorHAnsi" w:hAnsiTheme="minorHAnsi" w:cstheme="minorHAnsi"/>
        </w:rPr>
        <w:t xml:space="preserve">. PLA is experiencing reduced </w:t>
      </w:r>
      <w:r w:rsidR="006C40DE">
        <w:rPr>
          <w:rFonts w:asciiTheme="minorHAnsi" w:hAnsiTheme="minorHAnsi" w:cstheme="minorHAnsi"/>
        </w:rPr>
        <w:t xml:space="preserve">grant </w:t>
      </w:r>
      <w:r w:rsidR="000328E6">
        <w:rPr>
          <w:rFonts w:asciiTheme="minorHAnsi" w:hAnsiTheme="minorHAnsi" w:cstheme="minorHAnsi"/>
        </w:rPr>
        <w:t xml:space="preserve">expenses in </w:t>
      </w:r>
      <w:r w:rsidR="00015918">
        <w:rPr>
          <w:rFonts w:asciiTheme="minorHAnsi" w:hAnsiTheme="minorHAnsi" w:cstheme="minorHAnsi"/>
        </w:rPr>
        <w:t xml:space="preserve">professional services (under budget by about $34,000) and </w:t>
      </w:r>
      <w:r w:rsidR="000328E6">
        <w:rPr>
          <w:rFonts w:asciiTheme="minorHAnsi" w:hAnsiTheme="minorHAnsi" w:cstheme="minorHAnsi"/>
        </w:rPr>
        <w:t>travel and lodging (collectively under budget by about $43,000)</w:t>
      </w:r>
      <w:r w:rsidR="00015918">
        <w:rPr>
          <w:rFonts w:asciiTheme="minorHAnsi" w:hAnsiTheme="minorHAnsi" w:cstheme="minorHAnsi"/>
        </w:rPr>
        <w:t xml:space="preserve">. This is likely because grant projects moved slower than anticipated while PLA was focused on the PLA 2020 Conference, </w:t>
      </w:r>
      <w:r w:rsidR="00015918">
        <w:rPr>
          <w:rFonts w:asciiTheme="minorHAnsi" w:hAnsiTheme="minorHAnsi" w:cstheme="minorHAnsi"/>
        </w:rPr>
        <w:lastRenderedPageBreak/>
        <w:t xml:space="preserve">and fewer grant-funded staff </w:t>
      </w:r>
      <w:r w:rsidR="00EF3161">
        <w:rPr>
          <w:rFonts w:asciiTheme="minorHAnsi" w:hAnsiTheme="minorHAnsi" w:cstheme="minorHAnsi"/>
        </w:rPr>
        <w:t>required travel to participate</w:t>
      </w:r>
      <w:r w:rsidR="00015918">
        <w:rPr>
          <w:rFonts w:asciiTheme="minorHAnsi" w:hAnsiTheme="minorHAnsi" w:cstheme="minorHAnsi"/>
        </w:rPr>
        <w:t xml:space="preserve"> in the fall board meeting and ALA 2020 Midwinter Meeting.</w:t>
      </w:r>
    </w:p>
    <w:p w14:paraId="4A557BDF" w14:textId="7A759974" w:rsidR="00001D56" w:rsidRDefault="00001D56" w:rsidP="00F2597D">
      <w:pPr>
        <w:rPr>
          <w:rFonts w:asciiTheme="minorHAnsi" w:hAnsiTheme="minorHAnsi" w:cstheme="minorHAnsi"/>
        </w:rPr>
      </w:pPr>
    </w:p>
    <w:p w14:paraId="44835FB4" w14:textId="52B42EFB" w:rsidR="00015918" w:rsidRDefault="00015918" w:rsidP="00015918">
      <w:pPr>
        <w:rPr>
          <w:rFonts w:asciiTheme="minorHAnsi" w:hAnsiTheme="minorHAnsi"/>
        </w:rPr>
      </w:pPr>
      <w:r w:rsidRPr="000E032B">
        <w:rPr>
          <w:rFonts w:asciiTheme="minorHAnsi" w:hAnsiTheme="minorHAnsi" w:cstheme="minorHAnsi"/>
          <w:u w:val="single"/>
        </w:rPr>
        <w:t>PLA Long</w:t>
      </w:r>
      <w:r>
        <w:rPr>
          <w:rFonts w:asciiTheme="minorHAnsi" w:hAnsiTheme="minorHAnsi" w:cstheme="minorHAnsi"/>
          <w:u w:val="single"/>
        </w:rPr>
        <w:t>-</w:t>
      </w:r>
      <w:r w:rsidRPr="000E032B">
        <w:rPr>
          <w:rFonts w:asciiTheme="minorHAnsi" w:hAnsiTheme="minorHAnsi" w:cstheme="minorHAnsi"/>
          <w:u w:val="single"/>
        </w:rPr>
        <w:t>Term Investment</w:t>
      </w:r>
      <w:r>
        <w:rPr>
          <w:rFonts w:asciiTheme="minorHAnsi" w:hAnsiTheme="minorHAnsi" w:cstheme="minorHAnsi"/>
          <w:u w:val="single"/>
        </w:rPr>
        <w:t>:</w:t>
      </w:r>
      <w:r>
        <w:rPr>
          <w:rFonts w:asciiTheme="minorHAnsi" w:hAnsiTheme="minorHAnsi" w:cstheme="minorHAnsi"/>
        </w:rPr>
        <w:t xml:space="preserve"> </w:t>
      </w:r>
      <w:r w:rsidRPr="000E032B">
        <w:rPr>
          <w:rFonts w:asciiTheme="minorHAnsi" w:hAnsiTheme="minorHAnsi" w:cstheme="minorHAnsi"/>
        </w:rPr>
        <w:t xml:space="preserve">As of </w:t>
      </w:r>
      <w:r>
        <w:rPr>
          <w:rFonts w:asciiTheme="minorHAnsi" w:hAnsiTheme="minorHAnsi" w:cstheme="minorHAnsi"/>
        </w:rPr>
        <w:t>January 2020</w:t>
      </w:r>
      <w:r w:rsidRPr="000E032B">
        <w:rPr>
          <w:rFonts w:asciiTheme="minorHAnsi" w:hAnsiTheme="minorHAnsi" w:cstheme="minorHAnsi"/>
        </w:rPr>
        <w:t xml:space="preserve">, PLA’s </w:t>
      </w:r>
      <w:r>
        <w:rPr>
          <w:rFonts w:asciiTheme="minorHAnsi" w:hAnsiTheme="minorHAnsi" w:cstheme="minorHAnsi"/>
        </w:rPr>
        <w:t>long-term</w:t>
      </w:r>
      <w:r w:rsidRPr="000E032B">
        <w:rPr>
          <w:rFonts w:asciiTheme="minorHAnsi" w:hAnsiTheme="minorHAnsi" w:cstheme="minorHAnsi"/>
        </w:rPr>
        <w:t xml:space="preserve"> investment stood at $1,</w:t>
      </w:r>
      <w:r>
        <w:rPr>
          <w:rFonts w:asciiTheme="minorHAnsi" w:hAnsiTheme="minorHAnsi" w:cstheme="minorHAnsi"/>
        </w:rPr>
        <w:t>542,087</w:t>
      </w:r>
      <w:r w:rsidRPr="000E032B">
        <w:rPr>
          <w:rFonts w:asciiTheme="minorHAnsi" w:hAnsiTheme="minorHAnsi" w:cstheme="minorHAnsi"/>
        </w:rPr>
        <w:t xml:space="preserve"> compared to</w:t>
      </w:r>
      <w:r w:rsidR="00EF3161">
        <w:rPr>
          <w:rFonts w:asciiTheme="minorHAnsi" w:hAnsiTheme="minorHAnsi"/>
        </w:rPr>
        <w:t xml:space="preserve"> $1,455,604 </w:t>
      </w:r>
      <w:r w:rsidRPr="000E032B">
        <w:rPr>
          <w:rFonts w:asciiTheme="minorHAnsi" w:hAnsiTheme="minorHAnsi"/>
        </w:rPr>
        <w:t xml:space="preserve">at the same time last year.  </w:t>
      </w:r>
      <w:r>
        <w:rPr>
          <w:rFonts w:asciiTheme="minorHAnsi" w:hAnsiTheme="minorHAnsi"/>
        </w:rPr>
        <w:t xml:space="preserve">Interest was budgeted at $40,778 for FY20, and as of January 2020 revenue was ahead of budget by $7,562 or 45%. However, investments may suffer due to the COVID-19 crisis affecting the markets, so predictions are difficult as of this report. </w:t>
      </w:r>
    </w:p>
    <w:p w14:paraId="2DA33EDA" w14:textId="77777777" w:rsidR="00015918" w:rsidRPr="00015918" w:rsidRDefault="00015918" w:rsidP="00015918">
      <w:pPr>
        <w:rPr>
          <w:rFonts w:asciiTheme="minorHAnsi" w:hAnsiTheme="minorHAnsi" w:cstheme="minorHAnsi"/>
        </w:rPr>
      </w:pPr>
    </w:p>
    <w:p w14:paraId="6AAEEC9C" w14:textId="77777777" w:rsidR="00015918" w:rsidRPr="000E032B" w:rsidRDefault="00015918" w:rsidP="00015918">
      <w:pPr>
        <w:rPr>
          <w:rFonts w:asciiTheme="minorHAnsi" w:hAnsiTheme="minorHAnsi" w:cstheme="minorHAnsi"/>
          <w:u w:val="single"/>
        </w:rPr>
      </w:pPr>
      <w:r w:rsidRPr="000E032B">
        <w:rPr>
          <w:rFonts w:asciiTheme="minorHAnsi" w:hAnsiTheme="minorHAnsi" w:cstheme="minorHAnsi"/>
          <w:u w:val="single"/>
        </w:rPr>
        <w:t>Overhead</w:t>
      </w:r>
    </w:p>
    <w:p w14:paraId="53B81E72" w14:textId="3DAF12DC" w:rsidR="00015918" w:rsidRPr="00B561F1" w:rsidRDefault="00015918" w:rsidP="00015918">
      <w:pPr>
        <w:pStyle w:val="CommentText"/>
        <w:rPr>
          <w:rFonts w:asciiTheme="minorHAnsi" w:hAnsiTheme="minorHAnsi" w:cstheme="minorHAnsi"/>
        </w:rPr>
      </w:pPr>
      <w:r w:rsidRPr="000E032B">
        <w:rPr>
          <w:rFonts w:asciiTheme="minorHAnsi" w:hAnsiTheme="minorHAnsi" w:cstheme="minorHAnsi"/>
          <w:sz w:val="24"/>
          <w:szCs w:val="24"/>
        </w:rPr>
        <w:t xml:space="preserve">Total overhead to ALA for </w:t>
      </w:r>
      <w:r>
        <w:rPr>
          <w:rFonts w:asciiTheme="minorHAnsi" w:hAnsiTheme="minorHAnsi" w:cstheme="minorHAnsi"/>
          <w:sz w:val="24"/>
          <w:szCs w:val="24"/>
        </w:rPr>
        <w:t>FY20</w:t>
      </w:r>
      <w:r w:rsidRPr="000E032B">
        <w:rPr>
          <w:rFonts w:asciiTheme="minorHAnsi" w:hAnsiTheme="minorHAnsi" w:cstheme="minorHAnsi"/>
          <w:sz w:val="24"/>
          <w:szCs w:val="24"/>
        </w:rPr>
        <w:t xml:space="preserve"> was budgeted at </w:t>
      </w:r>
      <w:r>
        <w:rPr>
          <w:rFonts w:asciiTheme="minorHAnsi" w:hAnsiTheme="minorHAnsi" w:cstheme="minorHAnsi"/>
          <w:sz w:val="24"/>
          <w:szCs w:val="24"/>
        </w:rPr>
        <w:t>$997,610 ($941,889 from conference and operating accounts, and $55,722 from grants)</w:t>
      </w:r>
      <w:r w:rsidRPr="000E032B">
        <w:rPr>
          <w:rFonts w:asciiTheme="minorHAnsi" w:hAnsiTheme="minorHAnsi" w:cstheme="minorHAnsi"/>
          <w:sz w:val="24"/>
          <w:szCs w:val="24"/>
        </w:rPr>
        <w:t xml:space="preserve">. As of </w:t>
      </w:r>
      <w:r>
        <w:rPr>
          <w:rFonts w:asciiTheme="minorHAnsi" w:hAnsiTheme="minorHAnsi" w:cstheme="minorHAnsi"/>
          <w:sz w:val="24"/>
          <w:szCs w:val="24"/>
        </w:rPr>
        <w:t>January 2020,</w:t>
      </w:r>
      <w:r w:rsidRPr="000E032B">
        <w:rPr>
          <w:rFonts w:asciiTheme="minorHAnsi" w:hAnsiTheme="minorHAnsi" w:cstheme="minorHAnsi"/>
          <w:sz w:val="24"/>
          <w:szCs w:val="24"/>
        </w:rPr>
        <w:t xml:space="preserve"> PLA had paid ALA $</w:t>
      </w:r>
      <w:r>
        <w:rPr>
          <w:rFonts w:asciiTheme="minorHAnsi" w:hAnsiTheme="minorHAnsi" w:cstheme="minorHAnsi"/>
          <w:sz w:val="24"/>
          <w:szCs w:val="24"/>
        </w:rPr>
        <w:t>23,953 in overhead, against a budgeted amount of $70,808. About $</w:t>
      </w:r>
      <w:r w:rsidR="00C943B1">
        <w:rPr>
          <w:rFonts w:asciiTheme="minorHAnsi" w:hAnsiTheme="minorHAnsi" w:cstheme="minorHAnsi"/>
          <w:sz w:val="24"/>
          <w:szCs w:val="24"/>
        </w:rPr>
        <w:t xml:space="preserve">20,000 in overhead should have been processed from a grant </w:t>
      </w:r>
      <w:proofErr w:type="gramStart"/>
      <w:r w:rsidR="00C943B1">
        <w:rPr>
          <w:rFonts w:asciiTheme="minorHAnsi" w:hAnsiTheme="minorHAnsi" w:cstheme="minorHAnsi"/>
          <w:sz w:val="24"/>
          <w:szCs w:val="24"/>
        </w:rPr>
        <w:t>project</w:t>
      </w:r>
      <w:r w:rsidR="00EF3161">
        <w:rPr>
          <w:rFonts w:asciiTheme="minorHAnsi" w:hAnsiTheme="minorHAnsi" w:cstheme="minorHAnsi"/>
          <w:sz w:val="24"/>
          <w:szCs w:val="24"/>
        </w:rPr>
        <w:t>,</w:t>
      </w:r>
      <w:r w:rsidR="00C943B1">
        <w:rPr>
          <w:rFonts w:asciiTheme="minorHAnsi" w:hAnsiTheme="minorHAnsi" w:cstheme="minorHAnsi"/>
          <w:sz w:val="24"/>
          <w:szCs w:val="24"/>
        </w:rPr>
        <w:t xml:space="preserve"> but</w:t>
      </w:r>
      <w:proofErr w:type="gramEnd"/>
      <w:r w:rsidR="00C943B1">
        <w:rPr>
          <w:rFonts w:asciiTheme="minorHAnsi" w:hAnsiTheme="minorHAnsi" w:cstheme="minorHAnsi"/>
          <w:sz w:val="24"/>
          <w:szCs w:val="24"/>
        </w:rPr>
        <w:t xml:space="preserve"> is not showing up as of the January reports, so the true variance is about $27,000, which is due to slower grant spending and the lag in CE registrations. Once PLA Conference registrations and exhibit fees are realized, PLA should be </w:t>
      </w:r>
      <w:r w:rsidR="00EF3161">
        <w:rPr>
          <w:rFonts w:asciiTheme="minorHAnsi" w:hAnsiTheme="minorHAnsi" w:cstheme="minorHAnsi"/>
          <w:sz w:val="24"/>
          <w:szCs w:val="24"/>
        </w:rPr>
        <w:t>near or</w:t>
      </w:r>
      <w:r w:rsidR="00C943B1">
        <w:rPr>
          <w:rFonts w:asciiTheme="minorHAnsi" w:hAnsiTheme="minorHAnsi" w:cstheme="minorHAnsi"/>
          <w:sz w:val="24"/>
          <w:szCs w:val="24"/>
        </w:rPr>
        <w:t xml:space="preserve"> exceeding budgeted overhead.</w:t>
      </w:r>
    </w:p>
    <w:p w14:paraId="65B67459" w14:textId="3E89FF4C" w:rsidR="00C7690F" w:rsidRDefault="00C7690F" w:rsidP="00FC72B4">
      <w:pPr>
        <w:rPr>
          <w:rFonts w:asciiTheme="minorHAnsi" w:hAnsiTheme="minorHAnsi" w:cstheme="minorHAnsi"/>
        </w:rPr>
      </w:pPr>
    </w:p>
    <w:p w14:paraId="4F13CD31" w14:textId="77777777" w:rsidR="00C943B1" w:rsidRPr="00B561F1" w:rsidRDefault="00C943B1" w:rsidP="00FC72B4">
      <w:pPr>
        <w:rPr>
          <w:rFonts w:asciiTheme="minorHAnsi" w:hAnsiTheme="minorHAnsi" w:cstheme="minorHAnsi"/>
        </w:rPr>
      </w:pPr>
    </w:p>
    <w:sectPr w:rsidR="00C943B1" w:rsidRPr="00B561F1" w:rsidSect="008B0E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7FE52" w14:textId="77777777" w:rsidR="00940C83" w:rsidRDefault="00940C83" w:rsidP="00D77AFC">
      <w:r>
        <w:separator/>
      </w:r>
    </w:p>
  </w:endnote>
  <w:endnote w:type="continuationSeparator" w:id="0">
    <w:p w14:paraId="58CEA520" w14:textId="77777777" w:rsidR="00940C83" w:rsidRDefault="00940C83" w:rsidP="00D7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9EC25" w14:textId="77777777" w:rsidR="00940C83" w:rsidRDefault="00940C83" w:rsidP="00D77AFC">
      <w:r>
        <w:separator/>
      </w:r>
    </w:p>
  </w:footnote>
  <w:footnote w:type="continuationSeparator" w:id="0">
    <w:p w14:paraId="5D80AF97" w14:textId="77777777" w:rsidR="00940C83" w:rsidRDefault="00940C83" w:rsidP="00D7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DCC0F" w14:textId="7013D6BA" w:rsidR="00040694" w:rsidRPr="00040694" w:rsidRDefault="00040694" w:rsidP="00040694">
    <w:pPr>
      <w:pStyle w:val="Header"/>
      <w:jc w:val="right"/>
      <w:rPr>
        <w:rFonts w:asciiTheme="minorHAnsi" w:hAnsiTheme="minorHAnsi"/>
        <w:sz w:val="22"/>
        <w:szCs w:val="22"/>
      </w:rPr>
    </w:pPr>
    <w:r w:rsidRPr="00040694">
      <w:rPr>
        <w:rFonts w:asciiTheme="minorHAnsi" w:hAnsiTheme="minorHAnsi"/>
        <w:sz w:val="22"/>
        <w:szCs w:val="22"/>
      </w:rPr>
      <w:t>PLA Board of Directors</w:t>
    </w:r>
  </w:p>
  <w:p w14:paraId="442192D6" w14:textId="411BB211" w:rsidR="00040694" w:rsidRPr="00040694" w:rsidRDefault="00040694" w:rsidP="00040694">
    <w:pPr>
      <w:pStyle w:val="Header"/>
      <w:jc w:val="right"/>
      <w:rPr>
        <w:rFonts w:asciiTheme="minorHAnsi" w:hAnsiTheme="minorHAnsi"/>
        <w:sz w:val="22"/>
        <w:szCs w:val="22"/>
      </w:rPr>
    </w:pPr>
    <w:r w:rsidRPr="00040694">
      <w:rPr>
        <w:rFonts w:asciiTheme="minorHAnsi" w:hAnsiTheme="minorHAnsi"/>
        <w:sz w:val="22"/>
        <w:szCs w:val="22"/>
      </w:rPr>
      <w:t>Spring 2020 Board Meeting</w:t>
    </w:r>
  </w:p>
  <w:p w14:paraId="5E8B0ED0" w14:textId="2B1D431B" w:rsidR="00040694" w:rsidRPr="00040694" w:rsidRDefault="00040694" w:rsidP="00040694">
    <w:pPr>
      <w:pStyle w:val="Header"/>
      <w:jc w:val="right"/>
      <w:rPr>
        <w:rFonts w:asciiTheme="minorHAnsi" w:hAnsiTheme="minorHAnsi"/>
        <w:sz w:val="22"/>
        <w:szCs w:val="22"/>
      </w:rPr>
    </w:pPr>
    <w:r w:rsidRPr="00040694">
      <w:rPr>
        <w:rFonts w:asciiTheme="minorHAnsi" w:hAnsiTheme="minorHAnsi"/>
        <w:sz w:val="22"/>
        <w:szCs w:val="22"/>
      </w:rPr>
      <w:t>Document no.: 2020.</w:t>
    </w:r>
    <w:r w:rsidR="00443492">
      <w:rPr>
        <w:rFonts w:asciiTheme="minorHAnsi" w:hAnsiTheme="minorHAnsi"/>
        <w:sz w:val="22"/>
        <w:szCs w:val="22"/>
      </w:rPr>
      <w:t>57</w:t>
    </w:r>
  </w:p>
  <w:p w14:paraId="5F419768" w14:textId="77777777" w:rsidR="00040694" w:rsidRDefault="00040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360"/>
    <w:multiLevelType w:val="hybridMultilevel"/>
    <w:tmpl w:val="355213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D0E4828"/>
    <w:multiLevelType w:val="hybridMultilevel"/>
    <w:tmpl w:val="D50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60428"/>
    <w:multiLevelType w:val="hybridMultilevel"/>
    <w:tmpl w:val="932A2C60"/>
    <w:lvl w:ilvl="0" w:tplc="1F5EBB86">
      <w:start w:val="2019"/>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424D2"/>
    <w:multiLevelType w:val="hybridMultilevel"/>
    <w:tmpl w:val="0F8E2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E7107"/>
    <w:multiLevelType w:val="hybridMultilevel"/>
    <w:tmpl w:val="FE0CDD4C"/>
    <w:lvl w:ilvl="0" w:tplc="3DEC0B9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B10C5"/>
    <w:multiLevelType w:val="hybridMultilevel"/>
    <w:tmpl w:val="322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37D17"/>
    <w:multiLevelType w:val="hybridMultilevel"/>
    <w:tmpl w:val="7E6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544AC"/>
    <w:multiLevelType w:val="hybridMultilevel"/>
    <w:tmpl w:val="9EC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D15E4"/>
    <w:multiLevelType w:val="hybridMultilevel"/>
    <w:tmpl w:val="03C6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4A"/>
    <w:rsid w:val="00001D56"/>
    <w:rsid w:val="00015918"/>
    <w:rsid w:val="000328E6"/>
    <w:rsid w:val="0003768C"/>
    <w:rsid w:val="00040694"/>
    <w:rsid w:val="00041EBC"/>
    <w:rsid w:val="000448C0"/>
    <w:rsid w:val="00052BFE"/>
    <w:rsid w:val="00066FDA"/>
    <w:rsid w:val="000825E8"/>
    <w:rsid w:val="0008346F"/>
    <w:rsid w:val="00087570"/>
    <w:rsid w:val="0009611B"/>
    <w:rsid w:val="0009650A"/>
    <w:rsid w:val="000A512F"/>
    <w:rsid w:val="000C6E64"/>
    <w:rsid w:val="000D543F"/>
    <w:rsid w:val="000E032B"/>
    <w:rsid w:val="00114C41"/>
    <w:rsid w:val="00120674"/>
    <w:rsid w:val="001355DE"/>
    <w:rsid w:val="00156E6E"/>
    <w:rsid w:val="0016145B"/>
    <w:rsid w:val="00182C7D"/>
    <w:rsid w:val="001B335B"/>
    <w:rsid w:val="00216518"/>
    <w:rsid w:val="00217AF7"/>
    <w:rsid w:val="002474F3"/>
    <w:rsid w:val="002553AC"/>
    <w:rsid w:val="00256C4C"/>
    <w:rsid w:val="00265906"/>
    <w:rsid w:val="00277F2D"/>
    <w:rsid w:val="0028379B"/>
    <w:rsid w:val="00284A57"/>
    <w:rsid w:val="002A46AE"/>
    <w:rsid w:val="002B1B2B"/>
    <w:rsid w:val="002D0836"/>
    <w:rsid w:val="002D28C0"/>
    <w:rsid w:val="002D6B21"/>
    <w:rsid w:val="002E6F20"/>
    <w:rsid w:val="00302609"/>
    <w:rsid w:val="003053B6"/>
    <w:rsid w:val="00316C04"/>
    <w:rsid w:val="00346867"/>
    <w:rsid w:val="00356EBF"/>
    <w:rsid w:val="0039299D"/>
    <w:rsid w:val="003C3A1D"/>
    <w:rsid w:val="003E5C6C"/>
    <w:rsid w:val="00402835"/>
    <w:rsid w:val="00411519"/>
    <w:rsid w:val="00414458"/>
    <w:rsid w:val="00424D56"/>
    <w:rsid w:val="00425AF1"/>
    <w:rsid w:val="0043074E"/>
    <w:rsid w:val="00433AD9"/>
    <w:rsid w:val="00437426"/>
    <w:rsid w:val="00442B24"/>
    <w:rsid w:val="00443492"/>
    <w:rsid w:val="0047062B"/>
    <w:rsid w:val="004B18B2"/>
    <w:rsid w:val="004C3FBF"/>
    <w:rsid w:val="0051293D"/>
    <w:rsid w:val="005224FA"/>
    <w:rsid w:val="00534DAE"/>
    <w:rsid w:val="00537A47"/>
    <w:rsid w:val="00544DA3"/>
    <w:rsid w:val="00546CF8"/>
    <w:rsid w:val="0055215A"/>
    <w:rsid w:val="00556C65"/>
    <w:rsid w:val="00573F34"/>
    <w:rsid w:val="00582C53"/>
    <w:rsid w:val="00592D90"/>
    <w:rsid w:val="005957D8"/>
    <w:rsid w:val="005B6EDE"/>
    <w:rsid w:val="005B7149"/>
    <w:rsid w:val="005D5242"/>
    <w:rsid w:val="005E03CE"/>
    <w:rsid w:val="005F5657"/>
    <w:rsid w:val="00626D85"/>
    <w:rsid w:val="00645C46"/>
    <w:rsid w:val="006466F6"/>
    <w:rsid w:val="006A40F8"/>
    <w:rsid w:val="006B49AC"/>
    <w:rsid w:val="006C40DE"/>
    <w:rsid w:val="006D629D"/>
    <w:rsid w:val="006F0CD3"/>
    <w:rsid w:val="006F67A0"/>
    <w:rsid w:val="007076AA"/>
    <w:rsid w:val="0073345D"/>
    <w:rsid w:val="00733FD1"/>
    <w:rsid w:val="00761259"/>
    <w:rsid w:val="007912E3"/>
    <w:rsid w:val="007D1269"/>
    <w:rsid w:val="007F5DA8"/>
    <w:rsid w:val="008130BC"/>
    <w:rsid w:val="00834DB1"/>
    <w:rsid w:val="008374E4"/>
    <w:rsid w:val="0084566C"/>
    <w:rsid w:val="00854B66"/>
    <w:rsid w:val="00867426"/>
    <w:rsid w:val="008B0E11"/>
    <w:rsid w:val="008D1846"/>
    <w:rsid w:val="008F3B3E"/>
    <w:rsid w:val="009254D1"/>
    <w:rsid w:val="00926CC8"/>
    <w:rsid w:val="00927FF6"/>
    <w:rsid w:val="00940C83"/>
    <w:rsid w:val="009453E5"/>
    <w:rsid w:val="00952546"/>
    <w:rsid w:val="00974C47"/>
    <w:rsid w:val="009846CC"/>
    <w:rsid w:val="009C60E0"/>
    <w:rsid w:val="009E5024"/>
    <w:rsid w:val="009E67A2"/>
    <w:rsid w:val="009F1B79"/>
    <w:rsid w:val="009F6322"/>
    <w:rsid w:val="00A11259"/>
    <w:rsid w:val="00A16D21"/>
    <w:rsid w:val="00A35B5A"/>
    <w:rsid w:val="00A67305"/>
    <w:rsid w:val="00A85A67"/>
    <w:rsid w:val="00AA02AB"/>
    <w:rsid w:val="00AD7BB8"/>
    <w:rsid w:val="00AD7E18"/>
    <w:rsid w:val="00AE544A"/>
    <w:rsid w:val="00AF3327"/>
    <w:rsid w:val="00B1101F"/>
    <w:rsid w:val="00B15058"/>
    <w:rsid w:val="00B23696"/>
    <w:rsid w:val="00B33D93"/>
    <w:rsid w:val="00B53E86"/>
    <w:rsid w:val="00B561F1"/>
    <w:rsid w:val="00B6185A"/>
    <w:rsid w:val="00B65449"/>
    <w:rsid w:val="00B77C41"/>
    <w:rsid w:val="00B822CC"/>
    <w:rsid w:val="00B84F45"/>
    <w:rsid w:val="00BA041A"/>
    <w:rsid w:val="00BC1200"/>
    <w:rsid w:val="00BC4143"/>
    <w:rsid w:val="00BE0549"/>
    <w:rsid w:val="00C17C8E"/>
    <w:rsid w:val="00C255A8"/>
    <w:rsid w:val="00C27CE6"/>
    <w:rsid w:val="00C31BAC"/>
    <w:rsid w:val="00C34D30"/>
    <w:rsid w:val="00C34F2C"/>
    <w:rsid w:val="00C36A58"/>
    <w:rsid w:val="00C3733B"/>
    <w:rsid w:val="00C44958"/>
    <w:rsid w:val="00C44CA3"/>
    <w:rsid w:val="00C4715C"/>
    <w:rsid w:val="00C5176C"/>
    <w:rsid w:val="00C6486A"/>
    <w:rsid w:val="00C716D7"/>
    <w:rsid w:val="00C74202"/>
    <w:rsid w:val="00C7690F"/>
    <w:rsid w:val="00C77E2D"/>
    <w:rsid w:val="00C87549"/>
    <w:rsid w:val="00C943B1"/>
    <w:rsid w:val="00CA080C"/>
    <w:rsid w:val="00CB7EA8"/>
    <w:rsid w:val="00CE1AA7"/>
    <w:rsid w:val="00D0217D"/>
    <w:rsid w:val="00D11622"/>
    <w:rsid w:val="00D1600D"/>
    <w:rsid w:val="00D162C9"/>
    <w:rsid w:val="00D16397"/>
    <w:rsid w:val="00D3328E"/>
    <w:rsid w:val="00D34667"/>
    <w:rsid w:val="00D72B4E"/>
    <w:rsid w:val="00D77AFC"/>
    <w:rsid w:val="00D87AAC"/>
    <w:rsid w:val="00D93C96"/>
    <w:rsid w:val="00DA3FCA"/>
    <w:rsid w:val="00DB0302"/>
    <w:rsid w:val="00DD76DD"/>
    <w:rsid w:val="00DE04F6"/>
    <w:rsid w:val="00DE6F47"/>
    <w:rsid w:val="00E11993"/>
    <w:rsid w:val="00E30603"/>
    <w:rsid w:val="00E32773"/>
    <w:rsid w:val="00E37F41"/>
    <w:rsid w:val="00E40392"/>
    <w:rsid w:val="00E572AC"/>
    <w:rsid w:val="00E71946"/>
    <w:rsid w:val="00E769C9"/>
    <w:rsid w:val="00E805CC"/>
    <w:rsid w:val="00E83C72"/>
    <w:rsid w:val="00E95FF8"/>
    <w:rsid w:val="00EB2CF8"/>
    <w:rsid w:val="00EB31FE"/>
    <w:rsid w:val="00ED693C"/>
    <w:rsid w:val="00EE2579"/>
    <w:rsid w:val="00EF3161"/>
    <w:rsid w:val="00EF7E31"/>
    <w:rsid w:val="00F00437"/>
    <w:rsid w:val="00F12736"/>
    <w:rsid w:val="00F209CE"/>
    <w:rsid w:val="00F20B36"/>
    <w:rsid w:val="00F2597D"/>
    <w:rsid w:val="00F42F14"/>
    <w:rsid w:val="00F53D26"/>
    <w:rsid w:val="00F54582"/>
    <w:rsid w:val="00F832E5"/>
    <w:rsid w:val="00FA13C8"/>
    <w:rsid w:val="00FB7024"/>
    <w:rsid w:val="00FB7476"/>
    <w:rsid w:val="00FC72B4"/>
    <w:rsid w:val="00FD1E5C"/>
    <w:rsid w:val="00FD3569"/>
    <w:rsid w:val="00FE3E89"/>
    <w:rsid w:val="00FE5A9E"/>
    <w:rsid w:val="00FE7690"/>
    <w:rsid w:val="00FF34A4"/>
    <w:rsid w:val="00FF3821"/>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6AA8"/>
  <w15:docId w15:val="{670D9D3B-22C3-482F-93B1-F67AB9E7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2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12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77AFC"/>
    <w:pPr>
      <w:outlineLvl w:val="0"/>
    </w:pPr>
    <w:rPr>
      <w:rFonts w:ascii="Helvetica" w:eastAsia="Arial Unicode MS" w:hAnsi="Helvetica" w:cs="Times New Roman"/>
      <w:color w:val="000000"/>
      <w:szCs w:val="20"/>
      <w:u w:color="000000"/>
    </w:rPr>
  </w:style>
  <w:style w:type="paragraph" w:styleId="Header">
    <w:name w:val="header"/>
    <w:basedOn w:val="Normal"/>
    <w:link w:val="HeaderChar"/>
    <w:uiPriority w:val="99"/>
    <w:unhideWhenUsed/>
    <w:rsid w:val="00D77AFC"/>
    <w:pPr>
      <w:tabs>
        <w:tab w:val="center" w:pos="4680"/>
        <w:tab w:val="right" w:pos="9360"/>
      </w:tabs>
    </w:pPr>
  </w:style>
  <w:style w:type="character" w:customStyle="1" w:styleId="HeaderChar">
    <w:name w:val="Header Char"/>
    <w:basedOn w:val="DefaultParagraphFont"/>
    <w:link w:val="Header"/>
    <w:uiPriority w:val="99"/>
    <w:rsid w:val="00D77A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AFC"/>
    <w:pPr>
      <w:tabs>
        <w:tab w:val="center" w:pos="4680"/>
        <w:tab w:val="right" w:pos="9360"/>
      </w:tabs>
    </w:pPr>
  </w:style>
  <w:style w:type="character" w:customStyle="1" w:styleId="FooterChar">
    <w:name w:val="Footer Char"/>
    <w:basedOn w:val="DefaultParagraphFont"/>
    <w:link w:val="Footer"/>
    <w:uiPriority w:val="99"/>
    <w:rsid w:val="00D77AFC"/>
    <w:rPr>
      <w:rFonts w:ascii="Times New Roman" w:eastAsia="Times New Roman" w:hAnsi="Times New Roman" w:cs="Times New Roman"/>
      <w:sz w:val="24"/>
      <w:szCs w:val="24"/>
    </w:rPr>
  </w:style>
  <w:style w:type="paragraph" w:styleId="ListParagraph">
    <w:name w:val="List Paragraph"/>
    <w:basedOn w:val="Normal"/>
    <w:uiPriority w:val="34"/>
    <w:qFormat/>
    <w:rsid w:val="009F1B79"/>
    <w:pPr>
      <w:ind w:left="720"/>
      <w:contextualSpacing/>
    </w:pPr>
  </w:style>
  <w:style w:type="character" w:customStyle="1" w:styleId="Heading2Char">
    <w:name w:val="Heading 2 Char"/>
    <w:basedOn w:val="DefaultParagraphFont"/>
    <w:link w:val="Heading2"/>
    <w:uiPriority w:val="9"/>
    <w:rsid w:val="007D126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D126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B7476"/>
    <w:rPr>
      <w:sz w:val="16"/>
      <w:szCs w:val="16"/>
    </w:rPr>
  </w:style>
  <w:style w:type="paragraph" w:styleId="CommentText">
    <w:name w:val="annotation text"/>
    <w:basedOn w:val="Normal"/>
    <w:link w:val="CommentTextChar"/>
    <w:uiPriority w:val="99"/>
    <w:unhideWhenUsed/>
    <w:rsid w:val="00FB7476"/>
    <w:rPr>
      <w:sz w:val="20"/>
      <w:szCs w:val="20"/>
    </w:rPr>
  </w:style>
  <w:style w:type="character" w:customStyle="1" w:styleId="CommentTextChar">
    <w:name w:val="Comment Text Char"/>
    <w:basedOn w:val="DefaultParagraphFont"/>
    <w:link w:val="CommentText"/>
    <w:uiPriority w:val="99"/>
    <w:rsid w:val="00FB74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476"/>
    <w:rPr>
      <w:b/>
      <w:bCs/>
    </w:rPr>
  </w:style>
  <w:style w:type="character" w:customStyle="1" w:styleId="CommentSubjectChar">
    <w:name w:val="Comment Subject Char"/>
    <w:basedOn w:val="CommentTextChar"/>
    <w:link w:val="CommentSubject"/>
    <w:uiPriority w:val="99"/>
    <w:semiHidden/>
    <w:rsid w:val="00FB74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76"/>
    <w:rPr>
      <w:rFonts w:ascii="Segoe UI" w:eastAsia="Times New Roman" w:hAnsi="Segoe UI" w:cs="Segoe UI"/>
      <w:sz w:val="18"/>
      <w:szCs w:val="18"/>
    </w:rPr>
  </w:style>
  <w:style w:type="table" w:styleId="TableGrid">
    <w:name w:val="Table Grid"/>
    <w:basedOn w:val="TableNormal"/>
    <w:uiPriority w:val="59"/>
    <w:rsid w:val="00E3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9172">
      <w:bodyDiv w:val="1"/>
      <w:marLeft w:val="0"/>
      <w:marRight w:val="0"/>
      <w:marTop w:val="0"/>
      <w:marBottom w:val="0"/>
      <w:divBdr>
        <w:top w:val="none" w:sz="0" w:space="0" w:color="auto"/>
        <w:left w:val="none" w:sz="0" w:space="0" w:color="auto"/>
        <w:bottom w:val="none" w:sz="0" w:space="0" w:color="auto"/>
        <w:right w:val="none" w:sz="0" w:space="0" w:color="auto"/>
      </w:divBdr>
    </w:div>
    <w:div w:id="99880364">
      <w:bodyDiv w:val="1"/>
      <w:marLeft w:val="0"/>
      <w:marRight w:val="0"/>
      <w:marTop w:val="0"/>
      <w:marBottom w:val="0"/>
      <w:divBdr>
        <w:top w:val="none" w:sz="0" w:space="0" w:color="auto"/>
        <w:left w:val="none" w:sz="0" w:space="0" w:color="auto"/>
        <w:bottom w:val="none" w:sz="0" w:space="0" w:color="auto"/>
        <w:right w:val="none" w:sz="0" w:space="0" w:color="auto"/>
      </w:divBdr>
    </w:div>
    <w:div w:id="411466431">
      <w:bodyDiv w:val="1"/>
      <w:marLeft w:val="0"/>
      <w:marRight w:val="0"/>
      <w:marTop w:val="0"/>
      <w:marBottom w:val="0"/>
      <w:divBdr>
        <w:top w:val="none" w:sz="0" w:space="0" w:color="auto"/>
        <w:left w:val="none" w:sz="0" w:space="0" w:color="auto"/>
        <w:bottom w:val="none" w:sz="0" w:space="0" w:color="auto"/>
        <w:right w:val="none" w:sz="0" w:space="0" w:color="auto"/>
      </w:divBdr>
    </w:div>
    <w:div w:id="457719759">
      <w:bodyDiv w:val="1"/>
      <w:marLeft w:val="0"/>
      <w:marRight w:val="0"/>
      <w:marTop w:val="0"/>
      <w:marBottom w:val="0"/>
      <w:divBdr>
        <w:top w:val="none" w:sz="0" w:space="0" w:color="auto"/>
        <w:left w:val="none" w:sz="0" w:space="0" w:color="auto"/>
        <w:bottom w:val="none" w:sz="0" w:space="0" w:color="auto"/>
        <w:right w:val="none" w:sz="0" w:space="0" w:color="auto"/>
      </w:divBdr>
    </w:div>
    <w:div w:id="576136735">
      <w:bodyDiv w:val="1"/>
      <w:marLeft w:val="0"/>
      <w:marRight w:val="0"/>
      <w:marTop w:val="0"/>
      <w:marBottom w:val="0"/>
      <w:divBdr>
        <w:top w:val="none" w:sz="0" w:space="0" w:color="auto"/>
        <w:left w:val="none" w:sz="0" w:space="0" w:color="auto"/>
        <w:bottom w:val="none" w:sz="0" w:space="0" w:color="auto"/>
        <w:right w:val="none" w:sz="0" w:space="0" w:color="auto"/>
      </w:divBdr>
    </w:div>
    <w:div w:id="997223651">
      <w:bodyDiv w:val="1"/>
      <w:marLeft w:val="0"/>
      <w:marRight w:val="0"/>
      <w:marTop w:val="0"/>
      <w:marBottom w:val="0"/>
      <w:divBdr>
        <w:top w:val="none" w:sz="0" w:space="0" w:color="auto"/>
        <w:left w:val="none" w:sz="0" w:space="0" w:color="auto"/>
        <w:bottom w:val="none" w:sz="0" w:space="0" w:color="auto"/>
        <w:right w:val="none" w:sz="0" w:space="0" w:color="auto"/>
      </w:divBdr>
    </w:div>
    <w:div w:id="1057558636">
      <w:bodyDiv w:val="1"/>
      <w:marLeft w:val="0"/>
      <w:marRight w:val="0"/>
      <w:marTop w:val="0"/>
      <w:marBottom w:val="0"/>
      <w:divBdr>
        <w:top w:val="none" w:sz="0" w:space="0" w:color="auto"/>
        <w:left w:val="none" w:sz="0" w:space="0" w:color="auto"/>
        <w:bottom w:val="none" w:sz="0" w:space="0" w:color="auto"/>
        <w:right w:val="none" w:sz="0" w:space="0" w:color="auto"/>
      </w:divBdr>
    </w:div>
    <w:div w:id="1429039141">
      <w:bodyDiv w:val="1"/>
      <w:marLeft w:val="0"/>
      <w:marRight w:val="0"/>
      <w:marTop w:val="0"/>
      <w:marBottom w:val="0"/>
      <w:divBdr>
        <w:top w:val="none" w:sz="0" w:space="0" w:color="auto"/>
        <w:left w:val="none" w:sz="0" w:space="0" w:color="auto"/>
        <w:bottom w:val="none" w:sz="0" w:space="0" w:color="auto"/>
        <w:right w:val="none" w:sz="0" w:space="0" w:color="auto"/>
      </w:divBdr>
    </w:div>
    <w:div w:id="1691374906">
      <w:bodyDiv w:val="1"/>
      <w:marLeft w:val="0"/>
      <w:marRight w:val="0"/>
      <w:marTop w:val="0"/>
      <w:marBottom w:val="0"/>
      <w:divBdr>
        <w:top w:val="none" w:sz="0" w:space="0" w:color="auto"/>
        <w:left w:val="none" w:sz="0" w:space="0" w:color="auto"/>
        <w:bottom w:val="none" w:sz="0" w:space="0" w:color="auto"/>
        <w:right w:val="none" w:sz="0" w:space="0" w:color="auto"/>
      </w:divBdr>
    </w:div>
    <w:div w:id="1940018539">
      <w:bodyDiv w:val="1"/>
      <w:marLeft w:val="0"/>
      <w:marRight w:val="0"/>
      <w:marTop w:val="0"/>
      <w:marBottom w:val="0"/>
      <w:divBdr>
        <w:top w:val="none" w:sz="0" w:space="0" w:color="auto"/>
        <w:left w:val="none" w:sz="0" w:space="0" w:color="auto"/>
        <w:bottom w:val="none" w:sz="0" w:space="0" w:color="auto"/>
        <w:right w:val="none" w:sz="0" w:space="0" w:color="auto"/>
      </w:divBdr>
    </w:div>
    <w:div w:id="1987707495">
      <w:bodyDiv w:val="1"/>
      <w:marLeft w:val="0"/>
      <w:marRight w:val="0"/>
      <w:marTop w:val="0"/>
      <w:marBottom w:val="0"/>
      <w:divBdr>
        <w:top w:val="none" w:sz="0" w:space="0" w:color="auto"/>
        <w:left w:val="none" w:sz="0" w:space="0" w:color="auto"/>
        <w:bottom w:val="none" w:sz="0" w:space="0" w:color="auto"/>
        <w:right w:val="none" w:sz="0" w:space="0" w:color="auto"/>
      </w:divBdr>
    </w:div>
    <w:div w:id="21292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Macikas</dc:creator>
  <cp:lastModifiedBy>Megan Stewart</cp:lastModifiedBy>
  <cp:revision>3</cp:revision>
  <cp:lastPrinted>2018-04-25T19:03:00Z</cp:lastPrinted>
  <dcterms:created xsi:type="dcterms:W3CDTF">2020-04-21T16:33:00Z</dcterms:created>
  <dcterms:modified xsi:type="dcterms:W3CDTF">2020-04-21T18:10:00Z</dcterms:modified>
</cp:coreProperties>
</file>