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65B6" w14:textId="36379E7A" w:rsidR="00074D3D" w:rsidRDefault="00D3328E" w:rsidP="00D34667">
      <w:pPr>
        <w:rPr>
          <w:rFonts w:asciiTheme="minorHAnsi" w:hAnsiTheme="minorHAnsi" w:cstheme="minorHAnsi"/>
          <w:b/>
        </w:rPr>
      </w:pPr>
      <w:r w:rsidRPr="00310C52">
        <w:rPr>
          <w:rFonts w:asciiTheme="minorHAnsi" w:hAnsiTheme="minorHAnsi" w:cstheme="minorHAnsi"/>
          <w:b/>
        </w:rPr>
        <w:t>Public Library Association</w:t>
      </w:r>
      <w:r w:rsidR="004B0A10">
        <w:rPr>
          <w:rFonts w:asciiTheme="minorHAnsi" w:hAnsiTheme="minorHAnsi" w:cstheme="minorHAnsi"/>
          <w:b/>
        </w:rPr>
        <w:t xml:space="preserve"> - </w:t>
      </w:r>
      <w:r w:rsidR="007C389B">
        <w:rPr>
          <w:rFonts w:asciiTheme="minorHAnsi" w:hAnsiTheme="minorHAnsi" w:cstheme="minorHAnsi"/>
          <w:b/>
        </w:rPr>
        <w:t xml:space="preserve">FY21 – </w:t>
      </w:r>
      <w:r w:rsidR="00405F74">
        <w:rPr>
          <w:rFonts w:asciiTheme="minorHAnsi" w:hAnsiTheme="minorHAnsi" w:cstheme="minorHAnsi"/>
          <w:b/>
        </w:rPr>
        <w:t>May</w:t>
      </w:r>
      <w:r w:rsidR="007C389B">
        <w:rPr>
          <w:rFonts w:asciiTheme="minorHAnsi" w:hAnsiTheme="minorHAnsi" w:cstheme="minorHAnsi"/>
          <w:b/>
        </w:rPr>
        <w:t xml:space="preserve"> 202</w:t>
      </w:r>
      <w:r w:rsidR="00313F72">
        <w:rPr>
          <w:rFonts w:asciiTheme="minorHAnsi" w:hAnsiTheme="minorHAnsi" w:cstheme="minorHAnsi"/>
          <w:b/>
        </w:rPr>
        <w:t>1</w:t>
      </w:r>
      <w:r w:rsidR="00074D3D">
        <w:rPr>
          <w:rFonts w:asciiTheme="minorHAnsi" w:hAnsiTheme="minorHAnsi" w:cstheme="minorHAnsi"/>
          <w:b/>
        </w:rPr>
        <w:t xml:space="preserve"> </w:t>
      </w:r>
      <w:r w:rsidR="006F132A">
        <w:rPr>
          <w:rFonts w:asciiTheme="minorHAnsi" w:hAnsiTheme="minorHAnsi" w:cstheme="minorHAnsi"/>
          <w:b/>
        </w:rPr>
        <w:t>Financial Narrative</w:t>
      </w:r>
      <w:r w:rsidR="00313F72">
        <w:rPr>
          <w:rFonts w:asciiTheme="minorHAnsi" w:hAnsiTheme="minorHAnsi" w:cstheme="minorHAnsi"/>
          <w:b/>
        </w:rPr>
        <w:t xml:space="preserve"> (</w:t>
      </w:r>
      <w:r w:rsidR="00405F74">
        <w:rPr>
          <w:rFonts w:asciiTheme="minorHAnsi" w:hAnsiTheme="minorHAnsi" w:cstheme="minorHAnsi"/>
          <w:b/>
        </w:rPr>
        <w:t>third quarter</w:t>
      </w:r>
      <w:r w:rsidR="0017455D">
        <w:rPr>
          <w:rFonts w:asciiTheme="minorHAnsi" w:hAnsiTheme="minorHAnsi" w:cstheme="minorHAnsi"/>
          <w:b/>
        </w:rPr>
        <w:t>/Q3</w:t>
      </w:r>
      <w:r w:rsidR="00313F72">
        <w:rPr>
          <w:rFonts w:asciiTheme="minorHAnsi" w:hAnsiTheme="minorHAnsi" w:cstheme="minorHAnsi"/>
          <w:b/>
        </w:rPr>
        <w:t>)</w:t>
      </w:r>
    </w:p>
    <w:p w14:paraId="5EEC9A9E" w14:textId="1FF121FC" w:rsidR="00074D3D" w:rsidRDefault="00074D3D" w:rsidP="00D34667">
      <w:pPr>
        <w:rPr>
          <w:rFonts w:asciiTheme="minorHAnsi" w:hAnsiTheme="minorHAnsi" w:cstheme="minorHAnsi"/>
          <w:b/>
        </w:rPr>
      </w:pPr>
    </w:p>
    <w:p w14:paraId="24B22834" w14:textId="7778DE39" w:rsidR="00074D3D" w:rsidRDefault="00074D3D" w:rsidP="00074D3D">
      <w:pPr>
        <w:rPr>
          <w:rFonts w:asciiTheme="minorHAnsi" w:hAnsiTheme="minorHAnsi" w:cstheme="minorHAnsi"/>
          <w:b/>
        </w:rPr>
      </w:pPr>
      <w:r w:rsidRPr="00310C52">
        <w:rPr>
          <w:rFonts w:asciiTheme="minorHAnsi" w:hAnsiTheme="minorHAnsi" w:cstheme="minorHAnsi"/>
          <w:b/>
        </w:rPr>
        <w:t>FY2</w:t>
      </w:r>
      <w:r w:rsidR="007C389B">
        <w:rPr>
          <w:rFonts w:asciiTheme="minorHAnsi" w:hAnsiTheme="minorHAnsi" w:cstheme="minorHAnsi"/>
          <w:b/>
        </w:rPr>
        <w:t>1</w:t>
      </w:r>
      <w:r w:rsidRPr="00310C52">
        <w:rPr>
          <w:rFonts w:asciiTheme="minorHAnsi" w:hAnsiTheme="minorHAnsi" w:cstheme="minorHAnsi"/>
          <w:b/>
        </w:rPr>
        <w:t xml:space="preserve"> Operating Budget as of </w:t>
      </w:r>
      <w:r w:rsidR="00405F74">
        <w:rPr>
          <w:rFonts w:asciiTheme="minorHAnsi" w:hAnsiTheme="minorHAnsi" w:cstheme="minorHAnsi"/>
          <w:b/>
        </w:rPr>
        <w:t>May</w:t>
      </w:r>
      <w:r w:rsidRPr="00310C52">
        <w:rPr>
          <w:rFonts w:asciiTheme="minorHAnsi" w:hAnsiTheme="minorHAnsi" w:cstheme="minorHAnsi"/>
          <w:b/>
        </w:rPr>
        <w:t xml:space="preserve"> </w:t>
      </w:r>
      <w:r w:rsidR="00313F72">
        <w:rPr>
          <w:rFonts w:asciiTheme="minorHAnsi" w:hAnsiTheme="minorHAnsi" w:cstheme="minorHAnsi"/>
          <w:b/>
        </w:rPr>
        <w:t>2021</w:t>
      </w:r>
    </w:p>
    <w:p w14:paraId="691AEC32" w14:textId="37B082D2" w:rsidR="00EE2579" w:rsidRDefault="00EE2579" w:rsidP="00066FDA">
      <w:pPr>
        <w:rPr>
          <w:rFonts w:asciiTheme="minorHAnsi" w:hAnsiTheme="minorHAnsi" w:cstheme="minorHAnsi"/>
          <w:u w:val="single"/>
        </w:rPr>
      </w:pPr>
    </w:p>
    <w:tbl>
      <w:tblPr>
        <w:tblW w:w="911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890"/>
        <w:gridCol w:w="1828"/>
        <w:gridCol w:w="1710"/>
      </w:tblGrid>
      <w:tr w:rsidR="00C44CBC" w:rsidRPr="00310C52" w14:paraId="6672BB77" w14:textId="77777777" w:rsidTr="00F105A0">
        <w:trPr>
          <w:trHeight w:val="255"/>
        </w:trPr>
        <w:tc>
          <w:tcPr>
            <w:tcW w:w="3684" w:type="dxa"/>
            <w:shd w:val="clear" w:color="auto" w:fill="auto"/>
            <w:noWrap/>
            <w:vAlign w:val="bottom"/>
            <w:hideMark/>
          </w:tcPr>
          <w:p w14:paraId="25FD6C38" w14:textId="49FD9920" w:rsidR="00C44CBC" w:rsidRDefault="00074D3D" w:rsidP="0007292D">
            <w:pPr>
              <w:jc w:val="right"/>
              <w:rPr>
                <w:rFonts w:ascii="Arial" w:hAnsi="Arial" w:cs="Arial"/>
                <w:b/>
                <w:sz w:val="20"/>
                <w:szCs w:val="20"/>
              </w:rPr>
            </w:pPr>
            <w:r>
              <w:rPr>
                <w:rFonts w:ascii="Arial" w:hAnsi="Arial" w:cs="Arial"/>
                <w:b/>
                <w:sz w:val="20"/>
                <w:szCs w:val="20"/>
              </w:rPr>
              <w:t>GENERAL FUND</w:t>
            </w:r>
            <w:r w:rsidR="00F105A0">
              <w:rPr>
                <w:rFonts w:ascii="Arial" w:hAnsi="Arial" w:cs="Arial"/>
                <w:b/>
                <w:sz w:val="20"/>
                <w:szCs w:val="20"/>
              </w:rPr>
              <w:t xml:space="preserve"> (12-401)</w:t>
            </w:r>
          </w:p>
          <w:p w14:paraId="18D810BD" w14:textId="3406EA38" w:rsidR="00074D3D" w:rsidRDefault="00074D3D" w:rsidP="00074D3D">
            <w:pPr>
              <w:jc w:val="right"/>
              <w:rPr>
                <w:rFonts w:ascii="Arial" w:hAnsi="Arial" w:cs="Arial"/>
                <w:b/>
                <w:i/>
                <w:iCs/>
                <w:sz w:val="20"/>
                <w:szCs w:val="20"/>
              </w:rPr>
            </w:pPr>
            <w:r>
              <w:rPr>
                <w:rFonts w:ascii="Arial" w:hAnsi="Arial" w:cs="Arial"/>
                <w:b/>
                <w:i/>
                <w:iCs/>
                <w:sz w:val="20"/>
                <w:szCs w:val="20"/>
              </w:rPr>
              <w:t>Including Conference</w:t>
            </w:r>
          </w:p>
          <w:p w14:paraId="08542BBB" w14:textId="77777777" w:rsidR="00074D3D" w:rsidRDefault="00074D3D" w:rsidP="00074D3D">
            <w:pPr>
              <w:jc w:val="right"/>
              <w:rPr>
                <w:rFonts w:ascii="Arial" w:hAnsi="Arial" w:cs="Arial"/>
                <w:b/>
                <w:i/>
                <w:iCs/>
                <w:sz w:val="20"/>
                <w:szCs w:val="20"/>
              </w:rPr>
            </w:pPr>
          </w:p>
          <w:p w14:paraId="0435F84F" w14:textId="18E80A19" w:rsidR="00074D3D" w:rsidRPr="00074D3D" w:rsidRDefault="00074D3D" w:rsidP="00074D3D">
            <w:pPr>
              <w:jc w:val="right"/>
              <w:rPr>
                <w:rFonts w:ascii="Arial" w:hAnsi="Arial" w:cs="Arial"/>
                <w:b/>
                <w:i/>
                <w:iCs/>
                <w:sz w:val="20"/>
                <w:szCs w:val="20"/>
              </w:rPr>
            </w:pPr>
          </w:p>
        </w:tc>
        <w:tc>
          <w:tcPr>
            <w:tcW w:w="1890" w:type="dxa"/>
            <w:shd w:val="clear" w:color="auto" w:fill="auto"/>
            <w:noWrap/>
            <w:hideMark/>
          </w:tcPr>
          <w:p w14:paraId="6E152B7B" w14:textId="0A41306C" w:rsidR="00C44CBC" w:rsidRPr="00310C52" w:rsidRDefault="00786A60" w:rsidP="00074D3D">
            <w:pPr>
              <w:jc w:val="right"/>
              <w:rPr>
                <w:rFonts w:ascii="Arial" w:hAnsi="Arial" w:cs="Arial"/>
                <w:b/>
                <w:sz w:val="20"/>
                <w:szCs w:val="20"/>
              </w:rPr>
            </w:pPr>
            <w:r>
              <w:rPr>
                <w:rFonts w:ascii="Arial" w:hAnsi="Arial" w:cs="Arial"/>
                <w:b/>
                <w:sz w:val="20"/>
                <w:szCs w:val="20"/>
              </w:rPr>
              <w:t>May</w:t>
            </w:r>
            <w:r w:rsidR="00313F72">
              <w:rPr>
                <w:rFonts w:ascii="Arial" w:hAnsi="Arial" w:cs="Arial"/>
                <w:b/>
                <w:sz w:val="20"/>
                <w:szCs w:val="20"/>
              </w:rPr>
              <w:t xml:space="preserve"> 2021</w:t>
            </w:r>
          </w:p>
          <w:p w14:paraId="2583ABD8" w14:textId="67D19384" w:rsidR="00C44CBC" w:rsidRPr="00310C52" w:rsidRDefault="00C44CBC" w:rsidP="00074D3D">
            <w:pPr>
              <w:jc w:val="right"/>
              <w:rPr>
                <w:rFonts w:ascii="Arial" w:hAnsi="Arial" w:cs="Arial"/>
                <w:b/>
                <w:sz w:val="20"/>
                <w:szCs w:val="20"/>
              </w:rPr>
            </w:pPr>
            <w:r w:rsidRPr="00310C52">
              <w:rPr>
                <w:rFonts w:ascii="Arial" w:hAnsi="Arial" w:cs="Arial"/>
                <w:b/>
                <w:sz w:val="20"/>
                <w:szCs w:val="20"/>
              </w:rPr>
              <w:t>YTD Budget</w:t>
            </w:r>
          </w:p>
        </w:tc>
        <w:tc>
          <w:tcPr>
            <w:tcW w:w="1828" w:type="dxa"/>
            <w:shd w:val="clear" w:color="auto" w:fill="auto"/>
            <w:noWrap/>
            <w:hideMark/>
          </w:tcPr>
          <w:p w14:paraId="3F5B1810" w14:textId="0125436B" w:rsidR="00C44CBC" w:rsidRPr="00310C52" w:rsidRDefault="00786A60" w:rsidP="00074D3D">
            <w:pPr>
              <w:jc w:val="right"/>
              <w:rPr>
                <w:rFonts w:ascii="Arial" w:hAnsi="Arial" w:cs="Arial"/>
                <w:b/>
                <w:sz w:val="20"/>
                <w:szCs w:val="20"/>
              </w:rPr>
            </w:pPr>
            <w:r>
              <w:rPr>
                <w:rFonts w:ascii="Arial" w:hAnsi="Arial" w:cs="Arial"/>
                <w:b/>
                <w:sz w:val="20"/>
                <w:szCs w:val="20"/>
              </w:rPr>
              <w:t>May</w:t>
            </w:r>
            <w:r w:rsidR="00313F72">
              <w:rPr>
                <w:rFonts w:ascii="Arial" w:hAnsi="Arial" w:cs="Arial"/>
                <w:b/>
                <w:sz w:val="20"/>
                <w:szCs w:val="20"/>
              </w:rPr>
              <w:t xml:space="preserve"> 2021</w:t>
            </w:r>
          </w:p>
          <w:p w14:paraId="47643956" w14:textId="4E5F76BD" w:rsidR="00C44CBC" w:rsidRPr="00310C52" w:rsidRDefault="00C44CBC" w:rsidP="00074D3D">
            <w:pPr>
              <w:jc w:val="right"/>
              <w:rPr>
                <w:rFonts w:ascii="Arial" w:hAnsi="Arial" w:cs="Arial"/>
                <w:b/>
                <w:sz w:val="20"/>
                <w:szCs w:val="20"/>
              </w:rPr>
            </w:pPr>
            <w:r w:rsidRPr="00310C52">
              <w:rPr>
                <w:rFonts w:ascii="Arial" w:hAnsi="Arial" w:cs="Arial"/>
                <w:b/>
                <w:sz w:val="20"/>
                <w:szCs w:val="20"/>
              </w:rPr>
              <w:t>YTD Actual</w:t>
            </w:r>
          </w:p>
        </w:tc>
        <w:tc>
          <w:tcPr>
            <w:tcW w:w="1710" w:type="dxa"/>
            <w:shd w:val="clear" w:color="auto" w:fill="auto"/>
            <w:noWrap/>
            <w:hideMark/>
          </w:tcPr>
          <w:p w14:paraId="6AF87719" w14:textId="7B6E2B4B" w:rsidR="00C44CBC" w:rsidRPr="00310C52" w:rsidRDefault="00786A60" w:rsidP="00074D3D">
            <w:pPr>
              <w:jc w:val="right"/>
              <w:rPr>
                <w:rFonts w:ascii="Arial" w:hAnsi="Arial" w:cs="Arial"/>
                <w:b/>
                <w:sz w:val="20"/>
                <w:szCs w:val="20"/>
              </w:rPr>
            </w:pPr>
            <w:r>
              <w:rPr>
                <w:rFonts w:ascii="Arial" w:hAnsi="Arial" w:cs="Arial"/>
                <w:b/>
                <w:sz w:val="20"/>
                <w:szCs w:val="20"/>
              </w:rPr>
              <w:t>May</w:t>
            </w:r>
            <w:r w:rsidR="00313F72">
              <w:rPr>
                <w:rFonts w:ascii="Arial" w:hAnsi="Arial" w:cs="Arial"/>
                <w:b/>
                <w:sz w:val="20"/>
                <w:szCs w:val="20"/>
              </w:rPr>
              <w:t xml:space="preserve"> 2021</w:t>
            </w:r>
            <w:r w:rsidR="00C44CBC" w:rsidRPr="00310C52">
              <w:rPr>
                <w:rFonts w:ascii="Arial" w:hAnsi="Arial" w:cs="Arial"/>
                <w:b/>
                <w:sz w:val="20"/>
                <w:szCs w:val="20"/>
              </w:rPr>
              <w:t xml:space="preserve"> Variance</w:t>
            </w:r>
          </w:p>
        </w:tc>
      </w:tr>
      <w:tr w:rsidR="00C44CBC" w:rsidRPr="00310C52" w14:paraId="2B1935A9" w14:textId="77777777" w:rsidTr="00F105A0">
        <w:trPr>
          <w:trHeight w:val="255"/>
        </w:trPr>
        <w:tc>
          <w:tcPr>
            <w:tcW w:w="3684" w:type="dxa"/>
            <w:shd w:val="clear" w:color="auto" w:fill="auto"/>
            <w:noWrap/>
            <w:vAlign w:val="bottom"/>
            <w:hideMark/>
          </w:tcPr>
          <w:p w14:paraId="5A8EAC74" w14:textId="77777777" w:rsidR="00C44CBC" w:rsidRPr="00310C52" w:rsidRDefault="00C44CBC" w:rsidP="0007292D">
            <w:pPr>
              <w:jc w:val="right"/>
              <w:rPr>
                <w:rFonts w:ascii="Arial" w:hAnsi="Arial" w:cs="Arial"/>
                <w:b/>
                <w:sz w:val="20"/>
                <w:szCs w:val="20"/>
              </w:rPr>
            </w:pPr>
            <w:r w:rsidRPr="00310C52">
              <w:rPr>
                <w:rFonts w:ascii="Arial" w:hAnsi="Arial" w:cs="Arial"/>
                <w:b/>
                <w:sz w:val="20"/>
                <w:szCs w:val="20"/>
              </w:rPr>
              <w:t>Total Revenues</w:t>
            </w:r>
          </w:p>
        </w:tc>
        <w:tc>
          <w:tcPr>
            <w:tcW w:w="1890" w:type="dxa"/>
            <w:shd w:val="clear" w:color="auto" w:fill="auto"/>
            <w:noWrap/>
            <w:vAlign w:val="bottom"/>
            <w:hideMark/>
          </w:tcPr>
          <w:p w14:paraId="2E7AD162" w14:textId="7A94431F" w:rsidR="00C44CBC" w:rsidRPr="00310C52" w:rsidRDefault="00C44CBC" w:rsidP="0007292D">
            <w:pPr>
              <w:jc w:val="right"/>
              <w:rPr>
                <w:rFonts w:ascii="Arial" w:hAnsi="Arial" w:cs="Arial"/>
                <w:sz w:val="20"/>
                <w:szCs w:val="20"/>
              </w:rPr>
            </w:pPr>
            <w:r w:rsidRPr="00310C52">
              <w:rPr>
                <w:rFonts w:ascii="Arial" w:hAnsi="Arial" w:cs="Arial"/>
                <w:sz w:val="20"/>
                <w:szCs w:val="20"/>
              </w:rPr>
              <w:t>$</w:t>
            </w:r>
            <w:r w:rsidR="00786A60">
              <w:rPr>
                <w:rFonts w:ascii="Arial" w:hAnsi="Arial" w:cs="Arial"/>
                <w:sz w:val="20"/>
                <w:szCs w:val="20"/>
              </w:rPr>
              <w:t>551,950</w:t>
            </w:r>
          </w:p>
        </w:tc>
        <w:tc>
          <w:tcPr>
            <w:tcW w:w="1828" w:type="dxa"/>
            <w:shd w:val="clear" w:color="auto" w:fill="auto"/>
            <w:noWrap/>
            <w:vAlign w:val="bottom"/>
            <w:hideMark/>
          </w:tcPr>
          <w:p w14:paraId="38BF5E04" w14:textId="7DC69D1F" w:rsidR="00C44CBC" w:rsidRPr="00310C52" w:rsidRDefault="00741B29" w:rsidP="0007292D">
            <w:pPr>
              <w:jc w:val="right"/>
              <w:rPr>
                <w:rFonts w:ascii="Arial" w:hAnsi="Arial" w:cs="Arial"/>
                <w:sz w:val="20"/>
                <w:szCs w:val="20"/>
              </w:rPr>
            </w:pPr>
            <w:r>
              <w:rPr>
                <w:rFonts w:ascii="Arial" w:hAnsi="Arial" w:cs="Arial"/>
                <w:sz w:val="20"/>
                <w:szCs w:val="20"/>
              </w:rPr>
              <w:t>$</w:t>
            </w:r>
            <w:r w:rsidR="00786A60">
              <w:rPr>
                <w:rFonts w:ascii="Arial" w:hAnsi="Arial" w:cs="Arial"/>
                <w:sz w:val="20"/>
                <w:szCs w:val="20"/>
              </w:rPr>
              <w:t>592,329</w:t>
            </w:r>
          </w:p>
        </w:tc>
        <w:tc>
          <w:tcPr>
            <w:tcW w:w="1710" w:type="dxa"/>
            <w:shd w:val="clear" w:color="auto" w:fill="auto"/>
            <w:noWrap/>
            <w:vAlign w:val="bottom"/>
            <w:hideMark/>
          </w:tcPr>
          <w:p w14:paraId="208688E3" w14:textId="79698854" w:rsidR="00C44CBC" w:rsidRPr="00310C52" w:rsidRDefault="00313F72" w:rsidP="0007292D">
            <w:pPr>
              <w:jc w:val="right"/>
              <w:rPr>
                <w:rFonts w:ascii="Arial" w:hAnsi="Arial" w:cs="Arial"/>
                <w:sz w:val="20"/>
                <w:szCs w:val="20"/>
              </w:rPr>
            </w:pPr>
            <w:r>
              <w:rPr>
                <w:rFonts w:ascii="Arial" w:hAnsi="Arial" w:cs="Arial"/>
                <w:sz w:val="20"/>
                <w:szCs w:val="20"/>
              </w:rPr>
              <w:t>$</w:t>
            </w:r>
            <w:r w:rsidR="00786A60">
              <w:rPr>
                <w:rFonts w:ascii="Arial" w:hAnsi="Arial" w:cs="Arial"/>
                <w:sz w:val="20"/>
                <w:szCs w:val="20"/>
              </w:rPr>
              <w:t>40,379</w:t>
            </w:r>
          </w:p>
        </w:tc>
      </w:tr>
      <w:tr w:rsidR="00C44CBC" w:rsidRPr="00310C52" w14:paraId="015A91CA" w14:textId="77777777" w:rsidTr="00F105A0">
        <w:trPr>
          <w:trHeight w:val="255"/>
        </w:trPr>
        <w:tc>
          <w:tcPr>
            <w:tcW w:w="3684" w:type="dxa"/>
            <w:shd w:val="clear" w:color="auto" w:fill="auto"/>
            <w:noWrap/>
            <w:vAlign w:val="bottom"/>
            <w:hideMark/>
          </w:tcPr>
          <w:p w14:paraId="012C641F" w14:textId="77777777" w:rsidR="00C44CBC" w:rsidRPr="00310C52" w:rsidRDefault="00C44CBC" w:rsidP="00F00437">
            <w:pPr>
              <w:jc w:val="right"/>
              <w:rPr>
                <w:rFonts w:ascii="Arial" w:hAnsi="Arial" w:cs="Arial"/>
                <w:b/>
                <w:sz w:val="20"/>
                <w:szCs w:val="20"/>
              </w:rPr>
            </w:pPr>
            <w:r w:rsidRPr="00310C52">
              <w:rPr>
                <w:rFonts w:ascii="Arial" w:hAnsi="Arial" w:cs="Arial"/>
                <w:b/>
                <w:sz w:val="20"/>
                <w:szCs w:val="20"/>
              </w:rPr>
              <w:t>Total Expenses before OH and tax</w:t>
            </w:r>
          </w:p>
        </w:tc>
        <w:tc>
          <w:tcPr>
            <w:tcW w:w="1890" w:type="dxa"/>
            <w:shd w:val="clear" w:color="auto" w:fill="auto"/>
            <w:noWrap/>
            <w:vAlign w:val="bottom"/>
            <w:hideMark/>
          </w:tcPr>
          <w:p w14:paraId="1F09B6EE" w14:textId="71FFC1E8" w:rsidR="00C44CBC" w:rsidRPr="00310C52" w:rsidRDefault="00313F72" w:rsidP="00F00437">
            <w:pPr>
              <w:jc w:val="right"/>
              <w:rPr>
                <w:rFonts w:ascii="Arial" w:hAnsi="Arial" w:cs="Arial"/>
                <w:sz w:val="20"/>
                <w:szCs w:val="20"/>
              </w:rPr>
            </w:pPr>
            <w:r>
              <w:rPr>
                <w:rFonts w:ascii="Arial" w:hAnsi="Arial" w:cs="Arial"/>
                <w:sz w:val="20"/>
                <w:szCs w:val="20"/>
              </w:rPr>
              <w:t>(</w:t>
            </w:r>
            <w:r w:rsidR="00741B29">
              <w:rPr>
                <w:rFonts w:ascii="Arial" w:hAnsi="Arial" w:cs="Arial"/>
                <w:sz w:val="20"/>
                <w:szCs w:val="20"/>
              </w:rPr>
              <w:t>$</w:t>
            </w:r>
            <w:r w:rsidR="00786A60">
              <w:rPr>
                <w:rFonts w:ascii="Arial" w:hAnsi="Arial" w:cs="Arial"/>
                <w:sz w:val="20"/>
                <w:szCs w:val="20"/>
              </w:rPr>
              <w:t>935,376</w:t>
            </w:r>
            <w:r>
              <w:rPr>
                <w:rFonts w:ascii="Arial" w:hAnsi="Arial" w:cs="Arial"/>
                <w:sz w:val="20"/>
                <w:szCs w:val="20"/>
              </w:rPr>
              <w:t>)</w:t>
            </w:r>
          </w:p>
        </w:tc>
        <w:tc>
          <w:tcPr>
            <w:tcW w:w="1828" w:type="dxa"/>
            <w:shd w:val="clear" w:color="auto" w:fill="auto"/>
            <w:noWrap/>
            <w:vAlign w:val="bottom"/>
            <w:hideMark/>
          </w:tcPr>
          <w:p w14:paraId="52BB8EBE" w14:textId="6CC1143E" w:rsidR="00C44CBC" w:rsidRPr="00310C52" w:rsidRDefault="00786A60" w:rsidP="00F00437">
            <w:pPr>
              <w:jc w:val="right"/>
              <w:rPr>
                <w:rFonts w:ascii="Arial" w:hAnsi="Arial" w:cs="Arial"/>
                <w:sz w:val="20"/>
                <w:szCs w:val="20"/>
              </w:rPr>
            </w:pPr>
            <w:r>
              <w:rPr>
                <w:rFonts w:ascii="Arial" w:hAnsi="Arial" w:cs="Arial"/>
                <w:sz w:val="20"/>
                <w:szCs w:val="20"/>
              </w:rPr>
              <w:t>($636,119)</w:t>
            </w:r>
          </w:p>
        </w:tc>
        <w:tc>
          <w:tcPr>
            <w:tcW w:w="1710" w:type="dxa"/>
            <w:shd w:val="clear" w:color="auto" w:fill="auto"/>
            <w:noWrap/>
            <w:vAlign w:val="bottom"/>
            <w:hideMark/>
          </w:tcPr>
          <w:p w14:paraId="006002E7" w14:textId="274717C8" w:rsidR="00C44CBC" w:rsidRPr="00310C52" w:rsidRDefault="00741B29" w:rsidP="00F00437">
            <w:pPr>
              <w:jc w:val="right"/>
              <w:rPr>
                <w:rFonts w:ascii="Arial" w:hAnsi="Arial" w:cs="Arial"/>
                <w:sz w:val="20"/>
                <w:szCs w:val="20"/>
              </w:rPr>
            </w:pPr>
            <w:r>
              <w:rPr>
                <w:rFonts w:ascii="Arial" w:hAnsi="Arial" w:cs="Arial"/>
                <w:sz w:val="20"/>
                <w:szCs w:val="20"/>
              </w:rPr>
              <w:t>$</w:t>
            </w:r>
            <w:r w:rsidR="00313F72">
              <w:rPr>
                <w:rFonts w:ascii="Arial" w:hAnsi="Arial" w:cs="Arial"/>
                <w:sz w:val="20"/>
                <w:szCs w:val="20"/>
              </w:rPr>
              <w:t>2</w:t>
            </w:r>
            <w:r w:rsidR="00786A60">
              <w:rPr>
                <w:rFonts w:ascii="Arial" w:hAnsi="Arial" w:cs="Arial"/>
                <w:sz w:val="20"/>
                <w:szCs w:val="20"/>
              </w:rPr>
              <w:t>99,257</w:t>
            </w:r>
          </w:p>
        </w:tc>
      </w:tr>
      <w:tr w:rsidR="00C44CBC" w:rsidRPr="00310C52" w14:paraId="2928CB3B" w14:textId="77777777" w:rsidTr="00F105A0">
        <w:trPr>
          <w:trHeight w:val="255"/>
        </w:trPr>
        <w:tc>
          <w:tcPr>
            <w:tcW w:w="3684" w:type="dxa"/>
            <w:shd w:val="clear" w:color="auto" w:fill="auto"/>
            <w:noWrap/>
            <w:vAlign w:val="bottom"/>
            <w:hideMark/>
          </w:tcPr>
          <w:p w14:paraId="5515594B" w14:textId="77777777" w:rsidR="00C44CBC" w:rsidRPr="00310C52" w:rsidRDefault="00C44CBC" w:rsidP="00F00437">
            <w:pPr>
              <w:jc w:val="right"/>
              <w:rPr>
                <w:rFonts w:ascii="Arial" w:hAnsi="Arial" w:cs="Arial"/>
                <w:b/>
                <w:sz w:val="20"/>
                <w:szCs w:val="20"/>
              </w:rPr>
            </w:pPr>
            <w:r w:rsidRPr="00310C52">
              <w:rPr>
                <w:rFonts w:ascii="Arial" w:hAnsi="Arial" w:cs="Arial"/>
                <w:b/>
                <w:sz w:val="20"/>
                <w:szCs w:val="20"/>
              </w:rPr>
              <w:t>Overhead and Tax</w:t>
            </w:r>
          </w:p>
        </w:tc>
        <w:tc>
          <w:tcPr>
            <w:tcW w:w="1890" w:type="dxa"/>
            <w:shd w:val="clear" w:color="auto" w:fill="auto"/>
            <w:noWrap/>
            <w:vAlign w:val="bottom"/>
            <w:hideMark/>
          </w:tcPr>
          <w:p w14:paraId="2F0F7753" w14:textId="6D589DD5" w:rsidR="00C44CBC" w:rsidRPr="00310C52" w:rsidRDefault="00313F72" w:rsidP="00F00437">
            <w:pPr>
              <w:jc w:val="right"/>
              <w:rPr>
                <w:rFonts w:ascii="Arial" w:hAnsi="Arial" w:cs="Arial"/>
                <w:sz w:val="20"/>
                <w:szCs w:val="20"/>
              </w:rPr>
            </w:pPr>
            <w:r>
              <w:rPr>
                <w:rFonts w:ascii="Arial" w:hAnsi="Arial" w:cs="Arial"/>
                <w:sz w:val="20"/>
                <w:szCs w:val="20"/>
              </w:rPr>
              <w:t>(</w:t>
            </w:r>
            <w:r w:rsidR="00741B29">
              <w:rPr>
                <w:rFonts w:ascii="Arial" w:hAnsi="Arial" w:cs="Arial"/>
                <w:sz w:val="20"/>
                <w:szCs w:val="20"/>
              </w:rPr>
              <w:t>$</w:t>
            </w:r>
            <w:r w:rsidR="00786A60">
              <w:rPr>
                <w:rFonts w:ascii="Arial" w:hAnsi="Arial" w:cs="Arial"/>
                <w:sz w:val="20"/>
                <w:szCs w:val="20"/>
              </w:rPr>
              <w:t>37,492</w:t>
            </w:r>
            <w:r>
              <w:rPr>
                <w:rFonts w:ascii="Arial" w:hAnsi="Arial" w:cs="Arial"/>
                <w:sz w:val="20"/>
                <w:szCs w:val="20"/>
              </w:rPr>
              <w:t>)</w:t>
            </w:r>
          </w:p>
        </w:tc>
        <w:tc>
          <w:tcPr>
            <w:tcW w:w="1828" w:type="dxa"/>
            <w:shd w:val="clear" w:color="auto" w:fill="auto"/>
            <w:noWrap/>
            <w:vAlign w:val="bottom"/>
            <w:hideMark/>
          </w:tcPr>
          <w:p w14:paraId="7F618643" w14:textId="52E5281C" w:rsidR="00C44CBC" w:rsidRPr="00310C52" w:rsidRDefault="00313F72" w:rsidP="00DA3FCA">
            <w:pPr>
              <w:jc w:val="right"/>
              <w:rPr>
                <w:rFonts w:ascii="Arial" w:hAnsi="Arial" w:cs="Arial"/>
                <w:sz w:val="20"/>
                <w:szCs w:val="20"/>
              </w:rPr>
            </w:pPr>
            <w:r>
              <w:rPr>
                <w:rFonts w:ascii="Arial" w:hAnsi="Arial" w:cs="Arial"/>
                <w:sz w:val="20"/>
                <w:szCs w:val="20"/>
              </w:rPr>
              <w:t>(</w:t>
            </w:r>
            <w:r w:rsidR="00741B29">
              <w:rPr>
                <w:rFonts w:ascii="Arial" w:hAnsi="Arial" w:cs="Arial"/>
                <w:sz w:val="20"/>
                <w:szCs w:val="20"/>
              </w:rPr>
              <w:t>$</w:t>
            </w:r>
            <w:r w:rsidR="00786A60">
              <w:rPr>
                <w:rFonts w:ascii="Arial" w:hAnsi="Arial" w:cs="Arial"/>
                <w:sz w:val="20"/>
                <w:szCs w:val="20"/>
              </w:rPr>
              <w:t>24,841</w:t>
            </w:r>
            <w:r>
              <w:rPr>
                <w:rFonts w:ascii="Arial" w:hAnsi="Arial" w:cs="Arial"/>
                <w:sz w:val="20"/>
                <w:szCs w:val="20"/>
              </w:rPr>
              <w:t>)</w:t>
            </w:r>
          </w:p>
        </w:tc>
        <w:tc>
          <w:tcPr>
            <w:tcW w:w="1710" w:type="dxa"/>
            <w:shd w:val="clear" w:color="auto" w:fill="auto"/>
            <w:noWrap/>
            <w:vAlign w:val="bottom"/>
            <w:hideMark/>
          </w:tcPr>
          <w:p w14:paraId="5B68B3BF" w14:textId="438E17D3" w:rsidR="00C44CBC" w:rsidRPr="00310C52" w:rsidRDefault="00786A60" w:rsidP="00F00437">
            <w:pPr>
              <w:jc w:val="right"/>
              <w:rPr>
                <w:rFonts w:ascii="Arial" w:hAnsi="Arial" w:cs="Arial"/>
                <w:sz w:val="20"/>
                <w:szCs w:val="20"/>
              </w:rPr>
            </w:pPr>
            <w:r>
              <w:rPr>
                <w:rFonts w:ascii="Arial" w:hAnsi="Arial" w:cs="Arial"/>
                <w:sz w:val="20"/>
                <w:szCs w:val="20"/>
              </w:rPr>
              <w:t>$12,651</w:t>
            </w:r>
          </w:p>
        </w:tc>
      </w:tr>
      <w:tr w:rsidR="00C44CBC" w:rsidRPr="00310C52" w14:paraId="08507902" w14:textId="77777777" w:rsidTr="00F105A0">
        <w:trPr>
          <w:trHeight w:val="255"/>
        </w:trPr>
        <w:tc>
          <w:tcPr>
            <w:tcW w:w="3684" w:type="dxa"/>
            <w:shd w:val="clear" w:color="auto" w:fill="auto"/>
            <w:noWrap/>
            <w:vAlign w:val="bottom"/>
            <w:hideMark/>
          </w:tcPr>
          <w:p w14:paraId="1D095DC5" w14:textId="77777777" w:rsidR="00C44CBC" w:rsidRPr="00310C52" w:rsidRDefault="00C44CBC" w:rsidP="00F00437">
            <w:pPr>
              <w:jc w:val="right"/>
              <w:rPr>
                <w:rFonts w:ascii="Arial" w:hAnsi="Arial" w:cs="Arial"/>
                <w:b/>
                <w:sz w:val="20"/>
                <w:szCs w:val="20"/>
              </w:rPr>
            </w:pPr>
          </w:p>
        </w:tc>
        <w:tc>
          <w:tcPr>
            <w:tcW w:w="1890" w:type="dxa"/>
            <w:shd w:val="clear" w:color="auto" w:fill="auto"/>
            <w:noWrap/>
            <w:vAlign w:val="bottom"/>
            <w:hideMark/>
          </w:tcPr>
          <w:p w14:paraId="0B5EFF0C" w14:textId="77777777" w:rsidR="00C44CBC" w:rsidRPr="00310C52" w:rsidRDefault="00C44CBC" w:rsidP="00F00437">
            <w:pPr>
              <w:rPr>
                <w:rFonts w:ascii="Arial" w:hAnsi="Arial" w:cs="Arial"/>
                <w:sz w:val="20"/>
                <w:szCs w:val="20"/>
              </w:rPr>
            </w:pPr>
          </w:p>
        </w:tc>
        <w:tc>
          <w:tcPr>
            <w:tcW w:w="1828" w:type="dxa"/>
            <w:shd w:val="clear" w:color="auto" w:fill="auto"/>
            <w:noWrap/>
            <w:vAlign w:val="bottom"/>
            <w:hideMark/>
          </w:tcPr>
          <w:p w14:paraId="566B36D7" w14:textId="77777777" w:rsidR="00C44CBC" w:rsidRPr="00310C52" w:rsidRDefault="00C44CBC" w:rsidP="00F00437">
            <w:pPr>
              <w:rPr>
                <w:rFonts w:ascii="Arial" w:hAnsi="Arial" w:cs="Arial"/>
                <w:sz w:val="20"/>
                <w:szCs w:val="20"/>
              </w:rPr>
            </w:pPr>
          </w:p>
        </w:tc>
        <w:tc>
          <w:tcPr>
            <w:tcW w:w="1710" w:type="dxa"/>
            <w:shd w:val="clear" w:color="auto" w:fill="auto"/>
            <w:noWrap/>
            <w:vAlign w:val="bottom"/>
            <w:hideMark/>
          </w:tcPr>
          <w:p w14:paraId="6A23BAE2" w14:textId="77777777" w:rsidR="00C44CBC" w:rsidRPr="00310C52" w:rsidRDefault="00C44CBC" w:rsidP="00F00437">
            <w:pPr>
              <w:rPr>
                <w:rFonts w:ascii="Arial" w:hAnsi="Arial" w:cs="Arial"/>
                <w:sz w:val="20"/>
                <w:szCs w:val="20"/>
              </w:rPr>
            </w:pPr>
          </w:p>
        </w:tc>
      </w:tr>
      <w:tr w:rsidR="00C44CBC" w:rsidRPr="00310C52" w14:paraId="6DE71111" w14:textId="77777777" w:rsidTr="00F105A0">
        <w:trPr>
          <w:trHeight w:val="255"/>
        </w:trPr>
        <w:tc>
          <w:tcPr>
            <w:tcW w:w="3684" w:type="dxa"/>
            <w:shd w:val="clear" w:color="auto" w:fill="auto"/>
            <w:noWrap/>
            <w:vAlign w:val="bottom"/>
            <w:hideMark/>
          </w:tcPr>
          <w:p w14:paraId="1602ED65" w14:textId="77777777" w:rsidR="00C44CBC" w:rsidRPr="00310C52" w:rsidRDefault="00C44CBC" w:rsidP="00F00437">
            <w:pPr>
              <w:jc w:val="right"/>
              <w:rPr>
                <w:rFonts w:ascii="Arial" w:hAnsi="Arial" w:cs="Arial"/>
                <w:b/>
                <w:sz w:val="20"/>
                <w:szCs w:val="20"/>
              </w:rPr>
            </w:pPr>
          </w:p>
        </w:tc>
        <w:tc>
          <w:tcPr>
            <w:tcW w:w="1890" w:type="dxa"/>
            <w:shd w:val="clear" w:color="auto" w:fill="auto"/>
            <w:noWrap/>
            <w:vAlign w:val="bottom"/>
            <w:hideMark/>
          </w:tcPr>
          <w:p w14:paraId="0959ECA0" w14:textId="77777777" w:rsidR="00C44CBC" w:rsidRPr="00310C52" w:rsidRDefault="00C44CBC" w:rsidP="00F00437">
            <w:pPr>
              <w:rPr>
                <w:rFonts w:ascii="Arial" w:hAnsi="Arial" w:cs="Arial"/>
                <w:b/>
                <w:sz w:val="20"/>
                <w:szCs w:val="20"/>
              </w:rPr>
            </w:pPr>
            <w:r w:rsidRPr="00310C52">
              <w:rPr>
                <w:rFonts w:ascii="Arial" w:hAnsi="Arial" w:cs="Arial"/>
                <w:b/>
                <w:sz w:val="20"/>
                <w:szCs w:val="20"/>
              </w:rPr>
              <w:t>YTD Budget</w:t>
            </w:r>
          </w:p>
        </w:tc>
        <w:tc>
          <w:tcPr>
            <w:tcW w:w="1828" w:type="dxa"/>
            <w:shd w:val="clear" w:color="auto" w:fill="auto"/>
            <w:noWrap/>
            <w:vAlign w:val="bottom"/>
            <w:hideMark/>
          </w:tcPr>
          <w:p w14:paraId="59D75AB0" w14:textId="77777777" w:rsidR="00C44CBC" w:rsidRPr="00310C52" w:rsidRDefault="00C44CBC" w:rsidP="00F00437">
            <w:pPr>
              <w:rPr>
                <w:rFonts w:ascii="Arial" w:hAnsi="Arial" w:cs="Arial"/>
                <w:b/>
                <w:sz w:val="20"/>
                <w:szCs w:val="20"/>
              </w:rPr>
            </w:pPr>
            <w:r w:rsidRPr="00310C52">
              <w:rPr>
                <w:rFonts w:ascii="Arial" w:hAnsi="Arial" w:cs="Arial"/>
                <w:b/>
                <w:sz w:val="20"/>
                <w:szCs w:val="20"/>
              </w:rPr>
              <w:t>YTD Actual</w:t>
            </w:r>
          </w:p>
        </w:tc>
        <w:tc>
          <w:tcPr>
            <w:tcW w:w="1710" w:type="dxa"/>
            <w:shd w:val="clear" w:color="auto" w:fill="auto"/>
            <w:noWrap/>
            <w:vAlign w:val="bottom"/>
            <w:hideMark/>
          </w:tcPr>
          <w:p w14:paraId="35BF045B" w14:textId="77777777" w:rsidR="00C44CBC" w:rsidRPr="00310C52" w:rsidRDefault="00C44CBC" w:rsidP="00F00437">
            <w:pPr>
              <w:rPr>
                <w:rFonts w:ascii="Arial" w:hAnsi="Arial" w:cs="Arial"/>
                <w:b/>
                <w:sz w:val="20"/>
                <w:szCs w:val="20"/>
              </w:rPr>
            </w:pPr>
            <w:r w:rsidRPr="00310C52">
              <w:rPr>
                <w:rFonts w:ascii="Arial" w:hAnsi="Arial" w:cs="Arial"/>
                <w:b/>
                <w:sz w:val="20"/>
                <w:szCs w:val="20"/>
              </w:rPr>
              <w:t>Variance</w:t>
            </w:r>
          </w:p>
        </w:tc>
      </w:tr>
      <w:tr w:rsidR="00C44CBC" w:rsidRPr="00310C52" w14:paraId="65C19B65" w14:textId="77777777" w:rsidTr="00F105A0">
        <w:trPr>
          <w:trHeight w:val="255"/>
        </w:trPr>
        <w:tc>
          <w:tcPr>
            <w:tcW w:w="3684" w:type="dxa"/>
            <w:shd w:val="clear" w:color="auto" w:fill="auto"/>
            <w:noWrap/>
            <w:vAlign w:val="bottom"/>
            <w:hideMark/>
          </w:tcPr>
          <w:p w14:paraId="5486AE10" w14:textId="4C01E7F0" w:rsidR="00C44CBC" w:rsidRPr="00310C52" w:rsidRDefault="00F105A0" w:rsidP="00F00437">
            <w:pPr>
              <w:jc w:val="right"/>
              <w:rPr>
                <w:rFonts w:ascii="Arial" w:hAnsi="Arial" w:cs="Arial"/>
                <w:b/>
                <w:sz w:val="20"/>
                <w:szCs w:val="20"/>
              </w:rPr>
            </w:pPr>
            <w:r w:rsidRPr="00310C52">
              <w:rPr>
                <w:rFonts w:ascii="Arial" w:hAnsi="Arial" w:cs="Arial"/>
                <w:b/>
                <w:sz w:val="20"/>
                <w:szCs w:val="20"/>
              </w:rPr>
              <w:t>Net Revenue (Expense)</w:t>
            </w:r>
          </w:p>
        </w:tc>
        <w:tc>
          <w:tcPr>
            <w:tcW w:w="1890" w:type="dxa"/>
            <w:shd w:val="clear" w:color="auto" w:fill="auto"/>
            <w:noWrap/>
            <w:vAlign w:val="bottom"/>
            <w:hideMark/>
          </w:tcPr>
          <w:p w14:paraId="4DD08370" w14:textId="1444811D" w:rsidR="00C44CBC" w:rsidRPr="00310C52" w:rsidRDefault="00313F72" w:rsidP="00F00437">
            <w:pPr>
              <w:jc w:val="right"/>
              <w:rPr>
                <w:rFonts w:ascii="Arial" w:hAnsi="Arial" w:cs="Arial"/>
                <w:sz w:val="20"/>
                <w:szCs w:val="20"/>
              </w:rPr>
            </w:pPr>
            <w:r>
              <w:rPr>
                <w:rFonts w:ascii="Arial" w:hAnsi="Arial" w:cs="Arial"/>
                <w:sz w:val="20"/>
                <w:szCs w:val="20"/>
              </w:rPr>
              <w:t>(</w:t>
            </w:r>
            <w:r w:rsidR="00741B29">
              <w:rPr>
                <w:rFonts w:ascii="Arial" w:hAnsi="Arial" w:cs="Arial"/>
                <w:sz w:val="20"/>
                <w:szCs w:val="20"/>
              </w:rPr>
              <w:t>$</w:t>
            </w:r>
            <w:r w:rsidR="00786A60">
              <w:rPr>
                <w:rFonts w:ascii="Arial" w:hAnsi="Arial" w:cs="Arial"/>
                <w:sz w:val="20"/>
                <w:szCs w:val="20"/>
              </w:rPr>
              <w:t>420,918</w:t>
            </w:r>
            <w:r w:rsidR="00741B29">
              <w:rPr>
                <w:rFonts w:ascii="Arial" w:hAnsi="Arial" w:cs="Arial"/>
                <w:sz w:val="20"/>
                <w:szCs w:val="20"/>
              </w:rPr>
              <w:t>)</w:t>
            </w:r>
          </w:p>
        </w:tc>
        <w:tc>
          <w:tcPr>
            <w:tcW w:w="1828" w:type="dxa"/>
            <w:shd w:val="clear" w:color="auto" w:fill="auto"/>
            <w:noWrap/>
            <w:vAlign w:val="bottom"/>
            <w:hideMark/>
          </w:tcPr>
          <w:p w14:paraId="534F418B" w14:textId="3196C15E" w:rsidR="00C44CBC" w:rsidRPr="00310C52" w:rsidRDefault="00786A60" w:rsidP="00F00437">
            <w:pPr>
              <w:jc w:val="right"/>
              <w:rPr>
                <w:rFonts w:ascii="Arial" w:hAnsi="Arial" w:cs="Arial"/>
                <w:sz w:val="20"/>
                <w:szCs w:val="20"/>
              </w:rPr>
            </w:pPr>
            <w:r>
              <w:rPr>
                <w:rFonts w:ascii="Arial" w:hAnsi="Arial" w:cs="Arial"/>
                <w:sz w:val="20"/>
                <w:szCs w:val="20"/>
              </w:rPr>
              <w:t>($68,631)</w:t>
            </w:r>
          </w:p>
        </w:tc>
        <w:tc>
          <w:tcPr>
            <w:tcW w:w="1710" w:type="dxa"/>
            <w:tcBorders>
              <w:bottom w:val="single" w:sz="4" w:space="0" w:color="auto"/>
            </w:tcBorders>
            <w:shd w:val="clear" w:color="auto" w:fill="auto"/>
            <w:noWrap/>
            <w:vAlign w:val="bottom"/>
            <w:hideMark/>
          </w:tcPr>
          <w:p w14:paraId="229253E1" w14:textId="5A5AE2A0" w:rsidR="00C44CBC" w:rsidRPr="00310C52" w:rsidRDefault="00313F72" w:rsidP="00F00437">
            <w:pPr>
              <w:jc w:val="right"/>
              <w:rPr>
                <w:rFonts w:ascii="Arial" w:hAnsi="Arial" w:cs="Arial"/>
                <w:sz w:val="20"/>
                <w:szCs w:val="20"/>
              </w:rPr>
            </w:pPr>
            <w:r>
              <w:rPr>
                <w:rFonts w:ascii="Arial" w:hAnsi="Arial" w:cs="Arial"/>
                <w:sz w:val="20"/>
                <w:szCs w:val="20"/>
              </w:rPr>
              <w:t>$3</w:t>
            </w:r>
            <w:r w:rsidR="00786A60">
              <w:rPr>
                <w:rFonts w:ascii="Arial" w:hAnsi="Arial" w:cs="Arial"/>
                <w:sz w:val="20"/>
                <w:szCs w:val="20"/>
              </w:rPr>
              <w:t>52,287</w:t>
            </w:r>
          </w:p>
        </w:tc>
      </w:tr>
      <w:tr w:rsidR="00F105A0" w:rsidRPr="00310C52" w14:paraId="37A09FC4" w14:textId="77777777" w:rsidTr="00F105A0">
        <w:trPr>
          <w:trHeight w:val="323"/>
        </w:trPr>
        <w:tc>
          <w:tcPr>
            <w:tcW w:w="3684" w:type="dxa"/>
            <w:shd w:val="clear" w:color="auto" w:fill="auto"/>
            <w:noWrap/>
            <w:vAlign w:val="bottom"/>
            <w:hideMark/>
          </w:tcPr>
          <w:p w14:paraId="6A5B1D4F" w14:textId="77777777" w:rsidR="00F105A0" w:rsidRPr="00310C52" w:rsidRDefault="00F105A0" w:rsidP="00F00437">
            <w:pPr>
              <w:jc w:val="right"/>
              <w:rPr>
                <w:rFonts w:ascii="Arial" w:hAnsi="Arial" w:cs="Arial"/>
                <w:b/>
                <w:sz w:val="20"/>
                <w:szCs w:val="20"/>
              </w:rPr>
            </w:pPr>
          </w:p>
          <w:p w14:paraId="081A9E90" w14:textId="77777777" w:rsidR="00F105A0" w:rsidRPr="00310C52" w:rsidRDefault="00F105A0" w:rsidP="00F00437">
            <w:pPr>
              <w:jc w:val="right"/>
              <w:rPr>
                <w:rFonts w:ascii="Arial" w:hAnsi="Arial" w:cs="Arial"/>
                <w:b/>
                <w:sz w:val="20"/>
                <w:szCs w:val="20"/>
              </w:rPr>
            </w:pPr>
          </w:p>
          <w:p w14:paraId="4C17C8CB" w14:textId="4480466D" w:rsidR="00F105A0" w:rsidRPr="00310C52" w:rsidRDefault="00F105A0" w:rsidP="00F00437">
            <w:pPr>
              <w:jc w:val="right"/>
              <w:rPr>
                <w:rFonts w:ascii="Arial" w:hAnsi="Arial" w:cs="Arial"/>
                <w:b/>
                <w:sz w:val="20"/>
                <w:szCs w:val="20"/>
              </w:rPr>
            </w:pPr>
            <w:r w:rsidRPr="00310C52">
              <w:rPr>
                <w:rFonts w:ascii="Arial" w:hAnsi="Arial" w:cs="Arial"/>
                <w:b/>
                <w:sz w:val="20"/>
                <w:szCs w:val="20"/>
              </w:rPr>
              <w:t>Beginning NAB</w:t>
            </w:r>
          </w:p>
        </w:tc>
        <w:tc>
          <w:tcPr>
            <w:tcW w:w="1890" w:type="dxa"/>
          </w:tcPr>
          <w:p w14:paraId="087F9255" w14:textId="77777777" w:rsidR="00F105A0" w:rsidRPr="00310C52" w:rsidRDefault="00F105A0" w:rsidP="00F00437">
            <w:pPr>
              <w:rPr>
                <w:rFonts w:ascii="Arial" w:hAnsi="Arial" w:cs="Arial"/>
                <w:b/>
                <w:sz w:val="20"/>
                <w:szCs w:val="20"/>
              </w:rPr>
            </w:pPr>
          </w:p>
        </w:tc>
        <w:tc>
          <w:tcPr>
            <w:tcW w:w="1828" w:type="dxa"/>
            <w:shd w:val="clear" w:color="auto" w:fill="auto"/>
            <w:noWrap/>
            <w:vAlign w:val="bottom"/>
            <w:hideMark/>
          </w:tcPr>
          <w:p w14:paraId="477F032A" w14:textId="6291A54E" w:rsidR="00F105A0" w:rsidRPr="00310C52" w:rsidRDefault="00F105A0" w:rsidP="00F00437">
            <w:pPr>
              <w:rPr>
                <w:rFonts w:ascii="Arial" w:hAnsi="Arial" w:cs="Arial"/>
                <w:b/>
                <w:sz w:val="20"/>
                <w:szCs w:val="20"/>
              </w:rPr>
            </w:pPr>
            <w:r w:rsidRPr="00310C52">
              <w:rPr>
                <w:rFonts w:ascii="Arial" w:hAnsi="Arial" w:cs="Arial"/>
                <w:b/>
                <w:sz w:val="20"/>
                <w:szCs w:val="20"/>
              </w:rPr>
              <w:t>Ending NAB</w:t>
            </w:r>
          </w:p>
        </w:tc>
        <w:tc>
          <w:tcPr>
            <w:tcW w:w="1710" w:type="dxa"/>
            <w:shd w:val="clear" w:color="auto" w:fill="auto"/>
            <w:noWrap/>
            <w:vAlign w:val="bottom"/>
            <w:hideMark/>
          </w:tcPr>
          <w:p w14:paraId="6EA93FEA" w14:textId="15A6997A" w:rsidR="00F105A0" w:rsidRPr="00310C52" w:rsidRDefault="00F105A0" w:rsidP="00F00437">
            <w:pPr>
              <w:rPr>
                <w:rFonts w:ascii="Arial" w:hAnsi="Arial" w:cs="Arial"/>
                <w:b/>
                <w:sz w:val="20"/>
                <w:szCs w:val="20"/>
              </w:rPr>
            </w:pPr>
          </w:p>
        </w:tc>
      </w:tr>
      <w:tr w:rsidR="00F105A0" w:rsidRPr="00310C52" w14:paraId="2EB98A3C" w14:textId="77777777" w:rsidTr="00F105A0">
        <w:trPr>
          <w:trHeight w:val="255"/>
        </w:trPr>
        <w:tc>
          <w:tcPr>
            <w:tcW w:w="3684" w:type="dxa"/>
            <w:shd w:val="clear" w:color="auto" w:fill="auto"/>
            <w:noWrap/>
            <w:vAlign w:val="bottom"/>
            <w:hideMark/>
          </w:tcPr>
          <w:p w14:paraId="281DE258" w14:textId="20C732A6" w:rsidR="00F105A0" w:rsidRPr="00310C52" w:rsidRDefault="00F105A0" w:rsidP="00F00437">
            <w:pPr>
              <w:jc w:val="right"/>
              <w:rPr>
                <w:rFonts w:ascii="Arial" w:hAnsi="Arial" w:cs="Arial"/>
                <w:sz w:val="20"/>
                <w:szCs w:val="20"/>
              </w:rPr>
            </w:pPr>
            <w:r>
              <w:rPr>
                <w:rFonts w:ascii="Arial" w:hAnsi="Arial" w:cs="Arial"/>
                <w:sz w:val="20"/>
                <w:szCs w:val="20"/>
              </w:rPr>
              <w:t>$4,664,935</w:t>
            </w:r>
          </w:p>
        </w:tc>
        <w:tc>
          <w:tcPr>
            <w:tcW w:w="1890" w:type="dxa"/>
          </w:tcPr>
          <w:p w14:paraId="026D4C6D" w14:textId="77777777" w:rsidR="00F105A0" w:rsidRPr="00310C52" w:rsidRDefault="00F105A0" w:rsidP="00F00437">
            <w:pPr>
              <w:jc w:val="right"/>
              <w:rPr>
                <w:rFonts w:ascii="Arial" w:hAnsi="Arial" w:cs="Arial"/>
                <w:sz w:val="20"/>
                <w:szCs w:val="20"/>
              </w:rPr>
            </w:pPr>
          </w:p>
        </w:tc>
        <w:tc>
          <w:tcPr>
            <w:tcW w:w="1828" w:type="dxa"/>
            <w:shd w:val="clear" w:color="auto" w:fill="auto"/>
            <w:noWrap/>
            <w:vAlign w:val="bottom"/>
            <w:hideMark/>
          </w:tcPr>
          <w:p w14:paraId="1D811007" w14:textId="691BADC1" w:rsidR="00F105A0" w:rsidRPr="00310C52" w:rsidRDefault="00F105A0" w:rsidP="00F00437">
            <w:pPr>
              <w:jc w:val="right"/>
              <w:rPr>
                <w:rFonts w:ascii="Arial" w:hAnsi="Arial" w:cs="Arial"/>
                <w:sz w:val="20"/>
                <w:szCs w:val="20"/>
              </w:rPr>
            </w:pPr>
            <w:r>
              <w:rPr>
                <w:rFonts w:ascii="Arial" w:hAnsi="Arial" w:cs="Arial"/>
                <w:sz w:val="20"/>
                <w:szCs w:val="20"/>
              </w:rPr>
              <w:t>$4,596,305</w:t>
            </w:r>
          </w:p>
        </w:tc>
        <w:tc>
          <w:tcPr>
            <w:tcW w:w="1710" w:type="dxa"/>
            <w:shd w:val="clear" w:color="auto" w:fill="auto"/>
            <w:noWrap/>
            <w:vAlign w:val="bottom"/>
            <w:hideMark/>
          </w:tcPr>
          <w:p w14:paraId="7B50B003" w14:textId="17904B54" w:rsidR="00F105A0" w:rsidRPr="00310C52" w:rsidRDefault="00F105A0" w:rsidP="00DA3FCA">
            <w:pPr>
              <w:jc w:val="right"/>
              <w:rPr>
                <w:rFonts w:ascii="Arial" w:hAnsi="Arial" w:cs="Arial"/>
                <w:sz w:val="20"/>
                <w:szCs w:val="20"/>
              </w:rPr>
            </w:pPr>
          </w:p>
        </w:tc>
      </w:tr>
      <w:tr w:rsidR="00F105A0" w:rsidRPr="00310C52" w14:paraId="00002F84" w14:textId="77777777" w:rsidTr="00F105A0">
        <w:trPr>
          <w:trHeight w:val="255"/>
        </w:trPr>
        <w:tc>
          <w:tcPr>
            <w:tcW w:w="3684" w:type="dxa"/>
            <w:shd w:val="clear" w:color="auto" w:fill="D9D9D9" w:themeFill="background1" w:themeFillShade="D9"/>
            <w:noWrap/>
            <w:vAlign w:val="bottom"/>
          </w:tcPr>
          <w:p w14:paraId="69CF1E65" w14:textId="77777777" w:rsidR="00F105A0" w:rsidRDefault="00F105A0" w:rsidP="00F00437">
            <w:pPr>
              <w:jc w:val="right"/>
              <w:rPr>
                <w:rFonts w:ascii="Arial" w:hAnsi="Arial" w:cs="Arial"/>
                <w:sz w:val="20"/>
                <w:szCs w:val="20"/>
              </w:rPr>
            </w:pPr>
          </w:p>
          <w:p w14:paraId="00210BE7" w14:textId="77777777" w:rsidR="002F4FD1" w:rsidRDefault="002F4FD1" w:rsidP="00F00437">
            <w:pPr>
              <w:jc w:val="right"/>
              <w:rPr>
                <w:rFonts w:ascii="Arial" w:hAnsi="Arial" w:cs="Arial"/>
                <w:sz w:val="20"/>
                <w:szCs w:val="20"/>
              </w:rPr>
            </w:pPr>
          </w:p>
          <w:p w14:paraId="5D0EE097" w14:textId="49CE084B" w:rsidR="002F4FD1" w:rsidRDefault="002F4FD1" w:rsidP="00F00437">
            <w:pPr>
              <w:jc w:val="right"/>
              <w:rPr>
                <w:rFonts w:ascii="Arial" w:hAnsi="Arial" w:cs="Arial"/>
                <w:sz w:val="20"/>
                <w:szCs w:val="20"/>
              </w:rPr>
            </w:pPr>
          </w:p>
        </w:tc>
        <w:tc>
          <w:tcPr>
            <w:tcW w:w="1890" w:type="dxa"/>
            <w:shd w:val="clear" w:color="auto" w:fill="D9D9D9" w:themeFill="background1" w:themeFillShade="D9"/>
          </w:tcPr>
          <w:p w14:paraId="1ECAF945" w14:textId="77777777" w:rsidR="00F105A0" w:rsidRPr="00310C52" w:rsidRDefault="00F105A0" w:rsidP="00F00437">
            <w:pPr>
              <w:jc w:val="right"/>
              <w:rPr>
                <w:rFonts w:ascii="Arial" w:hAnsi="Arial" w:cs="Arial"/>
                <w:sz w:val="20"/>
                <w:szCs w:val="20"/>
              </w:rPr>
            </w:pPr>
          </w:p>
        </w:tc>
        <w:tc>
          <w:tcPr>
            <w:tcW w:w="1828" w:type="dxa"/>
            <w:shd w:val="clear" w:color="auto" w:fill="D9D9D9" w:themeFill="background1" w:themeFillShade="D9"/>
            <w:noWrap/>
            <w:vAlign w:val="bottom"/>
          </w:tcPr>
          <w:p w14:paraId="6BC97B92" w14:textId="77777777" w:rsidR="00F105A0" w:rsidRDefault="00F105A0" w:rsidP="00F00437">
            <w:pPr>
              <w:jc w:val="right"/>
              <w:rPr>
                <w:rFonts w:ascii="Arial" w:hAnsi="Arial" w:cs="Arial"/>
                <w:sz w:val="20"/>
                <w:szCs w:val="20"/>
              </w:rPr>
            </w:pPr>
          </w:p>
        </w:tc>
        <w:tc>
          <w:tcPr>
            <w:tcW w:w="1710" w:type="dxa"/>
            <w:shd w:val="clear" w:color="auto" w:fill="D9D9D9" w:themeFill="background1" w:themeFillShade="D9"/>
            <w:noWrap/>
            <w:vAlign w:val="bottom"/>
          </w:tcPr>
          <w:p w14:paraId="2B967006" w14:textId="77777777" w:rsidR="00F105A0" w:rsidRPr="00310C52" w:rsidRDefault="00F105A0" w:rsidP="00DA3FCA">
            <w:pPr>
              <w:jc w:val="right"/>
              <w:rPr>
                <w:rFonts w:ascii="Arial" w:hAnsi="Arial" w:cs="Arial"/>
                <w:sz w:val="20"/>
                <w:szCs w:val="20"/>
              </w:rPr>
            </w:pPr>
          </w:p>
        </w:tc>
      </w:tr>
      <w:tr w:rsidR="00F105A0" w:rsidRPr="00310C52" w14:paraId="2B343969" w14:textId="77777777" w:rsidTr="00F105A0">
        <w:trPr>
          <w:trHeight w:val="255"/>
        </w:trPr>
        <w:tc>
          <w:tcPr>
            <w:tcW w:w="3684" w:type="dxa"/>
            <w:shd w:val="clear" w:color="auto" w:fill="auto"/>
            <w:noWrap/>
            <w:vAlign w:val="bottom"/>
          </w:tcPr>
          <w:p w14:paraId="20916546" w14:textId="05E041BC" w:rsidR="00F105A0" w:rsidRPr="00F105A0" w:rsidRDefault="00F105A0" w:rsidP="00F105A0">
            <w:pPr>
              <w:jc w:val="right"/>
              <w:rPr>
                <w:rFonts w:ascii="Arial" w:hAnsi="Arial" w:cs="Arial"/>
                <w:b/>
                <w:sz w:val="20"/>
                <w:szCs w:val="20"/>
              </w:rPr>
            </w:pPr>
            <w:r>
              <w:rPr>
                <w:rFonts w:ascii="Arial" w:hAnsi="Arial" w:cs="Arial"/>
                <w:b/>
                <w:sz w:val="20"/>
                <w:szCs w:val="20"/>
              </w:rPr>
              <w:t>LONG TERM INVESTMENT (34-401)</w:t>
            </w:r>
          </w:p>
        </w:tc>
        <w:tc>
          <w:tcPr>
            <w:tcW w:w="1890" w:type="dxa"/>
          </w:tcPr>
          <w:p w14:paraId="32F7D597" w14:textId="77777777" w:rsidR="00F105A0" w:rsidRPr="00310C52" w:rsidRDefault="00F105A0" w:rsidP="00F105A0">
            <w:pPr>
              <w:jc w:val="right"/>
              <w:rPr>
                <w:rFonts w:ascii="Arial" w:hAnsi="Arial" w:cs="Arial"/>
                <w:b/>
                <w:sz w:val="20"/>
                <w:szCs w:val="20"/>
              </w:rPr>
            </w:pPr>
            <w:r>
              <w:rPr>
                <w:rFonts w:ascii="Arial" w:hAnsi="Arial" w:cs="Arial"/>
                <w:b/>
                <w:sz w:val="20"/>
                <w:szCs w:val="20"/>
              </w:rPr>
              <w:t>May 2021</w:t>
            </w:r>
          </w:p>
          <w:p w14:paraId="04E6E967" w14:textId="68C9DA58" w:rsidR="00F105A0" w:rsidRPr="00310C52" w:rsidRDefault="00F105A0" w:rsidP="00F105A0">
            <w:pPr>
              <w:jc w:val="right"/>
              <w:rPr>
                <w:rFonts w:ascii="Arial" w:hAnsi="Arial" w:cs="Arial"/>
                <w:sz w:val="20"/>
                <w:szCs w:val="20"/>
              </w:rPr>
            </w:pPr>
            <w:r w:rsidRPr="00310C52">
              <w:rPr>
                <w:rFonts w:ascii="Arial" w:hAnsi="Arial" w:cs="Arial"/>
                <w:b/>
                <w:sz w:val="20"/>
                <w:szCs w:val="20"/>
              </w:rPr>
              <w:t>YTD Budget</w:t>
            </w:r>
          </w:p>
        </w:tc>
        <w:tc>
          <w:tcPr>
            <w:tcW w:w="1828" w:type="dxa"/>
            <w:shd w:val="clear" w:color="auto" w:fill="auto"/>
            <w:noWrap/>
          </w:tcPr>
          <w:p w14:paraId="22CA4FAA" w14:textId="77777777" w:rsidR="00F105A0" w:rsidRPr="00310C52" w:rsidRDefault="00F105A0" w:rsidP="00F105A0">
            <w:pPr>
              <w:jc w:val="right"/>
              <w:rPr>
                <w:rFonts w:ascii="Arial" w:hAnsi="Arial" w:cs="Arial"/>
                <w:b/>
                <w:sz w:val="20"/>
                <w:szCs w:val="20"/>
              </w:rPr>
            </w:pPr>
            <w:r>
              <w:rPr>
                <w:rFonts w:ascii="Arial" w:hAnsi="Arial" w:cs="Arial"/>
                <w:b/>
                <w:sz w:val="20"/>
                <w:szCs w:val="20"/>
              </w:rPr>
              <w:t>May 2021</w:t>
            </w:r>
          </w:p>
          <w:p w14:paraId="2994C606" w14:textId="465F039A" w:rsidR="00F105A0" w:rsidRDefault="00F105A0" w:rsidP="00F105A0">
            <w:pPr>
              <w:jc w:val="right"/>
              <w:rPr>
                <w:rFonts w:ascii="Arial" w:hAnsi="Arial" w:cs="Arial"/>
                <w:sz w:val="20"/>
                <w:szCs w:val="20"/>
              </w:rPr>
            </w:pPr>
            <w:r w:rsidRPr="00310C52">
              <w:rPr>
                <w:rFonts w:ascii="Arial" w:hAnsi="Arial" w:cs="Arial"/>
                <w:b/>
                <w:sz w:val="20"/>
                <w:szCs w:val="20"/>
              </w:rPr>
              <w:t>YTD Actual</w:t>
            </w:r>
          </w:p>
        </w:tc>
        <w:tc>
          <w:tcPr>
            <w:tcW w:w="1710" w:type="dxa"/>
            <w:shd w:val="clear" w:color="auto" w:fill="auto"/>
            <w:noWrap/>
          </w:tcPr>
          <w:p w14:paraId="4B7D9119" w14:textId="4619F26D" w:rsidR="00F105A0" w:rsidRPr="00310C52" w:rsidRDefault="00F105A0" w:rsidP="00F105A0">
            <w:pPr>
              <w:jc w:val="right"/>
              <w:rPr>
                <w:rFonts w:ascii="Arial" w:hAnsi="Arial" w:cs="Arial"/>
                <w:sz w:val="20"/>
                <w:szCs w:val="20"/>
              </w:rPr>
            </w:pPr>
            <w:r>
              <w:rPr>
                <w:rFonts w:ascii="Arial" w:hAnsi="Arial" w:cs="Arial"/>
                <w:b/>
                <w:sz w:val="20"/>
                <w:szCs w:val="20"/>
              </w:rPr>
              <w:t>May 2021</w:t>
            </w:r>
            <w:r w:rsidRPr="00310C52">
              <w:rPr>
                <w:rFonts w:ascii="Arial" w:hAnsi="Arial" w:cs="Arial"/>
                <w:b/>
                <w:sz w:val="20"/>
                <w:szCs w:val="20"/>
              </w:rPr>
              <w:t xml:space="preserve"> Variance</w:t>
            </w:r>
          </w:p>
        </w:tc>
      </w:tr>
      <w:tr w:rsidR="00F105A0" w:rsidRPr="00310C52" w14:paraId="16B25259" w14:textId="77777777" w:rsidTr="00F105A0">
        <w:trPr>
          <w:trHeight w:val="255"/>
        </w:trPr>
        <w:tc>
          <w:tcPr>
            <w:tcW w:w="3684" w:type="dxa"/>
            <w:shd w:val="clear" w:color="auto" w:fill="auto"/>
            <w:noWrap/>
            <w:vAlign w:val="bottom"/>
          </w:tcPr>
          <w:p w14:paraId="5EB5F702" w14:textId="13D706F6" w:rsidR="00F105A0" w:rsidRDefault="00F105A0" w:rsidP="00F105A0">
            <w:pPr>
              <w:jc w:val="right"/>
              <w:rPr>
                <w:rFonts w:ascii="Arial" w:hAnsi="Arial" w:cs="Arial"/>
                <w:b/>
                <w:sz w:val="20"/>
                <w:szCs w:val="20"/>
              </w:rPr>
            </w:pPr>
            <w:r w:rsidRPr="00310C52">
              <w:rPr>
                <w:rFonts w:ascii="Arial" w:hAnsi="Arial" w:cs="Arial"/>
                <w:b/>
                <w:sz w:val="20"/>
                <w:szCs w:val="20"/>
              </w:rPr>
              <w:t>Total Revenues</w:t>
            </w:r>
          </w:p>
        </w:tc>
        <w:tc>
          <w:tcPr>
            <w:tcW w:w="1890" w:type="dxa"/>
          </w:tcPr>
          <w:p w14:paraId="05D1EA09" w14:textId="1A92119B" w:rsidR="00F105A0" w:rsidRPr="00F105A0" w:rsidRDefault="00F105A0" w:rsidP="00F105A0">
            <w:pPr>
              <w:jc w:val="right"/>
              <w:rPr>
                <w:rFonts w:ascii="Arial" w:hAnsi="Arial" w:cs="Arial"/>
                <w:bCs/>
                <w:sz w:val="20"/>
                <w:szCs w:val="20"/>
              </w:rPr>
            </w:pPr>
            <w:r w:rsidRPr="00F105A0">
              <w:rPr>
                <w:rFonts w:ascii="Arial" w:hAnsi="Arial" w:cs="Arial"/>
                <w:bCs/>
                <w:sz w:val="20"/>
                <w:szCs w:val="20"/>
              </w:rPr>
              <w:t>$</w:t>
            </w:r>
            <w:r>
              <w:rPr>
                <w:rFonts w:ascii="Arial" w:hAnsi="Arial" w:cs="Arial"/>
                <w:bCs/>
                <w:sz w:val="20"/>
                <w:szCs w:val="20"/>
              </w:rPr>
              <w:t>29,776</w:t>
            </w:r>
          </w:p>
        </w:tc>
        <w:tc>
          <w:tcPr>
            <w:tcW w:w="1828" w:type="dxa"/>
            <w:shd w:val="clear" w:color="auto" w:fill="auto"/>
            <w:noWrap/>
          </w:tcPr>
          <w:p w14:paraId="610C1ABB" w14:textId="2086DFFD" w:rsidR="00F105A0" w:rsidRPr="00F105A0" w:rsidRDefault="00F105A0" w:rsidP="00F105A0">
            <w:pPr>
              <w:jc w:val="right"/>
              <w:rPr>
                <w:rFonts w:ascii="Arial" w:hAnsi="Arial" w:cs="Arial"/>
                <w:bCs/>
                <w:sz w:val="20"/>
                <w:szCs w:val="20"/>
              </w:rPr>
            </w:pPr>
            <w:r>
              <w:rPr>
                <w:rFonts w:ascii="Arial" w:hAnsi="Arial" w:cs="Arial"/>
                <w:bCs/>
                <w:sz w:val="20"/>
                <w:szCs w:val="20"/>
              </w:rPr>
              <w:t>$39,679</w:t>
            </w:r>
          </w:p>
        </w:tc>
        <w:tc>
          <w:tcPr>
            <w:tcW w:w="1710" w:type="dxa"/>
            <w:shd w:val="clear" w:color="auto" w:fill="auto"/>
            <w:noWrap/>
          </w:tcPr>
          <w:p w14:paraId="286A725E" w14:textId="0B4CFDA5" w:rsidR="00F105A0" w:rsidRPr="00F105A0" w:rsidRDefault="00F105A0" w:rsidP="00F105A0">
            <w:pPr>
              <w:jc w:val="right"/>
              <w:rPr>
                <w:rFonts w:ascii="Arial" w:hAnsi="Arial" w:cs="Arial"/>
                <w:bCs/>
                <w:sz w:val="20"/>
                <w:szCs w:val="20"/>
              </w:rPr>
            </w:pPr>
            <w:r>
              <w:rPr>
                <w:rFonts w:ascii="Arial" w:hAnsi="Arial" w:cs="Arial"/>
                <w:bCs/>
                <w:sz w:val="20"/>
                <w:szCs w:val="20"/>
              </w:rPr>
              <w:t>$9,904</w:t>
            </w:r>
          </w:p>
        </w:tc>
      </w:tr>
      <w:tr w:rsidR="00F105A0" w:rsidRPr="00310C52" w14:paraId="05B74862" w14:textId="77777777" w:rsidTr="00F105A0">
        <w:trPr>
          <w:trHeight w:val="255"/>
        </w:trPr>
        <w:tc>
          <w:tcPr>
            <w:tcW w:w="3684" w:type="dxa"/>
            <w:shd w:val="clear" w:color="auto" w:fill="auto"/>
            <w:noWrap/>
            <w:vAlign w:val="bottom"/>
          </w:tcPr>
          <w:p w14:paraId="0E059CE3" w14:textId="0D4A92F5" w:rsidR="00F105A0" w:rsidRDefault="00F105A0" w:rsidP="00F105A0">
            <w:pPr>
              <w:jc w:val="right"/>
              <w:rPr>
                <w:rFonts w:ascii="Arial" w:hAnsi="Arial" w:cs="Arial"/>
                <w:b/>
                <w:sz w:val="20"/>
                <w:szCs w:val="20"/>
              </w:rPr>
            </w:pPr>
            <w:r>
              <w:rPr>
                <w:rFonts w:ascii="Arial" w:hAnsi="Arial" w:cs="Arial"/>
                <w:b/>
                <w:sz w:val="20"/>
                <w:szCs w:val="20"/>
              </w:rPr>
              <w:t>Total Expenses</w:t>
            </w:r>
          </w:p>
        </w:tc>
        <w:tc>
          <w:tcPr>
            <w:tcW w:w="1890" w:type="dxa"/>
          </w:tcPr>
          <w:p w14:paraId="08605E66" w14:textId="648B350F" w:rsidR="00F105A0" w:rsidRPr="00F105A0" w:rsidRDefault="00F105A0" w:rsidP="00F105A0">
            <w:pPr>
              <w:jc w:val="right"/>
              <w:rPr>
                <w:rFonts w:ascii="Arial" w:hAnsi="Arial" w:cs="Arial"/>
                <w:bCs/>
                <w:sz w:val="20"/>
                <w:szCs w:val="20"/>
              </w:rPr>
            </w:pPr>
            <w:r>
              <w:rPr>
                <w:rFonts w:ascii="Arial" w:hAnsi="Arial" w:cs="Arial"/>
                <w:bCs/>
                <w:sz w:val="20"/>
                <w:szCs w:val="20"/>
              </w:rPr>
              <w:t>$6,318</w:t>
            </w:r>
          </w:p>
        </w:tc>
        <w:tc>
          <w:tcPr>
            <w:tcW w:w="1828" w:type="dxa"/>
            <w:shd w:val="clear" w:color="auto" w:fill="auto"/>
            <w:noWrap/>
          </w:tcPr>
          <w:p w14:paraId="74122FCA" w14:textId="707F57DC" w:rsidR="00F105A0" w:rsidRPr="00F105A0" w:rsidRDefault="00F105A0" w:rsidP="00F105A0">
            <w:pPr>
              <w:jc w:val="right"/>
              <w:rPr>
                <w:rFonts w:ascii="Arial" w:hAnsi="Arial" w:cs="Arial"/>
                <w:bCs/>
                <w:sz w:val="20"/>
                <w:szCs w:val="20"/>
              </w:rPr>
            </w:pPr>
            <w:r>
              <w:rPr>
                <w:rFonts w:ascii="Arial" w:hAnsi="Arial" w:cs="Arial"/>
                <w:bCs/>
                <w:sz w:val="20"/>
                <w:szCs w:val="20"/>
              </w:rPr>
              <w:t>$8,429</w:t>
            </w:r>
          </w:p>
        </w:tc>
        <w:tc>
          <w:tcPr>
            <w:tcW w:w="1710" w:type="dxa"/>
            <w:shd w:val="clear" w:color="auto" w:fill="auto"/>
            <w:noWrap/>
          </w:tcPr>
          <w:p w14:paraId="78C0562F" w14:textId="4BF3B756" w:rsidR="00F105A0" w:rsidRPr="00F105A0" w:rsidRDefault="00F105A0" w:rsidP="00F105A0">
            <w:pPr>
              <w:jc w:val="right"/>
              <w:rPr>
                <w:rFonts w:ascii="Arial" w:hAnsi="Arial" w:cs="Arial"/>
                <w:bCs/>
                <w:sz w:val="20"/>
                <w:szCs w:val="20"/>
              </w:rPr>
            </w:pPr>
            <w:r>
              <w:rPr>
                <w:rFonts w:ascii="Arial" w:hAnsi="Arial" w:cs="Arial"/>
                <w:bCs/>
                <w:sz w:val="20"/>
                <w:szCs w:val="20"/>
              </w:rPr>
              <w:t>($2,911)</w:t>
            </w:r>
          </w:p>
        </w:tc>
      </w:tr>
      <w:tr w:rsidR="00F105A0" w:rsidRPr="00310C52" w14:paraId="26421D7A" w14:textId="77777777" w:rsidTr="00F105A0">
        <w:trPr>
          <w:trHeight w:val="255"/>
        </w:trPr>
        <w:tc>
          <w:tcPr>
            <w:tcW w:w="3684" w:type="dxa"/>
            <w:shd w:val="clear" w:color="auto" w:fill="auto"/>
            <w:noWrap/>
            <w:vAlign w:val="bottom"/>
          </w:tcPr>
          <w:p w14:paraId="375495E9" w14:textId="1EA0E18B" w:rsidR="00F105A0" w:rsidRDefault="00F105A0" w:rsidP="00F105A0">
            <w:pPr>
              <w:jc w:val="right"/>
              <w:rPr>
                <w:rFonts w:ascii="Arial" w:hAnsi="Arial" w:cs="Arial"/>
                <w:b/>
                <w:sz w:val="20"/>
                <w:szCs w:val="20"/>
              </w:rPr>
            </w:pPr>
            <w:r w:rsidRPr="00310C52">
              <w:rPr>
                <w:rFonts w:ascii="Arial" w:hAnsi="Arial" w:cs="Arial"/>
                <w:b/>
                <w:sz w:val="20"/>
                <w:szCs w:val="20"/>
              </w:rPr>
              <w:t>Net Revenue (Expense)</w:t>
            </w:r>
          </w:p>
        </w:tc>
        <w:tc>
          <w:tcPr>
            <w:tcW w:w="1890" w:type="dxa"/>
          </w:tcPr>
          <w:p w14:paraId="4307DC0B" w14:textId="38787E22" w:rsidR="00F105A0" w:rsidRPr="00F105A0" w:rsidRDefault="00F105A0" w:rsidP="00F105A0">
            <w:pPr>
              <w:jc w:val="right"/>
              <w:rPr>
                <w:rFonts w:ascii="Arial" w:hAnsi="Arial" w:cs="Arial"/>
                <w:bCs/>
                <w:sz w:val="20"/>
                <w:szCs w:val="20"/>
              </w:rPr>
            </w:pPr>
            <w:r>
              <w:rPr>
                <w:rFonts w:ascii="Arial" w:hAnsi="Arial" w:cs="Arial"/>
                <w:bCs/>
                <w:sz w:val="20"/>
                <w:szCs w:val="20"/>
              </w:rPr>
              <w:t>$23,458</w:t>
            </w:r>
          </w:p>
        </w:tc>
        <w:tc>
          <w:tcPr>
            <w:tcW w:w="1828" w:type="dxa"/>
            <w:shd w:val="clear" w:color="auto" w:fill="auto"/>
            <w:noWrap/>
          </w:tcPr>
          <w:p w14:paraId="1F916804" w14:textId="02DB47B6" w:rsidR="00F105A0" w:rsidRPr="00F105A0" w:rsidRDefault="00F105A0" w:rsidP="00F105A0">
            <w:pPr>
              <w:jc w:val="right"/>
              <w:rPr>
                <w:rFonts w:ascii="Arial" w:hAnsi="Arial" w:cs="Arial"/>
                <w:bCs/>
                <w:sz w:val="20"/>
                <w:szCs w:val="20"/>
              </w:rPr>
            </w:pPr>
            <w:r>
              <w:rPr>
                <w:rFonts w:ascii="Arial" w:hAnsi="Arial" w:cs="Arial"/>
                <w:bCs/>
                <w:sz w:val="20"/>
                <w:szCs w:val="20"/>
              </w:rPr>
              <w:t>$31,250</w:t>
            </w:r>
          </w:p>
        </w:tc>
        <w:tc>
          <w:tcPr>
            <w:tcW w:w="1710" w:type="dxa"/>
            <w:shd w:val="clear" w:color="auto" w:fill="auto"/>
            <w:noWrap/>
          </w:tcPr>
          <w:p w14:paraId="28502903" w14:textId="046553AE" w:rsidR="00F105A0" w:rsidRPr="00F105A0" w:rsidRDefault="00F105A0" w:rsidP="00F105A0">
            <w:pPr>
              <w:jc w:val="right"/>
              <w:rPr>
                <w:rFonts w:ascii="Arial" w:hAnsi="Arial" w:cs="Arial"/>
                <w:bCs/>
                <w:sz w:val="20"/>
                <w:szCs w:val="20"/>
              </w:rPr>
            </w:pPr>
            <w:r>
              <w:rPr>
                <w:rFonts w:ascii="Arial" w:hAnsi="Arial" w:cs="Arial"/>
                <w:bCs/>
                <w:sz w:val="20"/>
                <w:szCs w:val="20"/>
              </w:rPr>
              <w:t>$7,792</w:t>
            </w:r>
          </w:p>
        </w:tc>
      </w:tr>
      <w:tr w:rsidR="00F105A0" w:rsidRPr="00310C52" w14:paraId="207A8A89" w14:textId="77777777" w:rsidTr="00F105A0">
        <w:trPr>
          <w:trHeight w:val="255"/>
        </w:trPr>
        <w:tc>
          <w:tcPr>
            <w:tcW w:w="3684" w:type="dxa"/>
            <w:shd w:val="clear" w:color="auto" w:fill="auto"/>
            <w:noWrap/>
            <w:vAlign w:val="bottom"/>
          </w:tcPr>
          <w:p w14:paraId="5BA39645" w14:textId="77777777" w:rsidR="00F105A0" w:rsidRPr="00310C52" w:rsidRDefault="00F105A0" w:rsidP="00F105A0">
            <w:pPr>
              <w:jc w:val="right"/>
              <w:rPr>
                <w:rFonts w:ascii="Arial" w:hAnsi="Arial" w:cs="Arial"/>
                <w:b/>
                <w:sz w:val="20"/>
                <w:szCs w:val="20"/>
              </w:rPr>
            </w:pPr>
          </w:p>
          <w:p w14:paraId="2DC8BD5E" w14:textId="77777777" w:rsidR="00F105A0" w:rsidRPr="00310C52" w:rsidRDefault="00F105A0" w:rsidP="00F105A0">
            <w:pPr>
              <w:jc w:val="right"/>
              <w:rPr>
                <w:rFonts w:ascii="Arial" w:hAnsi="Arial" w:cs="Arial"/>
                <w:b/>
                <w:sz w:val="20"/>
                <w:szCs w:val="20"/>
              </w:rPr>
            </w:pPr>
          </w:p>
          <w:p w14:paraId="68CC2782" w14:textId="4C3B3235" w:rsidR="00F105A0" w:rsidRDefault="00F105A0" w:rsidP="00F105A0">
            <w:pPr>
              <w:jc w:val="right"/>
              <w:rPr>
                <w:rFonts w:ascii="Arial" w:hAnsi="Arial" w:cs="Arial"/>
                <w:b/>
                <w:sz w:val="20"/>
                <w:szCs w:val="20"/>
              </w:rPr>
            </w:pPr>
            <w:r w:rsidRPr="00310C52">
              <w:rPr>
                <w:rFonts w:ascii="Arial" w:hAnsi="Arial" w:cs="Arial"/>
                <w:b/>
                <w:sz w:val="20"/>
                <w:szCs w:val="20"/>
              </w:rPr>
              <w:t xml:space="preserve">Beginning </w:t>
            </w:r>
            <w:r>
              <w:rPr>
                <w:rFonts w:ascii="Arial" w:hAnsi="Arial" w:cs="Arial"/>
                <w:b/>
                <w:sz w:val="20"/>
                <w:szCs w:val="20"/>
              </w:rPr>
              <w:t>Balance</w:t>
            </w:r>
          </w:p>
        </w:tc>
        <w:tc>
          <w:tcPr>
            <w:tcW w:w="1890" w:type="dxa"/>
          </w:tcPr>
          <w:p w14:paraId="7B14A5FA" w14:textId="77777777" w:rsidR="00F105A0" w:rsidRDefault="00F105A0" w:rsidP="00F105A0">
            <w:pPr>
              <w:jc w:val="right"/>
              <w:rPr>
                <w:rFonts w:ascii="Arial" w:hAnsi="Arial" w:cs="Arial"/>
                <w:b/>
                <w:sz w:val="20"/>
                <w:szCs w:val="20"/>
              </w:rPr>
            </w:pPr>
          </w:p>
        </w:tc>
        <w:tc>
          <w:tcPr>
            <w:tcW w:w="1828" w:type="dxa"/>
            <w:shd w:val="clear" w:color="auto" w:fill="auto"/>
            <w:noWrap/>
            <w:vAlign w:val="bottom"/>
          </w:tcPr>
          <w:p w14:paraId="62305C68" w14:textId="009ECABF" w:rsidR="00F105A0" w:rsidRDefault="002F4FD1" w:rsidP="00F105A0">
            <w:pPr>
              <w:jc w:val="right"/>
              <w:rPr>
                <w:rFonts w:ascii="Arial" w:hAnsi="Arial" w:cs="Arial"/>
                <w:b/>
                <w:sz w:val="20"/>
                <w:szCs w:val="20"/>
              </w:rPr>
            </w:pPr>
            <w:r w:rsidRPr="00F105A0">
              <w:rPr>
                <w:rFonts w:ascii="Arial" w:hAnsi="Arial" w:cs="Arial"/>
                <w:bCs/>
                <w:sz w:val="20"/>
                <w:szCs w:val="20"/>
              </w:rPr>
              <w:t>$1,761,881</w:t>
            </w:r>
          </w:p>
        </w:tc>
        <w:tc>
          <w:tcPr>
            <w:tcW w:w="1710" w:type="dxa"/>
            <w:shd w:val="clear" w:color="auto" w:fill="auto"/>
            <w:noWrap/>
          </w:tcPr>
          <w:p w14:paraId="7455F3E5" w14:textId="77777777" w:rsidR="00F105A0" w:rsidRDefault="00F105A0" w:rsidP="00F105A0">
            <w:pPr>
              <w:jc w:val="right"/>
              <w:rPr>
                <w:rFonts w:ascii="Arial" w:hAnsi="Arial" w:cs="Arial"/>
                <w:b/>
                <w:sz w:val="20"/>
                <w:szCs w:val="20"/>
              </w:rPr>
            </w:pPr>
          </w:p>
        </w:tc>
      </w:tr>
      <w:tr w:rsidR="002F4FD1" w:rsidRPr="00310C52" w14:paraId="01093189" w14:textId="77777777" w:rsidTr="00390968">
        <w:trPr>
          <w:trHeight w:val="255"/>
        </w:trPr>
        <w:tc>
          <w:tcPr>
            <w:tcW w:w="3684" w:type="dxa"/>
            <w:shd w:val="clear" w:color="auto" w:fill="auto"/>
            <w:noWrap/>
            <w:vAlign w:val="bottom"/>
          </w:tcPr>
          <w:p w14:paraId="691922FC" w14:textId="5F34359F" w:rsidR="002F4FD1" w:rsidRPr="00F105A0" w:rsidRDefault="002F4FD1" w:rsidP="002F4FD1">
            <w:pPr>
              <w:jc w:val="right"/>
              <w:rPr>
                <w:rFonts w:ascii="Arial" w:hAnsi="Arial" w:cs="Arial"/>
                <w:bCs/>
                <w:sz w:val="20"/>
                <w:szCs w:val="20"/>
              </w:rPr>
            </w:pPr>
            <w:r>
              <w:rPr>
                <w:rFonts w:ascii="Arial" w:hAnsi="Arial" w:cs="Arial"/>
                <w:b/>
                <w:sz w:val="20"/>
                <w:szCs w:val="20"/>
              </w:rPr>
              <w:t>Endowment Gain/Loss</w:t>
            </w:r>
          </w:p>
        </w:tc>
        <w:tc>
          <w:tcPr>
            <w:tcW w:w="1890" w:type="dxa"/>
          </w:tcPr>
          <w:p w14:paraId="045FFAB0" w14:textId="77777777" w:rsidR="002F4FD1" w:rsidRPr="00F105A0" w:rsidRDefault="002F4FD1" w:rsidP="002F4FD1">
            <w:pPr>
              <w:jc w:val="right"/>
              <w:rPr>
                <w:rFonts w:ascii="Arial" w:hAnsi="Arial" w:cs="Arial"/>
                <w:bCs/>
                <w:sz w:val="20"/>
                <w:szCs w:val="20"/>
              </w:rPr>
            </w:pPr>
          </w:p>
        </w:tc>
        <w:tc>
          <w:tcPr>
            <w:tcW w:w="1828" w:type="dxa"/>
            <w:shd w:val="clear" w:color="auto" w:fill="auto"/>
            <w:noWrap/>
            <w:vAlign w:val="bottom"/>
          </w:tcPr>
          <w:p w14:paraId="7120DCF2" w14:textId="42FAD0CF" w:rsidR="002F4FD1" w:rsidRPr="00F105A0" w:rsidRDefault="002F4FD1" w:rsidP="002F4FD1">
            <w:pPr>
              <w:jc w:val="right"/>
              <w:rPr>
                <w:rFonts w:ascii="Arial" w:hAnsi="Arial" w:cs="Arial"/>
                <w:bCs/>
                <w:sz w:val="20"/>
                <w:szCs w:val="20"/>
              </w:rPr>
            </w:pPr>
            <w:r w:rsidRPr="002F4FD1">
              <w:rPr>
                <w:rFonts w:ascii="Arial" w:hAnsi="Arial" w:cs="Arial"/>
                <w:bCs/>
                <w:sz w:val="20"/>
                <w:szCs w:val="20"/>
              </w:rPr>
              <w:t>$269,339</w:t>
            </w:r>
          </w:p>
        </w:tc>
        <w:tc>
          <w:tcPr>
            <w:tcW w:w="1710" w:type="dxa"/>
            <w:shd w:val="clear" w:color="auto" w:fill="auto"/>
            <w:noWrap/>
          </w:tcPr>
          <w:p w14:paraId="14C913CC" w14:textId="77777777" w:rsidR="002F4FD1" w:rsidRPr="00F105A0" w:rsidRDefault="002F4FD1" w:rsidP="002F4FD1">
            <w:pPr>
              <w:jc w:val="right"/>
              <w:rPr>
                <w:rFonts w:ascii="Arial" w:hAnsi="Arial" w:cs="Arial"/>
                <w:bCs/>
                <w:sz w:val="20"/>
                <w:szCs w:val="20"/>
              </w:rPr>
            </w:pPr>
          </w:p>
        </w:tc>
      </w:tr>
      <w:tr w:rsidR="002F4FD1" w:rsidRPr="00310C52" w14:paraId="0D3A2876" w14:textId="77777777" w:rsidTr="001A5E00">
        <w:trPr>
          <w:trHeight w:val="255"/>
        </w:trPr>
        <w:tc>
          <w:tcPr>
            <w:tcW w:w="3684" w:type="dxa"/>
            <w:shd w:val="clear" w:color="auto" w:fill="auto"/>
            <w:noWrap/>
            <w:vAlign w:val="bottom"/>
          </w:tcPr>
          <w:p w14:paraId="60907F77" w14:textId="5A9CB6C7" w:rsidR="002F4FD1" w:rsidRPr="00310C52" w:rsidRDefault="002F4FD1" w:rsidP="002F4FD1">
            <w:pPr>
              <w:jc w:val="right"/>
              <w:rPr>
                <w:rFonts w:ascii="Arial" w:hAnsi="Arial" w:cs="Arial"/>
                <w:b/>
                <w:sz w:val="20"/>
                <w:szCs w:val="20"/>
              </w:rPr>
            </w:pPr>
            <w:r>
              <w:rPr>
                <w:rFonts w:ascii="Arial" w:hAnsi="Arial" w:cs="Arial"/>
                <w:b/>
                <w:sz w:val="20"/>
                <w:szCs w:val="20"/>
              </w:rPr>
              <w:t>Ending Balance</w:t>
            </w:r>
          </w:p>
        </w:tc>
        <w:tc>
          <w:tcPr>
            <w:tcW w:w="1890" w:type="dxa"/>
          </w:tcPr>
          <w:p w14:paraId="2276EAA6" w14:textId="682E3821" w:rsidR="002F4FD1" w:rsidRPr="002F4FD1" w:rsidRDefault="002F4FD1" w:rsidP="002F4FD1">
            <w:pPr>
              <w:jc w:val="right"/>
              <w:rPr>
                <w:rFonts w:ascii="Arial" w:hAnsi="Arial" w:cs="Arial"/>
                <w:bCs/>
                <w:sz w:val="20"/>
                <w:szCs w:val="20"/>
              </w:rPr>
            </w:pPr>
          </w:p>
        </w:tc>
        <w:tc>
          <w:tcPr>
            <w:tcW w:w="1828" w:type="dxa"/>
            <w:shd w:val="clear" w:color="auto" w:fill="auto"/>
            <w:noWrap/>
            <w:vAlign w:val="bottom"/>
          </w:tcPr>
          <w:p w14:paraId="4714A3CB" w14:textId="49F8FDC4" w:rsidR="002F4FD1" w:rsidRPr="002F4FD1" w:rsidRDefault="002F4FD1" w:rsidP="002F4FD1">
            <w:pPr>
              <w:jc w:val="right"/>
              <w:rPr>
                <w:rFonts w:ascii="Arial" w:hAnsi="Arial" w:cs="Arial"/>
                <w:bCs/>
                <w:sz w:val="20"/>
                <w:szCs w:val="20"/>
              </w:rPr>
            </w:pPr>
            <w:r>
              <w:rPr>
                <w:rFonts w:ascii="Arial" w:hAnsi="Arial" w:cs="Arial"/>
                <w:bCs/>
                <w:sz w:val="20"/>
                <w:szCs w:val="20"/>
              </w:rPr>
              <w:t>$2,031,220</w:t>
            </w:r>
          </w:p>
        </w:tc>
        <w:tc>
          <w:tcPr>
            <w:tcW w:w="1710" w:type="dxa"/>
            <w:shd w:val="clear" w:color="auto" w:fill="auto"/>
            <w:noWrap/>
          </w:tcPr>
          <w:p w14:paraId="7DDC7324" w14:textId="66D4C0D9" w:rsidR="002F4FD1" w:rsidRPr="002F4FD1" w:rsidRDefault="002F4FD1" w:rsidP="002F4FD1">
            <w:pPr>
              <w:jc w:val="right"/>
              <w:rPr>
                <w:rFonts w:ascii="Arial" w:hAnsi="Arial" w:cs="Arial"/>
                <w:bCs/>
                <w:sz w:val="20"/>
                <w:szCs w:val="20"/>
              </w:rPr>
            </w:pPr>
          </w:p>
        </w:tc>
      </w:tr>
    </w:tbl>
    <w:p w14:paraId="6069532A" w14:textId="6FF6381A" w:rsidR="00C34D30" w:rsidRDefault="00C34D30" w:rsidP="00066FDA">
      <w:pPr>
        <w:rPr>
          <w:rFonts w:asciiTheme="minorHAnsi" w:hAnsiTheme="minorHAnsi" w:cstheme="minorHAnsi"/>
        </w:rPr>
      </w:pPr>
    </w:p>
    <w:p w14:paraId="53D3279E" w14:textId="5AF5730D" w:rsidR="00B3362C" w:rsidRPr="006D6503" w:rsidRDefault="00B3362C" w:rsidP="00066FDA">
      <w:pPr>
        <w:rPr>
          <w:rFonts w:asciiTheme="minorHAnsi" w:hAnsiTheme="minorHAnsi" w:cstheme="minorHAnsi"/>
        </w:rPr>
      </w:pPr>
      <w:r>
        <w:rPr>
          <w:rFonts w:asciiTheme="minorHAnsi" w:hAnsiTheme="minorHAnsi" w:cstheme="minorHAnsi"/>
          <w:u w:val="single"/>
        </w:rPr>
        <w:t>Net Asset Balance:</w:t>
      </w:r>
      <w:r>
        <w:rPr>
          <w:rFonts w:asciiTheme="minorHAnsi" w:hAnsiTheme="minorHAnsi" w:cstheme="minorHAnsi"/>
        </w:rPr>
        <w:t xml:space="preserve"> The Q3 reports are the first reports of FY21 in which ALA has updated fund balances.</w:t>
      </w:r>
      <w:r w:rsidR="006D6503">
        <w:rPr>
          <w:rFonts w:asciiTheme="minorHAnsi" w:hAnsiTheme="minorHAnsi" w:cstheme="minorHAnsi"/>
        </w:rPr>
        <w:t xml:space="preserve"> PLA began FY20 with $3,493,338 in its fund balance, and primarily due to the success of PLA 2020 in Nashville, PLA closed FY20 with a fund balance of $4,664,935. As </w:t>
      </w:r>
      <w:r w:rsidR="006D6503">
        <w:rPr>
          <w:rFonts w:asciiTheme="minorHAnsi" w:hAnsiTheme="minorHAnsi" w:cstheme="minorHAnsi"/>
          <w:i/>
          <w:iCs/>
        </w:rPr>
        <w:t xml:space="preserve">budgeted, </w:t>
      </w:r>
      <w:r w:rsidR="006D6503">
        <w:rPr>
          <w:rFonts w:asciiTheme="minorHAnsi" w:hAnsiTheme="minorHAnsi" w:cstheme="minorHAnsi"/>
        </w:rPr>
        <w:t>PLA should close FY21 with a roughly $530,000 loss to its fund balance, dropping it down to about $4,135,000. However as of Q3 (see below), PLA’s net loss is on track to be much smaller than budgeted.</w:t>
      </w:r>
    </w:p>
    <w:p w14:paraId="2E076944" w14:textId="77777777" w:rsidR="00B3362C" w:rsidRPr="00B3362C" w:rsidRDefault="00B3362C" w:rsidP="00066FDA">
      <w:pPr>
        <w:rPr>
          <w:rFonts w:asciiTheme="minorHAnsi" w:hAnsiTheme="minorHAnsi" w:cstheme="minorHAnsi"/>
        </w:rPr>
      </w:pPr>
    </w:p>
    <w:p w14:paraId="77DF10EC" w14:textId="72C777D8" w:rsidR="00386212" w:rsidRDefault="00FC72B4" w:rsidP="00C4715C">
      <w:pPr>
        <w:rPr>
          <w:rFonts w:asciiTheme="minorHAnsi" w:hAnsiTheme="minorHAnsi" w:cstheme="minorHAnsi"/>
        </w:rPr>
      </w:pPr>
      <w:r w:rsidRPr="00310C52">
        <w:rPr>
          <w:rFonts w:asciiTheme="minorHAnsi" w:hAnsiTheme="minorHAnsi" w:cstheme="minorHAnsi"/>
          <w:u w:val="single"/>
        </w:rPr>
        <w:t>Operating Budget:</w:t>
      </w:r>
      <w:r w:rsidRPr="00310C52">
        <w:rPr>
          <w:rFonts w:asciiTheme="minorHAnsi" w:hAnsiTheme="minorHAnsi" w:cstheme="minorHAnsi"/>
        </w:rPr>
        <w:t xml:space="preserve"> </w:t>
      </w:r>
      <w:r w:rsidR="0077529F" w:rsidRPr="00310C52">
        <w:rPr>
          <w:rFonts w:asciiTheme="minorHAnsi" w:hAnsiTheme="minorHAnsi" w:cstheme="minorHAnsi"/>
        </w:rPr>
        <w:t xml:space="preserve"> </w:t>
      </w:r>
      <w:r w:rsidR="00C4715C" w:rsidRPr="00310C52">
        <w:rPr>
          <w:rFonts w:asciiTheme="minorHAnsi" w:hAnsiTheme="minorHAnsi" w:cstheme="minorHAnsi"/>
        </w:rPr>
        <w:t>As of</w:t>
      </w:r>
      <w:r w:rsidR="00CC0A08" w:rsidRPr="00310C52">
        <w:rPr>
          <w:rFonts w:asciiTheme="minorHAnsi" w:hAnsiTheme="minorHAnsi" w:cstheme="minorHAnsi"/>
        </w:rPr>
        <w:t xml:space="preserve"> </w:t>
      </w:r>
      <w:r w:rsidR="00786A60">
        <w:rPr>
          <w:rFonts w:asciiTheme="minorHAnsi" w:hAnsiTheme="minorHAnsi" w:cstheme="minorHAnsi"/>
        </w:rPr>
        <w:t>May</w:t>
      </w:r>
      <w:r w:rsidR="00765650">
        <w:rPr>
          <w:rFonts w:asciiTheme="minorHAnsi" w:hAnsiTheme="minorHAnsi" w:cstheme="minorHAnsi"/>
        </w:rPr>
        <w:t xml:space="preserve"> 2021</w:t>
      </w:r>
      <w:r w:rsidR="00C4715C" w:rsidRPr="00310C52">
        <w:rPr>
          <w:rFonts w:asciiTheme="minorHAnsi" w:hAnsiTheme="minorHAnsi" w:cstheme="minorHAnsi"/>
        </w:rPr>
        <w:t>, PLA ha</w:t>
      </w:r>
      <w:r w:rsidR="00E80B1E" w:rsidRPr="00310C52">
        <w:rPr>
          <w:rFonts w:asciiTheme="minorHAnsi" w:hAnsiTheme="minorHAnsi" w:cstheme="minorHAnsi"/>
        </w:rPr>
        <w:t>s</w:t>
      </w:r>
      <w:r w:rsidR="0036151E">
        <w:rPr>
          <w:rFonts w:asciiTheme="minorHAnsi" w:hAnsiTheme="minorHAnsi" w:cstheme="minorHAnsi"/>
        </w:rPr>
        <w:t xml:space="preserve"> </w:t>
      </w:r>
      <w:r w:rsidR="002F27C3">
        <w:rPr>
          <w:rFonts w:asciiTheme="minorHAnsi" w:hAnsiTheme="minorHAnsi" w:cstheme="minorHAnsi"/>
        </w:rPr>
        <w:t xml:space="preserve">an </w:t>
      </w:r>
      <w:r w:rsidR="00E80B1E" w:rsidRPr="00310C52">
        <w:rPr>
          <w:rFonts w:asciiTheme="minorHAnsi" w:hAnsiTheme="minorHAnsi" w:cstheme="minorHAnsi"/>
        </w:rPr>
        <w:t xml:space="preserve">actual net </w:t>
      </w:r>
      <w:r w:rsidR="002F27C3">
        <w:rPr>
          <w:rFonts w:asciiTheme="minorHAnsi" w:hAnsiTheme="minorHAnsi" w:cstheme="minorHAnsi"/>
        </w:rPr>
        <w:t>loss</w:t>
      </w:r>
      <w:r w:rsidR="00765650">
        <w:rPr>
          <w:rFonts w:asciiTheme="minorHAnsi" w:hAnsiTheme="minorHAnsi" w:cstheme="minorHAnsi"/>
        </w:rPr>
        <w:t xml:space="preserve"> </w:t>
      </w:r>
      <w:r w:rsidR="0036151E">
        <w:rPr>
          <w:rFonts w:asciiTheme="minorHAnsi" w:hAnsiTheme="minorHAnsi" w:cstheme="minorHAnsi"/>
        </w:rPr>
        <w:t>of $</w:t>
      </w:r>
      <w:r w:rsidR="002F27C3">
        <w:rPr>
          <w:rFonts w:asciiTheme="minorHAnsi" w:hAnsiTheme="minorHAnsi" w:cstheme="minorHAnsi"/>
        </w:rPr>
        <w:t>68,631</w:t>
      </w:r>
      <w:r w:rsidR="00765650">
        <w:rPr>
          <w:rFonts w:asciiTheme="minorHAnsi" w:hAnsiTheme="minorHAnsi" w:cstheme="minorHAnsi"/>
        </w:rPr>
        <w:t>,</w:t>
      </w:r>
      <w:r w:rsidR="00E80B1E" w:rsidRPr="00310C52">
        <w:rPr>
          <w:rFonts w:asciiTheme="minorHAnsi" w:hAnsiTheme="minorHAnsi" w:cstheme="minorHAnsi"/>
        </w:rPr>
        <w:t xml:space="preserve"> compared to a budget </w:t>
      </w:r>
      <w:r w:rsidR="0036151E">
        <w:rPr>
          <w:rFonts w:asciiTheme="minorHAnsi" w:hAnsiTheme="minorHAnsi" w:cstheme="minorHAnsi"/>
        </w:rPr>
        <w:t xml:space="preserve">net </w:t>
      </w:r>
      <w:r w:rsidR="00765650">
        <w:rPr>
          <w:rFonts w:asciiTheme="minorHAnsi" w:hAnsiTheme="minorHAnsi" w:cstheme="minorHAnsi"/>
        </w:rPr>
        <w:t xml:space="preserve">loss </w:t>
      </w:r>
      <w:r w:rsidR="0036151E">
        <w:rPr>
          <w:rFonts w:asciiTheme="minorHAnsi" w:hAnsiTheme="minorHAnsi" w:cstheme="minorHAnsi"/>
        </w:rPr>
        <w:t>of</w:t>
      </w:r>
      <w:r w:rsidR="00E80B1E" w:rsidRPr="00310C52">
        <w:rPr>
          <w:rFonts w:asciiTheme="minorHAnsi" w:hAnsiTheme="minorHAnsi" w:cstheme="minorHAnsi"/>
        </w:rPr>
        <w:t xml:space="preserve"> $</w:t>
      </w:r>
      <w:r w:rsidR="002F27C3">
        <w:rPr>
          <w:rFonts w:asciiTheme="minorHAnsi" w:hAnsiTheme="minorHAnsi" w:cstheme="minorHAnsi"/>
        </w:rPr>
        <w:t>420,918</w:t>
      </w:r>
      <w:r w:rsidR="00E80B1E" w:rsidRPr="00310C52">
        <w:rPr>
          <w:rFonts w:asciiTheme="minorHAnsi" w:hAnsiTheme="minorHAnsi" w:cstheme="minorHAnsi"/>
        </w:rPr>
        <w:t xml:space="preserve">. </w:t>
      </w:r>
      <w:r w:rsidR="0036151E">
        <w:rPr>
          <w:rFonts w:asciiTheme="minorHAnsi" w:hAnsiTheme="minorHAnsi" w:cstheme="minorHAnsi"/>
        </w:rPr>
        <w:t>(FY21 is a non-conference year for PLA, so</w:t>
      </w:r>
      <w:r w:rsidR="00874050">
        <w:rPr>
          <w:rFonts w:asciiTheme="minorHAnsi" w:hAnsiTheme="minorHAnsi" w:cstheme="minorHAnsi"/>
        </w:rPr>
        <w:t xml:space="preserve"> </w:t>
      </w:r>
      <w:r w:rsidR="00E85518">
        <w:rPr>
          <w:rFonts w:asciiTheme="minorHAnsi" w:hAnsiTheme="minorHAnsi" w:cstheme="minorHAnsi"/>
        </w:rPr>
        <w:t>PLA</w:t>
      </w:r>
      <w:r w:rsidR="00874050">
        <w:rPr>
          <w:rFonts w:asciiTheme="minorHAnsi" w:hAnsiTheme="minorHAnsi" w:cstheme="minorHAnsi"/>
        </w:rPr>
        <w:t xml:space="preserve"> is budgeted for a total net </w:t>
      </w:r>
      <w:r w:rsidR="00765650">
        <w:rPr>
          <w:rFonts w:asciiTheme="minorHAnsi" w:hAnsiTheme="minorHAnsi" w:cstheme="minorHAnsi"/>
        </w:rPr>
        <w:t>loss</w:t>
      </w:r>
      <w:r w:rsidR="00874050">
        <w:rPr>
          <w:rFonts w:asciiTheme="minorHAnsi" w:hAnsiTheme="minorHAnsi" w:cstheme="minorHAnsi"/>
        </w:rPr>
        <w:t xml:space="preserve"> of </w:t>
      </w:r>
      <w:r w:rsidR="002F27C3">
        <w:rPr>
          <w:rFonts w:asciiTheme="minorHAnsi" w:hAnsiTheme="minorHAnsi" w:cstheme="minorHAnsi"/>
        </w:rPr>
        <w:t xml:space="preserve">about </w:t>
      </w:r>
      <w:r w:rsidR="00874050">
        <w:rPr>
          <w:rFonts w:asciiTheme="minorHAnsi" w:hAnsiTheme="minorHAnsi" w:cstheme="minorHAnsi"/>
        </w:rPr>
        <w:t>$5</w:t>
      </w:r>
      <w:r w:rsidR="00B33780">
        <w:rPr>
          <w:rFonts w:asciiTheme="minorHAnsi" w:hAnsiTheme="minorHAnsi" w:cstheme="minorHAnsi"/>
        </w:rPr>
        <w:t>30</w:t>
      </w:r>
      <w:r w:rsidR="00874050">
        <w:rPr>
          <w:rFonts w:asciiTheme="minorHAnsi" w:hAnsiTheme="minorHAnsi" w:cstheme="minorHAnsi"/>
        </w:rPr>
        <w:t>,</w:t>
      </w:r>
      <w:r w:rsidR="002F27C3">
        <w:rPr>
          <w:rFonts w:asciiTheme="minorHAnsi" w:hAnsiTheme="minorHAnsi" w:cstheme="minorHAnsi"/>
        </w:rPr>
        <w:t>000</w:t>
      </w:r>
      <w:r w:rsidR="00874050">
        <w:rPr>
          <w:rFonts w:asciiTheme="minorHAnsi" w:hAnsiTheme="minorHAnsi" w:cstheme="minorHAnsi"/>
        </w:rPr>
        <w:t>.)</w:t>
      </w:r>
      <w:r w:rsidR="00051D01">
        <w:rPr>
          <w:rFonts w:asciiTheme="minorHAnsi" w:hAnsiTheme="minorHAnsi" w:cstheme="minorHAnsi"/>
        </w:rPr>
        <w:t xml:space="preserve"> </w:t>
      </w:r>
      <w:r w:rsidR="002F27C3">
        <w:rPr>
          <w:rFonts w:asciiTheme="minorHAnsi" w:hAnsiTheme="minorHAnsi" w:cstheme="minorHAnsi"/>
        </w:rPr>
        <w:t xml:space="preserve">With only three months of the fiscal year remaining, PLA is expected to stay well below the budgeted loss for </w:t>
      </w:r>
      <w:proofErr w:type="gramStart"/>
      <w:r w:rsidR="002F27C3">
        <w:rPr>
          <w:rFonts w:asciiTheme="minorHAnsi" w:hAnsiTheme="minorHAnsi" w:cstheme="minorHAnsi"/>
        </w:rPr>
        <w:t>all of</w:t>
      </w:r>
      <w:proofErr w:type="gramEnd"/>
      <w:r w:rsidR="002F27C3">
        <w:rPr>
          <w:rFonts w:asciiTheme="minorHAnsi" w:hAnsiTheme="minorHAnsi" w:cstheme="minorHAnsi"/>
        </w:rPr>
        <w:t xml:space="preserve"> FY21. </w:t>
      </w:r>
      <w:r w:rsidR="00051D01">
        <w:rPr>
          <w:rFonts w:asciiTheme="minorHAnsi" w:hAnsiTheme="minorHAnsi" w:cstheme="minorHAnsi"/>
        </w:rPr>
        <w:t>This favorable position</w:t>
      </w:r>
      <w:r w:rsidR="00386212">
        <w:rPr>
          <w:rFonts w:asciiTheme="minorHAnsi" w:hAnsiTheme="minorHAnsi" w:cstheme="minorHAnsi"/>
        </w:rPr>
        <w:t xml:space="preserve"> </w:t>
      </w:r>
      <w:r w:rsidR="00051D01">
        <w:rPr>
          <w:rFonts w:asciiTheme="minorHAnsi" w:hAnsiTheme="minorHAnsi" w:cstheme="minorHAnsi"/>
        </w:rPr>
        <w:t xml:space="preserve">is </w:t>
      </w:r>
      <w:r w:rsidR="00386212">
        <w:rPr>
          <w:rFonts w:asciiTheme="minorHAnsi" w:hAnsiTheme="minorHAnsi" w:cstheme="minorHAnsi"/>
        </w:rPr>
        <w:t>due to the following:</w:t>
      </w:r>
    </w:p>
    <w:p w14:paraId="63090A06" w14:textId="77777777" w:rsidR="00386212" w:rsidRDefault="00386212" w:rsidP="00C4715C">
      <w:pPr>
        <w:rPr>
          <w:rFonts w:asciiTheme="minorHAnsi" w:hAnsiTheme="minorHAnsi" w:cstheme="minorHAnsi"/>
        </w:rPr>
      </w:pPr>
    </w:p>
    <w:p w14:paraId="392E62DE" w14:textId="5BAB170F" w:rsidR="00386212" w:rsidRPr="001906E9" w:rsidRDefault="00386212" w:rsidP="00386212">
      <w:pPr>
        <w:pStyle w:val="ListParagraph"/>
        <w:numPr>
          <w:ilvl w:val="0"/>
          <w:numId w:val="10"/>
        </w:numPr>
        <w:rPr>
          <w:rFonts w:asciiTheme="minorHAnsi" w:hAnsiTheme="minorHAnsi" w:cstheme="minorHAnsi"/>
          <w:u w:val="single"/>
        </w:rPr>
      </w:pPr>
      <w:proofErr w:type="gramStart"/>
      <w:r>
        <w:rPr>
          <w:rFonts w:asciiTheme="minorHAnsi" w:hAnsiTheme="minorHAnsi" w:cstheme="minorHAnsi"/>
        </w:rPr>
        <w:t>D</w:t>
      </w:r>
      <w:r w:rsidR="004A2B57" w:rsidRPr="00386212">
        <w:rPr>
          <w:rFonts w:asciiTheme="minorHAnsi" w:hAnsiTheme="minorHAnsi" w:cstheme="minorHAnsi"/>
        </w:rPr>
        <w:t>ues</w:t>
      </w:r>
      <w:proofErr w:type="gramEnd"/>
      <w:r w:rsidR="004A2B57" w:rsidRPr="00386212">
        <w:rPr>
          <w:rFonts w:asciiTheme="minorHAnsi" w:hAnsiTheme="minorHAnsi" w:cstheme="minorHAnsi"/>
        </w:rPr>
        <w:t xml:space="preserve"> income </w:t>
      </w:r>
      <w:r w:rsidR="002F27C3">
        <w:rPr>
          <w:rFonts w:asciiTheme="minorHAnsi" w:hAnsiTheme="minorHAnsi" w:cstheme="minorHAnsi"/>
        </w:rPr>
        <w:t>continue</w:t>
      </w:r>
      <w:r>
        <w:rPr>
          <w:rFonts w:asciiTheme="minorHAnsi" w:hAnsiTheme="minorHAnsi" w:cstheme="minorHAnsi"/>
        </w:rPr>
        <w:t xml:space="preserve">s </w:t>
      </w:r>
      <w:r w:rsidR="002F27C3">
        <w:rPr>
          <w:rFonts w:asciiTheme="minorHAnsi" w:hAnsiTheme="minorHAnsi" w:cstheme="minorHAnsi"/>
        </w:rPr>
        <w:t>to exceed</w:t>
      </w:r>
      <w:r w:rsidR="004A2B57" w:rsidRPr="00386212">
        <w:rPr>
          <w:rFonts w:asciiTheme="minorHAnsi" w:hAnsiTheme="minorHAnsi" w:cstheme="minorHAnsi"/>
        </w:rPr>
        <w:t xml:space="preserve"> budget </w:t>
      </w:r>
      <w:r>
        <w:rPr>
          <w:rFonts w:asciiTheme="minorHAnsi" w:hAnsiTheme="minorHAnsi" w:cstheme="minorHAnsi"/>
        </w:rPr>
        <w:t xml:space="preserve">substantially. </w:t>
      </w:r>
      <w:proofErr w:type="gramStart"/>
      <w:r>
        <w:rPr>
          <w:rFonts w:asciiTheme="minorHAnsi" w:hAnsiTheme="minorHAnsi" w:cstheme="minorHAnsi"/>
        </w:rPr>
        <w:t>Dues</w:t>
      </w:r>
      <w:proofErr w:type="gramEnd"/>
      <w:r w:rsidRPr="00415C44">
        <w:rPr>
          <w:rFonts w:asciiTheme="minorHAnsi" w:hAnsiTheme="minorHAnsi" w:cstheme="minorHAnsi"/>
        </w:rPr>
        <w:t xml:space="preserve"> revenue </w:t>
      </w:r>
      <w:r>
        <w:rPr>
          <w:rFonts w:asciiTheme="minorHAnsi" w:hAnsiTheme="minorHAnsi" w:cstheme="minorHAnsi"/>
        </w:rPr>
        <w:t xml:space="preserve">was exactly on target as of </w:t>
      </w:r>
      <w:r w:rsidR="0017455D">
        <w:rPr>
          <w:rFonts w:asciiTheme="minorHAnsi" w:hAnsiTheme="minorHAnsi" w:cstheme="minorHAnsi"/>
        </w:rPr>
        <w:t>Q1</w:t>
      </w:r>
      <w:r w:rsidR="002F27C3">
        <w:rPr>
          <w:rFonts w:asciiTheme="minorHAnsi" w:hAnsiTheme="minorHAnsi" w:cstheme="minorHAnsi"/>
        </w:rPr>
        <w:t>, and about</w:t>
      </w:r>
      <w:r>
        <w:rPr>
          <w:rFonts w:asciiTheme="minorHAnsi" w:hAnsiTheme="minorHAnsi" w:cstheme="minorHAnsi"/>
        </w:rPr>
        <w:t xml:space="preserve"> one-third</w:t>
      </w:r>
      <w:r w:rsidR="002F27C3">
        <w:rPr>
          <w:rFonts w:asciiTheme="minorHAnsi" w:hAnsiTheme="minorHAnsi" w:cstheme="minorHAnsi"/>
        </w:rPr>
        <w:t xml:space="preserve"> </w:t>
      </w:r>
      <w:r w:rsidR="002F27C3">
        <w:rPr>
          <w:rFonts w:asciiTheme="minorHAnsi" w:hAnsiTheme="minorHAnsi" w:cstheme="minorHAnsi"/>
          <w:i/>
          <w:iCs/>
        </w:rPr>
        <w:t xml:space="preserve">over </w:t>
      </w:r>
      <w:r w:rsidR="002F27C3">
        <w:rPr>
          <w:rFonts w:asciiTheme="minorHAnsi" w:hAnsiTheme="minorHAnsi" w:cstheme="minorHAnsi"/>
        </w:rPr>
        <w:t xml:space="preserve">budget as of </w:t>
      </w:r>
      <w:r w:rsidR="0017455D">
        <w:rPr>
          <w:rFonts w:asciiTheme="minorHAnsi" w:hAnsiTheme="minorHAnsi" w:cstheme="minorHAnsi"/>
        </w:rPr>
        <w:t>Q2</w:t>
      </w:r>
      <w:r w:rsidR="0088427A">
        <w:rPr>
          <w:rFonts w:asciiTheme="minorHAnsi" w:hAnsiTheme="minorHAnsi" w:cstheme="minorHAnsi"/>
        </w:rPr>
        <w:t xml:space="preserve"> and Q3</w:t>
      </w:r>
      <w:r w:rsidR="002F27C3">
        <w:rPr>
          <w:rFonts w:asciiTheme="minorHAnsi" w:hAnsiTheme="minorHAnsi" w:cstheme="minorHAnsi"/>
        </w:rPr>
        <w:t xml:space="preserve">. For </w:t>
      </w:r>
      <w:r w:rsidR="0017455D">
        <w:rPr>
          <w:rFonts w:asciiTheme="minorHAnsi" w:hAnsiTheme="minorHAnsi" w:cstheme="minorHAnsi"/>
        </w:rPr>
        <w:t>Q3</w:t>
      </w:r>
      <w:r w:rsidR="002F27C3">
        <w:rPr>
          <w:rFonts w:asciiTheme="minorHAnsi" w:hAnsiTheme="minorHAnsi" w:cstheme="minorHAnsi"/>
        </w:rPr>
        <w:t xml:space="preserve">, PLA is 36% over budget, with actual dues revenue of $395,762 compared to budget revenue of $290,400. As noted previously, </w:t>
      </w:r>
      <w:r>
        <w:rPr>
          <w:rFonts w:asciiTheme="minorHAnsi" w:hAnsiTheme="minorHAnsi" w:cstheme="minorHAnsi"/>
        </w:rPr>
        <w:t xml:space="preserve">ALA divisions budgeted dues income at about 2/3 of a normal year, anticipating that the COVID-19 </w:t>
      </w:r>
      <w:r>
        <w:rPr>
          <w:rFonts w:asciiTheme="minorHAnsi" w:hAnsiTheme="minorHAnsi" w:cstheme="minorHAnsi"/>
        </w:rPr>
        <w:lastRenderedPageBreak/>
        <w:t xml:space="preserve">pandemic and other factors would reduce membership. While a normal non-conference year might </w:t>
      </w:r>
      <w:r w:rsidR="00E85518">
        <w:rPr>
          <w:rFonts w:asciiTheme="minorHAnsi" w:hAnsiTheme="minorHAnsi" w:cstheme="minorHAnsi"/>
        </w:rPr>
        <w:t>yield</w:t>
      </w:r>
      <w:r>
        <w:rPr>
          <w:rFonts w:asciiTheme="minorHAnsi" w:hAnsiTheme="minorHAnsi" w:cstheme="minorHAnsi"/>
        </w:rPr>
        <w:t xml:space="preserve"> $550,000 in PLA member dues, only $387,200 was budgeted. At the current rate, PLA is likely to see dues </w:t>
      </w:r>
      <w:r w:rsidR="002F27C3">
        <w:rPr>
          <w:rFonts w:asciiTheme="minorHAnsi" w:hAnsiTheme="minorHAnsi" w:cstheme="minorHAnsi"/>
        </w:rPr>
        <w:t>between $510,000 and $530,000, which is lower than usual but not nearly as low as budgeted</w:t>
      </w:r>
      <w:r>
        <w:rPr>
          <w:rFonts w:asciiTheme="minorHAnsi" w:hAnsiTheme="minorHAnsi" w:cstheme="minorHAnsi"/>
        </w:rPr>
        <w:t>.</w:t>
      </w:r>
    </w:p>
    <w:p w14:paraId="1D575885" w14:textId="4393B364" w:rsidR="00386212" w:rsidRPr="00386212" w:rsidRDefault="00386212" w:rsidP="00386212">
      <w:pPr>
        <w:rPr>
          <w:rFonts w:asciiTheme="minorHAnsi" w:hAnsiTheme="minorHAnsi" w:cstheme="minorHAnsi"/>
        </w:rPr>
      </w:pPr>
    </w:p>
    <w:p w14:paraId="414CE4FA" w14:textId="6A61DD4F" w:rsidR="0077529F" w:rsidRDefault="00386212" w:rsidP="0017455D">
      <w:pPr>
        <w:pStyle w:val="ListParagraph"/>
        <w:numPr>
          <w:ilvl w:val="0"/>
          <w:numId w:val="10"/>
        </w:numPr>
        <w:rPr>
          <w:rFonts w:asciiTheme="minorHAnsi" w:hAnsiTheme="minorHAnsi" w:cstheme="minorHAnsi"/>
        </w:rPr>
      </w:pPr>
      <w:r>
        <w:rPr>
          <w:rFonts w:asciiTheme="minorHAnsi" w:hAnsiTheme="minorHAnsi" w:cstheme="minorHAnsi"/>
        </w:rPr>
        <w:t xml:space="preserve">PLA’s paid webinars </w:t>
      </w:r>
      <w:r w:rsidR="002F27C3">
        <w:rPr>
          <w:rFonts w:asciiTheme="minorHAnsi" w:hAnsiTheme="minorHAnsi" w:cstheme="minorHAnsi"/>
        </w:rPr>
        <w:t>have generated $55,621 in revenue</w:t>
      </w:r>
      <w:r>
        <w:rPr>
          <w:rFonts w:asciiTheme="minorHAnsi" w:hAnsiTheme="minorHAnsi" w:cstheme="minorHAnsi"/>
        </w:rPr>
        <w:t xml:space="preserve"> against budgeted revenue of $</w:t>
      </w:r>
      <w:r w:rsidR="002F27C3">
        <w:rPr>
          <w:rFonts w:asciiTheme="minorHAnsi" w:hAnsiTheme="minorHAnsi" w:cstheme="minorHAnsi"/>
        </w:rPr>
        <w:t>37,500</w:t>
      </w:r>
      <w:r>
        <w:rPr>
          <w:rFonts w:asciiTheme="minorHAnsi" w:hAnsiTheme="minorHAnsi" w:cstheme="minorHAnsi"/>
        </w:rPr>
        <w:t xml:space="preserve">. </w:t>
      </w:r>
      <w:r w:rsidRPr="0017455D">
        <w:rPr>
          <w:rFonts w:asciiTheme="minorHAnsi" w:hAnsiTheme="minorHAnsi" w:cstheme="minorHAnsi"/>
        </w:rPr>
        <w:t xml:space="preserve">On top of that, PLA received a </w:t>
      </w:r>
      <w:r w:rsidR="00F055C8" w:rsidRPr="0017455D">
        <w:rPr>
          <w:rFonts w:asciiTheme="minorHAnsi" w:hAnsiTheme="minorHAnsi" w:cstheme="minorHAnsi"/>
        </w:rPr>
        <w:t xml:space="preserve">$100,000 fund transfer </w:t>
      </w:r>
      <w:r w:rsidRPr="0017455D">
        <w:rPr>
          <w:rFonts w:asciiTheme="minorHAnsi" w:hAnsiTheme="minorHAnsi" w:cstheme="minorHAnsi"/>
        </w:rPr>
        <w:t xml:space="preserve">from the Washington Office </w:t>
      </w:r>
      <w:r w:rsidR="00F055C8" w:rsidRPr="0017455D">
        <w:rPr>
          <w:rFonts w:asciiTheme="minorHAnsi" w:hAnsiTheme="minorHAnsi" w:cstheme="minorHAnsi"/>
        </w:rPr>
        <w:t>to underwrite PLA’s census data literacy project work</w:t>
      </w:r>
      <w:r w:rsidRPr="0017455D">
        <w:rPr>
          <w:rFonts w:asciiTheme="minorHAnsi" w:hAnsiTheme="minorHAnsi" w:cstheme="minorHAnsi"/>
        </w:rPr>
        <w:t xml:space="preserve">, credited to PLA’s Web CE account (because most activity will be webinars). </w:t>
      </w:r>
    </w:p>
    <w:p w14:paraId="4B35725C" w14:textId="77777777" w:rsidR="0017455D" w:rsidRPr="0017455D" w:rsidRDefault="0017455D" w:rsidP="0017455D">
      <w:pPr>
        <w:pStyle w:val="ListParagraph"/>
        <w:rPr>
          <w:rFonts w:asciiTheme="minorHAnsi" w:hAnsiTheme="minorHAnsi" w:cstheme="minorHAnsi"/>
        </w:rPr>
      </w:pPr>
    </w:p>
    <w:p w14:paraId="6FD59A76" w14:textId="77777777" w:rsidR="0017455D" w:rsidRPr="0017455D" w:rsidRDefault="00CD716D" w:rsidP="00CD716D">
      <w:pPr>
        <w:pStyle w:val="ListParagraph"/>
        <w:numPr>
          <w:ilvl w:val="0"/>
          <w:numId w:val="10"/>
        </w:numPr>
        <w:rPr>
          <w:rFonts w:asciiTheme="minorHAnsi" w:hAnsiTheme="minorHAnsi" w:cstheme="minorHAnsi"/>
          <w:u w:val="single"/>
        </w:rPr>
      </w:pPr>
      <w:r>
        <w:rPr>
          <w:rFonts w:asciiTheme="minorHAnsi" w:hAnsiTheme="minorHAnsi" w:cstheme="minorHAnsi"/>
        </w:rPr>
        <w:t>Live p</w:t>
      </w:r>
      <w:r w:rsidRPr="00B54D65">
        <w:rPr>
          <w:rFonts w:asciiTheme="minorHAnsi" w:hAnsiTheme="minorHAnsi" w:cstheme="minorHAnsi"/>
        </w:rPr>
        <w:t xml:space="preserve">rofessional development activities </w:t>
      </w:r>
      <w:r>
        <w:rPr>
          <w:rFonts w:asciiTheme="minorHAnsi" w:hAnsiTheme="minorHAnsi" w:cstheme="minorHAnsi"/>
        </w:rPr>
        <w:t xml:space="preserve">were </w:t>
      </w:r>
      <w:r w:rsidRPr="00B54D65">
        <w:rPr>
          <w:rFonts w:asciiTheme="minorHAnsi" w:hAnsiTheme="minorHAnsi" w:cstheme="minorHAnsi"/>
        </w:rPr>
        <w:t xml:space="preserve">optimistically budgeted </w:t>
      </w:r>
      <w:r>
        <w:rPr>
          <w:rFonts w:asciiTheme="minorHAnsi" w:hAnsiTheme="minorHAnsi" w:cstheme="minorHAnsi"/>
        </w:rPr>
        <w:t>for</w:t>
      </w:r>
      <w:r w:rsidRPr="00B54D65">
        <w:rPr>
          <w:rFonts w:asciiTheme="minorHAnsi" w:hAnsiTheme="minorHAnsi" w:cstheme="minorHAnsi"/>
        </w:rPr>
        <w:t xml:space="preserve"> FY21</w:t>
      </w:r>
      <w:r>
        <w:rPr>
          <w:rFonts w:asciiTheme="minorHAnsi" w:hAnsiTheme="minorHAnsi" w:cstheme="minorHAnsi"/>
        </w:rPr>
        <w:t xml:space="preserve">, and they will not be held.  These include space planning, Equity Starts with Us, and Project Outcome trainings. Since these events are not being held, expenses have been minimal, </w:t>
      </w:r>
      <w:r w:rsidR="0017455D">
        <w:rPr>
          <w:rFonts w:asciiTheme="minorHAnsi" w:hAnsiTheme="minorHAnsi" w:cstheme="minorHAnsi"/>
        </w:rPr>
        <w:t>and two virtual programs have helped generate missing revenue for PLA.</w:t>
      </w:r>
    </w:p>
    <w:p w14:paraId="410F3687" w14:textId="2D445DEA" w:rsidR="0017455D" w:rsidRPr="0017455D" w:rsidRDefault="00CD716D" w:rsidP="0017455D">
      <w:pPr>
        <w:pStyle w:val="ListParagraph"/>
        <w:numPr>
          <w:ilvl w:val="1"/>
          <w:numId w:val="10"/>
        </w:numPr>
        <w:rPr>
          <w:rFonts w:asciiTheme="minorHAnsi" w:hAnsiTheme="minorHAnsi" w:cstheme="minorHAnsi"/>
          <w:u w:val="single"/>
        </w:rPr>
      </w:pPr>
      <w:r>
        <w:rPr>
          <w:rFonts w:asciiTheme="minorHAnsi" w:hAnsiTheme="minorHAnsi" w:cstheme="minorHAnsi"/>
        </w:rPr>
        <w:t xml:space="preserve"> </w:t>
      </w:r>
      <w:r w:rsidR="0017455D">
        <w:rPr>
          <w:rFonts w:asciiTheme="minorHAnsi" w:hAnsiTheme="minorHAnsi" w:cstheme="minorHAnsi"/>
        </w:rPr>
        <w:t>T</w:t>
      </w:r>
      <w:r>
        <w:rPr>
          <w:rFonts w:asciiTheme="minorHAnsi" w:hAnsiTheme="minorHAnsi" w:cstheme="minorHAnsi"/>
        </w:rPr>
        <w:t xml:space="preserve">he new </w:t>
      </w:r>
      <w:r w:rsidR="007542ED">
        <w:rPr>
          <w:rFonts w:asciiTheme="minorHAnsi" w:hAnsiTheme="minorHAnsi" w:cstheme="minorHAnsi"/>
        </w:rPr>
        <w:t xml:space="preserve">EDISJ </w:t>
      </w:r>
      <w:r>
        <w:rPr>
          <w:rFonts w:asciiTheme="minorHAnsi" w:hAnsiTheme="minorHAnsi" w:cstheme="minorHAnsi"/>
        </w:rPr>
        <w:t>Leadership Lab series</w:t>
      </w:r>
      <w:r w:rsidR="007542ED">
        <w:rPr>
          <w:rFonts w:asciiTheme="minorHAnsi" w:hAnsiTheme="minorHAnsi" w:cstheme="minorHAnsi"/>
        </w:rPr>
        <w:t>,</w:t>
      </w:r>
      <w:r>
        <w:rPr>
          <w:rFonts w:asciiTheme="minorHAnsi" w:hAnsiTheme="minorHAnsi" w:cstheme="minorHAnsi"/>
        </w:rPr>
        <w:t xml:space="preserve"> </w:t>
      </w:r>
      <w:r w:rsidR="0017455D">
        <w:rPr>
          <w:rFonts w:asciiTheme="minorHAnsi" w:hAnsiTheme="minorHAnsi" w:cstheme="minorHAnsi"/>
        </w:rPr>
        <w:t xml:space="preserve">offered </w:t>
      </w:r>
      <w:r>
        <w:rPr>
          <w:rFonts w:asciiTheme="minorHAnsi" w:hAnsiTheme="minorHAnsi" w:cstheme="minorHAnsi"/>
        </w:rPr>
        <w:t>virtually</w:t>
      </w:r>
      <w:r w:rsidR="0017455D">
        <w:rPr>
          <w:rFonts w:asciiTheme="minorHAnsi" w:hAnsiTheme="minorHAnsi" w:cstheme="minorHAnsi"/>
        </w:rPr>
        <w:t>,</w:t>
      </w:r>
      <w:r>
        <w:rPr>
          <w:rFonts w:asciiTheme="minorHAnsi" w:hAnsiTheme="minorHAnsi" w:cstheme="minorHAnsi"/>
        </w:rPr>
        <w:t xml:space="preserve"> </w:t>
      </w:r>
      <w:r w:rsidR="0017455D">
        <w:rPr>
          <w:rFonts w:asciiTheme="minorHAnsi" w:hAnsiTheme="minorHAnsi" w:cstheme="minorHAnsi"/>
        </w:rPr>
        <w:t xml:space="preserve">generated about $42,765 in revenue, nearly hitting the revenue target for the live EDISJ trainings, which was $50,000. Due to lower expenses, however, the net stands at $30,219, which is double the budgeted net of $15,172. </w:t>
      </w:r>
    </w:p>
    <w:p w14:paraId="324A2AFA" w14:textId="479BBDB9" w:rsidR="0017455D" w:rsidRPr="0017455D" w:rsidRDefault="0017455D" w:rsidP="0017455D">
      <w:pPr>
        <w:pStyle w:val="ListParagraph"/>
        <w:numPr>
          <w:ilvl w:val="1"/>
          <w:numId w:val="10"/>
        </w:numPr>
        <w:rPr>
          <w:rFonts w:asciiTheme="minorHAnsi" w:hAnsiTheme="minorHAnsi" w:cstheme="minorHAnsi"/>
          <w:u w:val="single"/>
        </w:rPr>
      </w:pPr>
      <w:r>
        <w:rPr>
          <w:rFonts w:asciiTheme="minorHAnsi" w:hAnsiTheme="minorHAnsi" w:cstheme="minorHAnsi"/>
        </w:rPr>
        <w:t>The Advancing Family Engagement virtual classroom series is exactly on target for FY21, with $18,600 in revenue from its second cohort. The third cohort starting in September 2021 is budgeted for an additional $18,000 in revenue but will exceed this goal, because PLA has registered nearly 100 participants instead of about 60 as before. The increase in revenue will show up in August 2021 reports and is difficult to predict due to variation in member, nonmember, and group rates.</w:t>
      </w:r>
    </w:p>
    <w:p w14:paraId="32D3B63F" w14:textId="7B8B83BF" w:rsidR="0017455D" w:rsidRPr="0017455D" w:rsidRDefault="0017455D" w:rsidP="0017455D">
      <w:pPr>
        <w:rPr>
          <w:rFonts w:asciiTheme="minorHAnsi" w:hAnsiTheme="minorHAnsi" w:cstheme="minorHAnsi"/>
          <w:u w:val="single"/>
        </w:rPr>
      </w:pPr>
      <w:r w:rsidRPr="0017455D">
        <w:rPr>
          <w:rFonts w:asciiTheme="minorHAnsi" w:hAnsiTheme="minorHAnsi" w:cstheme="minorHAnsi"/>
        </w:rPr>
        <w:t xml:space="preserve"> </w:t>
      </w:r>
    </w:p>
    <w:p w14:paraId="4821BF22" w14:textId="53248514" w:rsidR="0017455D" w:rsidRDefault="0017455D" w:rsidP="0017455D">
      <w:pPr>
        <w:pStyle w:val="ListParagraph"/>
        <w:numPr>
          <w:ilvl w:val="0"/>
          <w:numId w:val="10"/>
        </w:numPr>
        <w:rPr>
          <w:rFonts w:asciiTheme="minorHAnsi" w:hAnsiTheme="minorHAnsi" w:cstheme="minorHAnsi"/>
        </w:rPr>
      </w:pPr>
      <w:r>
        <w:rPr>
          <w:rFonts w:asciiTheme="minorHAnsi" w:hAnsiTheme="minorHAnsi" w:cstheme="minorHAnsi"/>
        </w:rPr>
        <w:t>As reported for Q2, p</w:t>
      </w:r>
      <w:r w:rsidR="00CD716D" w:rsidRPr="00CD716D">
        <w:rPr>
          <w:rFonts w:asciiTheme="minorHAnsi" w:hAnsiTheme="minorHAnsi" w:cstheme="minorHAnsi"/>
        </w:rPr>
        <w:t xml:space="preserve">ublication </w:t>
      </w:r>
      <w:r w:rsidR="00CD716D">
        <w:rPr>
          <w:rFonts w:asciiTheme="minorHAnsi" w:hAnsiTheme="minorHAnsi" w:cstheme="minorHAnsi"/>
        </w:rPr>
        <w:t>revenue is also a bright spot, with sales of general publications exceeding budgeted revenue ($</w:t>
      </w:r>
      <w:r>
        <w:rPr>
          <w:rFonts w:asciiTheme="minorHAnsi" w:hAnsiTheme="minorHAnsi" w:cstheme="minorHAnsi"/>
        </w:rPr>
        <w:t>23,744</w:t>
      </w:r>
      <w:r w:rsidR="00CD716D">
        <w:rPr>
          <w:rFonts w:asciiTheme="minorHAnsi" w:hAnsiTheme="minorHAnsi" w:cstheme="minorHAnsi"/>
        </w:rPr>
        <w:t xml:space="preserve"> </w:t>
      </w:r>
      <w:r>
        <w:rPr>
          <w:rFonts w:asciiTheme="minorHAnsi" w:hAnsiTheme="minorHAnsi" w:cstheme="minorHAnsi"/>
        </w:rPr>
        <w:t>vs $4,800</w:t>
      </w:r>
      <w:r w:rsidR="00CD716D">
        <w:rPr>
          <w:rFonts w:asciiTheme="minorHAnsi" w:hAnsiTheme="minorHAnsi" w:cstheme="minorHAnsi"/>
        </w:rPr>
        <w:t>) and the same with Every Child Ready to Read ($</w:t>
      </w:r>
      <w:r>
        <w:rPr>
          <w:rFonts w:asciiTheme="minorHAnsi" w:hAnsiTheme="minorHAnsi" w:cstheme="minorHAnsi"/>
        </w:rPr>
        <w:t>22,487 vs $3,375</w:t>
      </w:r>
      <w:r w:rsidR="00CD716D">
        <w:rPr>
          <w:rFonts w:asciiTheme="minorHAnsi" w:hAnsiTheme="minorHAnsi" w:cstheme="minorHAnsi"/>
        </w:rPr>
        <w:t>).</w:t>
      </w:r>
      <w:r>
        <w:rPr>
          <w:rFonts w:asciiTheme="minorHAnsi" w:hAnsiTheme="minorHAnsi" w:cstheme="minorHAnsi"/>
        </w:rPr>
        <w:t xml:space="preserve"> Factoring in expenses across both projects, net revenue as of Q3 is at $</w:t>
      </w:r>
      <w:r w:rsidR="00673A0F">
        <w:rPr>
          <w:rFonts w:asciiTheme="minorHAnsi" w:hAnsiTheme="minorHAnsi" w:cstheme="minorHAnsi"/>
        </w:rPr>
        <w:t>30,129</w:t>
      </w:r>
      <w:r>
        <w:rPr>
          <w:rFonts w:asciiTheme="minorHAnsi" w:hAnsiTheme="minorHAnsi" w:cstheme="minorHAnsi"/>
        </w:rPr>
        <w:t xml:space="preserve"> compared to budgeted net revenue of $</w:t>
      </w:r>
      <w:r w:rsidR="00673A0F">
        <w:rPr>
          <w:rFonts w:asciiTheme="minorHAnsi" w:hAnsiTheme="minorHAnsi" w:cstheme="minorHAnsi"/>
        </w:rPr>
        <w:t>1,282.</w:t>
      </w:r>
    </w:p>
    <w:p w14:paraId="5D3FDB40" w14:textId="77777777" w:rsidR="0017455D" w:rsidRPr="0017455D" w:rsidRDefault="0017455D" w:rsidP="0017455D">
      <w:pPr>
        <w:rPr>
          <w:rFonts w:asciiTheme="minorHAnsi" w:hAnsiTheme="minorHAnsi" w:cstheme="minorHAnsi"/>
        </w:rPr>
      </w:pPr>
    </w:p>
    <w:p w14:paraId="407D8407" w14:textId="03564B1C" w:rsidR="00E64785" w:rsidRDefault="00EB10C0" w:rsidP="00E64785">
      <w:pPr>
        <w:pStyle w:val="ListParagraph"/>
        <w:numPr>
          <w:ilvl w:val="0"/>
          <w:numId w:val="10"/>
        </w:numPr>
        <w:rPr>
          <w:rFonts w:asciiTheme="minorHAnsi" w:hAnsiTheme="minorHAnsi" w:cstheme="minorHAnsi"/>
        </w:rPr>
      </w:pPr>
      <w:r w:rsidRPr="00EB10C0">
        <w:rPr>
          <w:rFonts w:asciiTheme="minorHAnsi" w:hAnsiTheme="minorHAnsi" w:cstheme="minorHAnsi"/>
        </w:rPr>
        <w:t xml:space="preserve">PLA’s only active conference account, Conference Planning, </w:t>
      </w:r>
      <w:r w:rsidR="00673A0F">
        <w:rPr>
          <w:rFonts w:asciiTheme="minorHAnsi" w:hAnsiTheme="minorHAnsi" w:cstheme="minorHAnsi"/>
        </w:rPr>
        <w:t>is</w:t>
      </w:r>
      <w:r w:rsidRPr="00EB10C0">
        <w:rPr>
          <w:rFonts w:asciiTheme="minorHAnsi" w:hAnsiTheme="minorHAnsi" w:cstheme="minorHAnsi"/>
        </w:rPr>
        <w:t xml:space="preserve"> budgeted to spend $94,500 during FY21 </w:t>
      </w:r>
      <w:r>
        <w:rPr>
          <w:rFonts w:asciiTheme="minorHAnsi" w:hAnsiTheme="minorHAnsi" w:cstheme="minorHAnsi"/>
        </w:rPr>
        <w:t xml:space="preserve">on conference promotion, site visits, facility deposits and other “off year” expenses. As of </w:t>
      </w:r>
      <w:r w:rsidR="00673A0F">
        <w:rPr>
          <w:rFonts w:asciiTheme="minorHAnsi" w:hAnsiTheme="minorHAnsi" w:cstheme="minorHAnsi"/>
        </w:rPr>
        <w:t>May</w:t>
      </w:r>
      <w:r>
        <w:rPr>
          <w:rFonts w:asciiTheme="minorHAnsi" w:hAnsiTheme="minorHAnsi" w:cstheme="minorHAnsi"/>
        </w:rPr>
        <w:t xml:space="preserve"> 2021, only $</w:t>
      </w:r>
      <w:r w:rsidR="00673A0F">
        <w:rPr>
          <w:rFonts w:asciiTheme="minorHAnsi" w:hAnsiTheme="minorHAnsi" w:cstheme="minorHAnsi"/>
        </w:rPr>
        <w:t>36,038</w:t>
      </w:r>
      <w:r>
        <w:rPr>
          <w:rFonts w:asciiTheme="minorHAnsi" w:hAnsiTheme="minorHAnsi" w:cstheme="minorHAnsi"/>
        </w:rPr>
        <w:t xml:space="preserve"> had been spent, and it</w:t>
      </w:r>
      <w:r w:rsidR="00E2260D">
        <w:rPr>
          <w:rFonts w:asciiTheme="minorHAnsi" w:hAnsiTheme="minorHAnsi" w:cstheme="minorHAnsi"/>
        </w:rPr>
        <w:t xml:space="preserve"> is</w:t>
      </w:r>
      <w:r>
        <w:rPr>
          <w:rFonts w:asciiTheme="minorHAnsi" w:hAnsiTheme="minorHAnsi" w:cstheme="minorHAnsi"/>
        </w:rPr>
        <w:t xml:space="preserve"> projected this account will end </w:t>
      </w:r>
      <w:r w:rsidR="00673A0F">
        <w:rPr>
          <w:rFonts w:asciiTheme="minorHAnsi" w:hAnsiTheme="minorHAnsi" w:cstheme="minorHAnsi"/>
        </w:rPr>
        <w:t>with around half of</w:t>
      </w:r>
      <w:r>
        <w:rPr>
          <w:rFonts w:asciiTheme="minorHAnsi" w:hAnsiTheme="minorHAnsi" w:cstheme="minorHAnsi"/>
        </w:rPr>
        <w:t xml:space="preserve"> its budgeted </w:t>
      </w:r>
      <w:r w:rsidR="00E2260D">
        <w:rPr>
          <w:rFonts w:asciiTheme="minorHAnsi" w:hAnsiTheme="minorHAnsi" w:cstheme="minorHAnsi"/>
        </w:rPr>
        <w:t>expenses</w:t>
      </w:r>
      <w:r>
        <w:rPr>
          <w:rFonts w:asciiTheme="minorHAnsi" w:hAnsiTheme="minorHAnsi" w:cstheme="minorHAnsi"/>
        </w:rPr>
        <w:t>.</w:t>
      </w:r>
    </w:p>
    <w:p w14:paraId="3DD3AA0B" w14:textId="77777777" w:rsidR="00E64785" w:rsidRPr="00E64785" w:rsidRDefault="00E64785" w:rsidP="00E64785">
      <w:pPr>
        <w:pStyle w:val="ListParagraph"/>
        <w:rPr>
          <w:rFonts w:asciiTheme="minorHAnsi" w:hAnsiTheme="minorHAnsi" w:cstheme="minorHAnsi"/>
        </w:rPr>
      </w:pPr>
    </w:p>
    <w:p w14:paraId="208C34D6" w14:textId="08CA0BFF" w:rsidR="00E64785" w:rsidRPr="00E64785" w:rsidRDefault="00E64785" w:rsidP="00E64785">
      <w:pPr>
        <w:pStyle w:val="ListParagraph"/>
        <w:numPr>
          <w:ilvl w:val="0"/>
          <w:numId w:val="10"/>
        </w:numPr>
        <w:rPr>
          <w:rFonts w:asciiTheme="minorHAnsi" w:hAnsiTheme="minorHAnsi" w:cstheme="minorHAnsi"/>
        </w:rPr>
      </w:pPr>
      <w:r>
        <w:rPr>
          <w:rFonts w:asciiTheme="minorHAnsi" w:hAnsiTheme="minorHAnsi" w:cstheme="minorHAnsi"/>
        </w:rPr>
        <w:t xml:space="preserve">Other bright or potential bright spots include the Partners (fundraising) account, which has actual net revenue of $9,643 against budgeted net revenue of $3,275. </w:t>
      </w:r>
      <w:r w:rsidR="0088427A">
        <w:rPr>
          <w:rFonts w:asciiTheme="minorHAnsi" w:hAnsiTheme="minorHAnsi" w:cstheme="minorHAnsi"/>
        </w:rPr>
        <w:t>Also,</w:t>
      </w:r>
      <w:r>
        <w:rPr>
          <w:rFonts w:asciiTheme="minorHAnsi" w:hAnsiTheme="minorHAnsi" w:cstheme="minorHAnsi"/>
        </w:rPr>
        <w:t xml:space="preserve"> </w:t>
      </w:r>
      <w:proofErr w:type="spellStart"/>
      <w:r>
        <w:rPr>
          <w:rFonts w:asciiTheme="minorHAnsi" w:hAnsiTheme="minorHAnsi" w:cstheme="minorHAnsi"/>
        </w:rPr>
        <w:t>DigitalLearn</w:t>
      </w:r>
      <w:proofErr w:type="spellEnd"/>
      <w:r>
        <w:rPr>
          <w:rFonts w:asciiTheme="minorHAnsi" w:hAnsiTheme="minorHAnsi" w:cstheme="minorHAnsi"/>
        </w:rPr>
        <w:t xml:space="preserve"> is likely to show improvement in Q4; the project is budgeted to lose $83,008 due to ongoing course development and maintenance costs, but some of its contractor costs will be shifted to the new AT&amp;T grant project, and there are currently 3 library systems in the process of purchasing </w:t>
      </w:r>
      <w:proofErr w:type="spellStart"/>
      <w:r>
        <w:rPr>
          <w:rFonts w:asciiTheme="minorHAnsi" w:hAnsiTheme="minorHAnsi" w:cstheme="minorHAnsi"/>
        </w:rPr>
        <w:t>DigitalLearn</w:t>
      </w:r>
      <w:proofErr w:type="spellEnd"/>
      <w:r>
        <w:rPr>
          <w:rFonts w:asciiTheme="minorHAnsi" w:hAnsiTheme="minorHAnsi" w:cstheme="minorHAnsi"/>
        </w:rPr>
        <w:t xml:space="preserve"> subsites, for a potential $45,000 in additional revenue (which is likely to show up in FY22).</w:t>
      </w:r>
    </w:p>
    <w:p w14:paraId="6E6D9CF1" w14:textId="77777777" w:rsidR="00EB10C0" w:rsidRPr="00EB10C0" w:rsidRDefault="00EB10C0" w:rsidP="00EB10C0">
      <w:pPr>
        <w:rPr>
          <w:rFonts w:asciiTheme="minorHAnsi" w:hAnsiTheme="minorHAnsi" w:cstheme="minorHAnsi"/>
        </w:rPr>
      </w:pPr>
    </w:p>
    <w:p w14:paraId="0312D65C" w14:textId="4F30A4AD" w:rsidR="00415C44" w:rsidRDefault="00CD716D" w:rsidP="00415C44">
      <w:pPr>
        <w:rPr>
          <w:rFonts w:asciiTheme="minorHAnsi" w:hAnsiTheme="minorHAnsi" w:cstheme="minorHAnsi"/>
        </w:rPr>
      </w:pPr>
      <w:r w:rsidRPr="00CD716D">
        <w:rPr>
          <w:rFonts w:asciiTheme="minorHAnsi" w:hAnsiTheme="minorHAnsi" w:cstheme="minorHAnsi"/>
        </w:rPr>
        <w:lastRenderedPageBreak/>
        <w:t>Otherwise, s</w:t>
      </w:r>
      <w:r w:rsidR="001906E9" w:rsidRPr="00CD716D">
        <w:rPr>
          <w:rFonts w:asciiTheme="minorHAnsi" w:hAnsiTheme="minorHAnsi" w:cstheme="minorHAnsi"/>
        </w:rPr>
        <w:t xml:space="preserve">pending on administrative costs (staff, board management) </w:t>
      </w:r>
      <w:r w:rsidR="004A2B57" w:rsidRPr="00CD716D">
        <w:rPr>
          <w:rFonts w:asciiTheme="minorHAnsi" w:hAnsiTheme="minorHAnsi" w:cstheme="minorHAnsi"/>
        </w:rPr>
        <w:t>continues to be about 10% under budget</w:t>
      </w:r>
      <w:r w:rsidR="001906E9" w:rsidRPr="00CD716D">
        <w:rPr>
          <w:rFonts w:asciiTheme="minorHAnsi" w:hAnsiTheme="minorHAnsi" w:cstheme="minorHAnsi"/>
        </w:rPr>
        <w:t>.</w:t>
      </w:r>
      <w:r>
        <w:rPr>
          <w:rFonts w:asciiTheme="minorHAnsi" w:hAnsiTheme="minorHAnsi" w:cstheme="minorHAnsi"/>
        </w:rPr>
        <w:t xml:space="preserve"> Public Libraries </w:t>
      </w:r>
      <w:r w:rsidR="001906E9" w:rsidRPr="00CD716D">
        <w:rPr>
          <w:rFonts w:asciiTheme="minorHAnsi" w:hAnsiTheme="minorHAnsi" w:cstheme="minorHAnsi"/>
        </w:rPr>
        <w:t>magazine</w:t>
      </w:r>
      <w:r>
        <w:rPr>
          <w:rFonts w:asciiTheme="minorHAnsi" w:hAnsiTheme="minorHAnsi" w:cstheme="minorHAnsi"/>
        </w:rPr>
        <w:t>, projected to lose $</w:t>
      </w:r>
      <w:r w:rsidR="00E64785">
        <w:rPr>
          <w:rFonts w:asciiTheme="minorHAnsi" w:hAnsiTheme="minorHAnsi" w:cstheme="minorHAnsi"/>
        </w:rPr>
        <w:t>59,305</w:t>
      </w:r>
      <w:r>
        <w:rPr>
          <w:rFonts w:asciiTheme="minorHAnsi" w:hAnsiTheme="minorHAnsi" w:cstheme="minorHAnsi"/>
        </w:rPr>
        <w:t xml:space="preserve"> by mid-year, </w:t>
      </w:r>
      <w:r w:rsidR="00E64785">
        <w:rPr>
          <w:rFonts w:asciiTheme="minorHAnsi" w:hAnsiTheme="minorHAnsi" w:cstheme="minorHAnsi"/>
        </w:rPr>
        <w:t>is showing a loss of $38,648</w:t>
      </w:r>
      <w:r>
        <w:rPr>
          <w:rFonts w:asciiTheme="minorHAnsi" w:hAnsiTheme="minorHAnsi" w:cstheme="minorHAnsi"/>
        </w:rPr>
        <w:t xml:space="preserve"> to date </w:t>
      </w:r>
      <w:r w:rsidR="00E64785">
        <w:rPr>
          <w:rFonts w:asciiTheme="minorHAnsi" w:hAnsiTheme="minorHAnsi" w:cstheme="minorHAnsi"/>
        </w:rPr>
        <w:t>but may end closer to budget once expenses catch up</w:t>
      </w:r>
      <w:r>
        <w:rPr>
          <w:rFonts w:asciiTheme="minorHAnsi" w:hAnsiTheme="minorHAnsi" w:cstheme="minorHAnsi"/>
        </w:rPr>
        <w:t>.</w:t>
      </w:r>
    </w:p>
    <w:p w14:paraId="458E0FA1" w14:textId="77777777" w:rsidR="00295BA6" w:rsidRDefault="00295BA6" w:rsidP="00F105A0">
      <w:pPr>
        <w:rPr>
          <w:rFonts w:asciiTheme="minorHAnsi" w:hAnsiTheme="minorHAnsi" w:cstheme="minorHAnsi"/>
        </w:rPr>
      </w:pPr>
    </w:p>
    <w:p w14:paraId="25B964BD" w14:textId="77777777" w:rsidR="00295BA6" w:rsidRDefault="00295BA6" w:rsidP="00F105A0">
      <w:pPr>
        <w:rPr>
          <w:rFonts w:asciiTheme="minorHAnsi" w:hAnsiTheme="minorHAnsi" w:cstheme="minorHAnsi"/>
        </w:rPr>
      </w:pPr>
    </w:p>
    <w:p w14:paraId="416FFB1B" w14:textId="5C4CC8BE" w:rsidR="00F105A0" w:rsidRDefault="00F105A0" w:rsidP="00F105A0">
      <w:pPr>
        <w:rPr>
          <w:rFonts w:asciiTheme="minorHAnsi" w:hAnsiTheme="minorHAnsi" w:cstheme="minorHAnsi"/>
        </w:rPr>
      </w:pPr>
      <w:r>
        <w:rPr>
          <w:rFonts w:asciiTheme="minorHAnsi" w:hAnsiTheme="minorHAnsi" w:cstheme="minorHAnsi"/>
          <w:bCs/>
          <w:u w:val="single"/>
        </w:rPr>
        <w:t>Long Term Investment:</w:t>
      </w:r>
      <w:r>
        <w:t xml:space="preserve"> </w:t>
      </w:r>
      <w:r>
        <w:rPr>
          <w:rFonts w:asciiTheme="minorHAnsi" w:hAnsiTheme="minorHAnsi" w:cstheme="minorHAnsi"/>
        </w:rPr>
        <w:t>PLA began FY21 with a balance of $</w:t>
      </w:r>
      <w:r w:rsidRPr="00F105A0">
        <w:rPr>
          <w:rFonts w:asciiTheme="minorHAnsi" w:hAnsiTheme="minorHAnsi" w:cstheme="minorHAnsi"/>
        </w:rPr>
        <w:t>1</w:t>
      </w:r>
      <w:r>
        <w:rPr>
          <w:rFonts w:asciiTheme="minorHAnsi" w:hAnsiTheme="minorHAnsi" w:cstheme="minorHAnsi"/>
        </w:rPr>
        <w:t>,</w:t>
      </w:r>
      <w:r w:rsidRPr="00F105A0">
        <w:rPr>
          <w:rFonts w:asciiTheme="minorHAnsi" w:hAnsiTheme="minorHAnsi" w:cstheme="minorHAnsi"/>
        </w:rPr>
        <w:t>761</w:t>
      </w:r>
      <w:r>
        <w:rPr>
          <w:rFonts w:asciiTheme="minorHAnsi" w:hAnsiTheme="minorHAnsi" w:cstheme="minorHAnsi"/>
        </w:rPr>
        <w:t>,</w:t>
      </w:r>
      <w:r w:rsidRPr="00F105A0">
        <w:rPr>
          <w:rFonts w:asciiTheme="minorHAnsi" w:hAnsiTheme="minorHAnsi" w:cstheme="minorHAnsi"/>
        </w:rPr>
        <w:t>881</w:t>
      </w:r>
      <w:r>
        <w:rPr>
          <w:rFonts w:asciiTheme="minorHAnsi" w:hAnsiTheme="minorHAnsi" w:cstheme="minorHAnsi"/>
        </w:rPr>
        <w:t xml:space="preserve">, a </w:t>
      </w:r>
      <w:r w:rsidR="00295BA6">
        <w:rPr>
          <w:rFonts w:asciiTheme="minorHAnsi" w:hAnsiTheme="minorHAnsi" w:cstheme="minorHAnsi"/>
        </w:rPr>
        <w:t xml:space="preserve">$219,794 increase from the beginning balance of FY20. </w:t>
      </w:r>
      <w:proofErr w:type="gramStart"/>
      <w:r w:rsidR="00295BA6">
        <w:rPr>
          <w:rFonts w:asciiTheme="minorHAnsi" w:hAnsiTheme="minorHAnsi" w:cstheme="minorHAnsi"/>
        </w:rPr>
        <w:t>Similar to</w:t>
      </w:r>
      <w:proofErr w:type="gramEnd"/>
      <w:r w:rsidR="00295BA6">
        <w:rPr>
          <w:rFonts w:asciiTheme="minorHAnsi" w:hAnsiTheme="minorHAnsi" w:cstheme="minorHAnsi"/>
        </w:rPr>
        <w:t xml:space="preserve"> FY20, the investment is doing well in FY21. Interest revenue is at $39,679 as of May 21, which is nearly $10,000 above the budgeted amount for this </w:t>
      </w:r>
      <w:proofErr w:type="gramStart"/>
      <w:r w:rsidR="00295BA6">
        <w:rPr>
          <w:rFonts w:asciiTheme="minorHAnsi" w:hAnsiTheme="minorHAnsi" w:cstheme="minorHAnsi"/>
        </w:rPr>
        <w:t>time period</w:t>
      </w:r>
      <w:proofErr w:type="gramEnd"/>
      <w:r w:rsidR="00295BA6">
        <w:rPr>
          <w:rFonts w:asciiTheme="minorHAnsi" w:hAnsiTheme="minorHAnsi" w:cstheme="minorHAnsi"/>
        </w:rPr>
        <w:t>. Service charges to manage the investment are logically exceeding the budgeted amount, at $8,429 against a budget of $6,318.</w:t>
      </w:r>
      <w:r w:rsidR="00881270">
        <w:rPr>
          <w:rFonts w:asciiTheme="minorHAnsi" w:hAnsiTheme="minorHAnsi" w:cstheme="minorHAnsi"/>
        </w:rPr>
        <w:t xml:space="preserve"> Endowment gain is at $269,339, which added to the beginning balance leaves the current balance at $2,031,220.</w:t>
      </w:r>
    </w:p>
    <w:p w14:paraId="41D2F4E3" w14:textId="47C744F7" w:rsidR="00F105A0" w:rsidRDefault="00F105A0" w:rsidP="00F105A0">
      <w:pPr>
        <w:rPr>
          <w:rFonts w:asciiTheme="minorHAnsi" w:hAnsiTheme="minorHAnsi" w:cstheme="minorHAnsi"/>
        </w:rPr>
      </w:pPr>
    </w:p>
    <w:p w14:paraId="2CFE3F1B" w14:textId="0E7F615F" w:rsidR="00E2260D" w:rsidRDefault="007F06D1" w:rsidP="00E2260D">
      <w:pPr>
        <w:rPr>
          <w:rFonts w:asciiTheme="minorHAnsi" w:hAnsiTheme="minorHAnsi" w:cstheme="minorHAnsi"/>
        </w:rPr>
      </w:pPr>
      <w:r>
        <w:rPr>
          <w:rFonts w:asciiTheme="minorHAnsi" w:hAnsiTheme="minorHAnsi" w:cstheme="minorHAnsi"/>
          <w:bCs/>
          <w:u w:val="single"/>
        </w:rPr>
        <w:t>Grant Budgets:</w:t>
      </w:r>
      <w:r>
        <w:t xml:space="preserve"> </w:t>
      </w:r>
      <w:r w:rsidR="00E2260D">
        <w:rPr>
          <w:rFonts w:asciiTheme="minorHAnsi" w:hAnsiTheme="minorHAnsi" w:cstheme="minorHAnsi"/>
        </w:rPr>
        <w:t xml:space="preserve">As of </w:t>
      </w:r>
      <w:r w:rsidR="00B33780">
        <w:rPr>
          <w:rFonts w:asciiTheme="minorHAnsi" w:hAnsiTheme="minorHAnsi" w:cstheme="minorHAnsi"/>
        </w:rPr>
        <w:t>May</w:t>
      </w:r>
      <w:r w:rsidR="00E2260D">
        <w:rPr>
          <w:rFonts w:asciiTheme="minorHAnsi" w:hAnsiTheme="minorHAnsi" w:cstheme="minorHAnsi"/>
        </w:rPr>
        <w:t xml:space="preserve"> 2021, PLA had spent $</w:t>
      </w:r>
      <w:r w:rsidR="00B33780">
        <w:rPr>
          <w:rFonts w:asciiTheme="minorHAnsi" w:hAnsiTheme="minorHAnsi" w:cstheme="minorHAnsi"/>
        </w:rPr>
        <w:t>1,217,414</w:t>
      </w:r>
      <w:r w:rsidR="00E2260D">
        <w:rPr>
          <w:rFonts w:asciiTheme="minorHAnsi" w:hAnsiTheme="minorHAnsi" w:cstheme="minorHAnsi"/>
        </w:rPr>
        <w:t xml:space="preserve"> in grant funds compared to a budgeted amount of $</w:t>
      </w:r>
      <w:r w:rsidR="00B33780">
        <w:rPr>
          <w:rFonts w:asciiTheme="minorHAnsi" w:hAnsiTheme="minorHAnsi" w:cstheme="minorHAnsi"/>
        </w:rPr>
        <w:t>889,635</w:t>
      </w:r>
      <w:r w:rsidR="00E2260D">
        <w:rPr>
          <w:rFonts w:asciiTheme="minorHAnsi" w:hAnsiTheme="minorHAnsi" w:cstheme="minorHAnsi"/>
        </w:rPr>
        <w:t>, for a difference of $</w:t>
      </w:r>
      <w:r w:rsidR="00B33780">
        <w:rPr>
          <w:rFonts w:asciiTheme="minorHAnsi" w:hAnsiTheme="minorHAnsi" w:cstheme="minorHAnsi"/>
        </w:rPr>
        <w:t>327,779</w:t>
      </w:r>
      <w:r w:rsidR="00A804AA">
        <w:rPr>
          <w:rFonts w:asciiTheme="minorHAnsi" w:hAnsiTheme="minorHAnsi" w:cstheme="minorHAnsi"/>
        </w:rPr>
        <w:t>.</w:t>
      </w:r>
    </w:p>
    <w:p w14:paraId="76A0D111" w14:textId="77777777" w:rsidR="00E2260D" w:rsidRDefault="00E2260D" w:rsidP="00D166BC">
      <w:pPr>
        <w:rPr>
          <w:rFonts w:asciiTheme="minorHAnsi" w:hAnsiTheme="minorHAnsi" w:cstheme="minorHAnsi"/>
        </w:rPr>
      </w:pPr>
    </w:p>
    <w:p w14:paraId="51452699" w14:textId="1AC20171" w:rsidR="00B33780" w:rsidRDefault="00874050" w:rsidP="00D166BC">
      <w:pPr>
        <w:rPr>
          <w:rFonts w:asciiTheme="minorHAnsi" w:hAnsiTheme="minorHAnsi" w:cstheme="minorHAnsi"/>
        </w:rPr>
      </w:pPr>
      <w:r>
        <w:rPr>
          <w:rFonts w:asciiTheme="minorHAnsi" w:hAnsiTheme="minorHAnsi" w:cstheme="minorHAnsi"/>
        </w:rPr>
        <w:t xml:space="preserve">Grant spending is far exceeding budget because PLA </w:t>
      </w:r>
      <w:r w:rsidR="00B33780">
        <w:rPr>
          <w:rFonts w:asciiTheme="minorHAnsi" w:hAnsiTheme="minorHAnsi" w:cstheme="minorHAnsi"/>
        </w:rPr>
        <w:t xml:space="preserve">only budgeted for the Gates Legacy </w:t>
      </w:r>
      <w:proofErr w:type="gramStart"/>
      <w:r w:rsidR="00B33780">
        <w:rPr>
          <w:rFonts w:asciiTheme="minorHAnsi" w:hAnsiTheme="minorHAnsi" w:cstheme="minorHAnsi"/>
        </w:rPr>
        <w:t>grant, yet</w:t>
      </w:r>
      <w:proofErr w:type="gramEnd"/>
      <w:r w:rsidR="00B33780">
        <w:rPr>
          <w:rFonts w:asciiTheme="minorHAnsi" w:hAnsiTheme="minorHAnsi" w:cstheme="minorHAnsi"/>
        </w:rPr>
        <w:t xml:space="preserve"> confirmed multiple grants after FY21 budgeting “closed” in the late summer of 2020</w:t>
      </w:r>
      <w:r w:rsidR="0088427A">
        <w:rPr>
          <w:rFonts w:asciiTheme="minorHAnsi" w:hAnsiTheme="minorHAnsi" w:cstheme="minorHAnsi"/>
        </w:rPr>
        <w:t xml:space="preserve"> and into FY21</w:t>
      </w:r>
      <w:r w:rsidR="00B33780">
        <w:rPr>
          <w:rFonts w:asciiTheme="minorHAnsi" w:hAnsiTheme="minorHAnsi" w:cstheme="minorHAnsi"/>
        </w:rPr>
        <w:t xml:space="preserve">. </w:t>
      </w:r>
      <w:r w:rsidR="00F1064C">
        <w:rPr>
          <w:rFonts w:asciiTheme="minorHAnsi" w:hAnsiTheme="minorHAnsi" w:cstheme="minorHAnsi"/>
        </w:rPr>
        <w:t>Revenue and expenses for many of those grants started in FY21, although not budgeted.</w:t>
      </w:r>
    </w:p>
    <w:p w14:paraId="7BBD3063" w14:textId="77777777" w:rsidR="00B33780" w:rsidRDefault="00B33780" w:rsidP="00D166BC">
      <w:pPr>
        <w:rPr>
          <w:rFonts w:asciiTheme="minorHAnsi" w:hAnsiTheme="minorHAnsi" w:cstheme="minorHAnsi"/>
        </w:rPr>
      </w:pPr>
    </w:p>
    <w:tbl>
      <w:tblPr>
        <w:tblStyle w:val="TableGrid"/>
        <w:tblW w:w="10074" w:type="dxa"/>
        <w:tblLook w:val="04A0" w:firstRow="1" w:lastRow="0" w:firstColumn="1" w:lastColumn="0" w:noHBand="0" w:noVBand="1"/>
      </w:tblPr>
      <w:tblGrid>
        <w:gridCol w:w="3469"/>
        <w:gridCol w:w="3314"/>
        <w:gridCol w:w="2080"/>
        <w:gridCol w:w="1211"/>
      </w:tblGrid>
      <w:tr w:rsidR="00B33780" w:rsidRPr="00B33780" w14:paraId="57600DBA" w14:textId="77777777" w:rsidTr="00F1064C">
        <w:tc>
          <w:tcPr>
            <w:tcW w:w="3469" w:type="dxa"/>
          </w:tcPr>
          <w:p w14:paraId="4F910200" w14:textId="113CF01F" w:rsidR="00B33780" w:rsidRPr="00B33780" w:rsidRDefault="00B33780" w:rsidP="00B33780">
            <w:pPr>
              <w:rPr>
                <w:rFonts w:asciiTheme="minorHAnsi" w:hAnsiTheme="minorHAnsi" w:cstheme="minorHAnsi"/>
                <w:b/>
                <w:bCs/>
                <w:sz w:val="20"/>
                <w:szCs w:val="20"/>
              </w:rPr>
            </w:pPr>
            <w:r w:rsidRPr="00B33780">
              <w:rPr>
                <w:rFonts w:asciiTheme="minorHAnsi" w:hAnsiTheme="minorHAnsi" w:cstheme="minorHAnsi"/>
                <w:b/>
                <w:bCs/>
                <w:sz w:val="20"/>
                <w:szCs w:val="20"/>
              </w:rPr>
              <w:t>Funder</w:t>
            </w:r>
          </w:p>
        </w:tc>
        <w:tc>
          <w:tcPr>
            <w:tcW w:w="3314" w:type="dxa"/>
            <w:noWrap/>
          </w:tcPr>
          <w:p w14:paraId="09069112" w14:textId="1D06A0BC" w:rsidR="00B33780" w:rsidRPr="00B33780" w:rsidRDefault="00B33780" w:rsidP="00B33780">
            <w:pPr>
              <w:rPr>
                <w:rFonts w:asciiTheme="minorHAnsi" w:hAnsiTheme="minorHAnsi" w:cstheme="minorHAnsi"/>
                <w:b/>
                <w:bCs/>
                <w:sz w:val="20"/>
                <w:szCs w:val="20"/>
              </w:rPr>
            </w:pPr>
            <w:r w:rsidRPr="00B33780">
              <w:rPr>
                <w:rFonts w:asciiTheme="minorHAnsi" w:hAnsiTheme="minorHAnsi" w:cstheme="minorHAnsi"/>
                <w:b/>
                <w:bCs/>
                <w:sz w:val="20"/>
                <w:szCs w:val="20"/>
              </w:rPr>
              <w:t>Project</w:t>
            </w:r>
          </w:p>
        </w:tc>
        <w:tc>
          <w:tcPr>
            <w:tcW w:w="2080" w:type="dxa"/>
          </w:tcPr>
          <w:p w14:paraId="65EF646F" w14:textId="7E7B8699" w:rsidR="00B33780" w:rsidRPr="00B33780" w:rsidRDefault="00B33780" w:rsidP="00B33780">
            <w:pPr>
              <w:rPr>
                <w:rFonts w:asciiTheme="minorHAnsi" w:hAnsiTheme="minorHAnsi" w:cstheme="minorHAnsi"/>
                <w:b/>
                <w:bCs/>
                <w:sz w:val="20"/>
                <w:szCs w:val="20"/>
              </w:rPr>
            </w:pPr>
            <w:r w:rsidRPr="00B33780">
              <w:rPr>
                <w:rFonts w:asciiTheme="minorHAnsi" w:hAnsiTheme="minorHAnsi" w:cstheme="minorHAnsi"/>
                <w:b/>
                <w:bCs/>
                <w:sz w:val="20"/>
                <w:szCs w:val="20"/>
              </w:rPr>
              <w:t>Grant Period</w:t>
            </w:r>
          </w:p>
        </w:tc>
        <w:tc>
          <w:tcPr>
            <w:tcW w:w="1211" w:type="dxa"/>
            <w:noWrap/>
          </w:tcPr>
          <w:p w14:paraId="5BF81590" w14:textId="11727CCF" w:rsidR="00B33780" w:rsidRPr="00B33780" w:rsidRDefault="00B33780" w:rsidP="00B33780">
            <w:pPr>
              <w:rPr>
                <w:rFonts w:asciiTheme="minorHAnsi" w:hAnsiTheme="minorHAnsi" w:cstheme="minorHAnsi"/>
                <w:b/>
                <w:bCs/>
                <w:sz w:val="20"/>
                <w:szCs w:val="20"/>
              </w:rPr>
            </w:pPr>
            <w:r w:rsidRPr="00B33780">
              <w:rPr>
                <w:rFonts w:asciiTheme="minorHAnsi" w:hAnsiTheme="minorHAnsi" w:cstheme="minorHAnsi"/>
                <w:b/>
                <w:bCs/>
                <w:sz w:val="20"/>
                <w:szCs w:val="20"/>
              </w:rPr>
              <w:t>Amount</w:t>
            </w:r>
          </w:p>
        </w:tc>
      </w:tr>
      <w:tr w:rsidR="00B33780" w:rsidRPr="00B33780" w14:paraId="10DB4AF8" w14:textId="77777777" w:rsidTr="00F1064C">
        <w:tc>
          <w:tcPr>
            <w:tcW w:w="3469" w:type="dxa"/>
          </w:tcPr>
          <w:p w14:paraId="28256D6B" w14:textId="450EE7B5" w:rsidR="00B33780" w:rsidRPr="00B33780" w:rsidRDefault="00B33780" w:rsidP="00B33780">
            <w:pPr>
              <w:rPr>
                <w:rFonts w:asciiTheme="minorHAnsi" w:hAnsiTheme="minorHAnsi" w:cstheme="minorHAnsi"/>
                <w:sz w:val="20"/>
                <w:szCs w:val="20"/>
              </w:rPr>
            </w:pPr>
            <w:r w:rsidRPr="00B33780">
              <w:rPr>
                <w:rFonts w:asciiTheme="minorHAnsi" w:hAnsiTheme="minorHAnsi" w:cstheme="minorHAnsi"/>
                <w:sz w:val="20"/>
                <w:szCs w:val="20"/>
              </w:rPr>
              <w:t>Institute of Museum &amp; Library Services</w:t>
            </w:r>
          </w:p>
        </w:tc>
        <w:tc>
          <w:tcPr>
            <w:tcW w:w="3314" w:type="dxa"/>
            <w:noWrap/>
            <w:hideMark/>
          </w:tcPr>
          <w:p w14:paraId="39E49805" w14:textId="2002B55C" w:rsidR="00B33780" w:rsidRPr="00B33780" w:rsidRDefault="00F1064C" w:rsidP="00B33780">
            <w:pPr>
              <w:rPr>
                <w:rFonts w:asciiTheme="minorHAnsi" w:hAnsiTheme="minorHAnsi" w:cstheme="minorHAnsi"/>
                <w:sz w:val="20"/>
                <w:szCs w:val="20"/>
              </w:rPr>
            </w:pPr>
            <w:r>
              <w:rPr>
                <w:rFonts w:asciiTheme="minorHAnsi" w:hAnsiTheme="minorHAnsi" w:cstheme="minorHAnsi"/>
                <w:sz w:val="20"/>
                <w:szCs w:val="20"/>
              </w:rPr>
              <w:t xml:space="preserve">Engaging </w:t>
            </w:r>
            <w:r w:rsidR="00B33780" w:rsidRPr="00B33780">
              <w:rPr>
                <w:rFonts w:asciiTheme="minorHAnsi" w:hAnsiTheme="minorHAnsi" w:cstheme="minorHAnsi"/>
                <w:sz w:val="20"/>
                <w:szCs w:val="20"/>
              </w:rPr>
              <w:t>Latinx Communities</w:t>
            </w:r>
          </w:p>
        </w:tc>
        <w:tc>
          <w:tcPr>
            <w:tcW w:w="2080" w:type="dxa"/>
          </w:tcPr>
          <w:p w14:paraId="3AB22220" w14:textId="0E279C2E" w:rsidR="00B33780" w:rsidRPr="00B33780" w:rsidRDefault="00B33780" w:rsidP="00B33780">
            <w:pPr>
              <w:rPr>
                <w:rFonts w:asciiTheme="minorHAnsi" w:hAnsiTheme="minorHAnsi" w:cstheme="minorHAnsi"/>
                <w:sz w:val="20"/>
                <w:szCs w:val="20"/>
              </w:rPr>
            </w:pPr>
            <w:r>
              <w:rPr>
                <w:rFonts w:asciiTheme="minorHAnsi" w:hAnsiTheme="minorHAnsi" w:cstheme="minorHAnsi"/>
                <w:sz w:val="20"/>
                <w:szCs w:val="20"/>
              </w:rPr>
              <w:t>Sep 2020 – Dec 2021</w:t>
            </w:r>
          </w:p>
        </w:tc>
        <w:tc>
          <w:tcPr>
            <w:tcW w:w="1211" w:type="dxa"/>
            <w:noWrap/>
            <w:hideMark/>
          </w:tcPr>
          <w:p w14:paraId="29ADEFF5" w14:textId="1A39E26E" w:rsidR="00B33780" w:rsidRPr="00B33780" w:rsidRDefault="00B33780" w:rsidP="00B33780">
            <w:pPr>
              <w:rPr>
                <w:rFonts w:asciiTheme="minorHAnsi" w:hAnsiTheme="minorHAnsi" w:cstheme="minorHAnsi"/>
                <w:sz w:val="20"/>
                <w:szCs w:val="20"/>
              </w:rPr>
            </w:pPr>
            <w:r w:rsidRPr="00B33780">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33780">
              <w:rPr>
                <w:rFonts w:asciiTheme="minorHAnsi" w:hAnsiTheme="minorHAnsi" w:cstheme="minorHAnsi"/>
                <w:sz w:val="20"/>
                <w:szCs w:val="20"/>
              </w:rPr>
              <w:t xml:space="preserve">99,948 </w:t>
            </w:r>
          </w:p>
        </w:tc>
      </w:tr>
      <w:tr w:rsidR="00B33780" w:rsidRPr="00B33780" w14:paraId="1B6AC3A8" w14:textId="77777777" w:rsidTr="00F1064C">
        <w:tc>
          <w:tcPr>
            <w:tcW w:w="3469" w:type="dxa"/>
          </w:tcPr>
          <w:p w14:paraId="3658DA73" w14:textId="67DBE4D1" w:rsidR="00B33780" w:rsidRPr="00B33780" w:rsidRDefault="00B33780" w:rsidP="00B33780">
            <w:pPr>
              <w:rPr>
                <w:rFonts w:asciiTheme="minorHAnsi" w:hAnsiTheme="minorHAnsi" w:cstheme="minorHAnsi"/>
                <w:sz w:val="20"/>
                <w:szCs w:val="20"/>
              </w:rPr>
            </w:pPr>
            <w:r w:rsidRPr="00B33780">
              <w:rPr>
                <w:rFonts w:asciiTheme="minorHAnsi" w:hAnsiTheme="minorHAnsi" w:cstheme="minorHAnsi"/>
                <w:sz w:val="20"/>
                <w:szCs w:val="20"/>
              </w:rPr>
              <w:t>Microsoft Philanthropies</w:t>
            </w:r>
          </w:p>
        </w:tc>
        <w:tc>
          <w:tcPr>
            <w:tcW w:w="3314" w:type="dxa"/>
            <w:noWrap/>
            <w:hideMark/>
          </w:tcPr>
          <w:p w14:paraId="47D7D214" w14:textId="3EE37052" w:rsidR="00B33780" w:rsidRPr="00B33780" w:rsidRDefault="00B33780" w:rsidP="00B33780">
            <w:pPr>
              <w:rPr>
                <w:rFonts w:asciiTheme="minorHAnsi" w:hAnsiTheme="minorHAnsi" w:cstheme="minorHAnsi"/>
                <w:sz w:val="20"/>
                <w:szCs w:val="20"/>
              </w:rPr>
            </w:pPr>
            <w:r w:rsidRPr="00B33780">
              <w:rPr>
                <w:rFonts w:asciiTheme="minorHAnsi" w:hAnsiTheme="minorHAnsi" w:cstheme="minorHAnsi"/>
                <w:sz w:val="20"/>
                <w:szCs w:val="20"/>
              </w:rPr>
              <w:t>Digital Skilling in Urban Communities</w:t>
            </w:r>
          </w:p>
        </w:tc>
        <w:tc>
          <w:tcPr>
            <w:tcW w:w="2080" w:type="dxa"/>
          </w:tcPr>
          <w:p w14:paraId="02B7CF8A" w14:textId="1A8EA586" w:rsidR="00B33780" w:rsidRPr="00B33780" w:rsidRDefault="00B33780" w:rsidP="00B33780">
            <w:pPr>
              <w:rPr>
                <w:rFonts w:asciiTheme="minorHAnsi" w:hAnsiTheme="minorHAnsi" w:cstheme="minorHAnsi"/>
                <w:sz w:val="20"/>
                <w:szCs w:val="20"/>
              </w:rPr>
            </w:pPr>
            <w:r>
              <w:rPr>
                <w:rFonts w:asciiTheme="minorHAnsi" w:hAnsiTheme="minorHAnsi" w:cstheme="minorHAnsi"/>
                <w:sz w:val="20"/>
                <w:szCs w:val="20"/>
              </w:rPr>
              <w:t>Sep 2020 – Dec 2021</w:t>
            </w:r>
          </w:p>
        </w:tc>
        <w:tc>
          <w:tcPr>
            <w:tcW w:w="1211" w:type="dxa"/>
            <w:noWrap/>
            <w:hideMark/>
          </w:tcPr>
          <w:p w14:paraId="72AE150F" w14:textId="0E34853E" w:rsidR="00B33780" w:rsidRPr="00B33780" w:rsidRDefault="00B33780" w:rsidP="00B33780">
            <w:pPr>
              <w:rPr>
                <w:rFonts w:asciiTheme="minorHAnsi" w:hAnsiTheme="minorHAnsi" w:cstheme="minorHAnsi"/>
                <w:sz w:val="20"/>
                <w:szCs w:val="20"/>
              </w:rPr>
            </w:pPr>
            <w:r w:rsidRPr="00B33780">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33780">
              <w:rPr>
                <w:rFonts w:asciiTheme="minorHAnsi" w:hAnsiTheme="minorHAnsi" w:cstheme="minorHAnsi"/>
                <w:sz w:val="20"/>
                <w:szCs w:val="20"/>
              </w:rPr>
              <w:t xml:space="preserve">100,000 </w:t>
            </w:r>
          </w:p>
        </w:tc>
      </w:tr>
      <w:tr w:rsidR="00B33780" w:rsidRPr="00B33780" w14:paraId="1B27FE2F" w14:textId="77777777" w:rsidTr="00F1064C">
        <w:tc>
          <w:tcPr>
            <w:tcW w:w="3469" w:type="dxa"/>
          </w:tcPr>
          <w:p w14:paraId="73CB6AB7" w14:textId="097A7DE5" w:rsidR="00B33780" w:rsidRPr="00B33780" w:rsidRDefault="00B33780" w:rsidP="00B33780">
            <w:pPr>
              <w:rPr>
                <w:rFonts w:asciiTheme="minorHAnsi" w:hAnsiTheme="minorHAnsi" w:cstheme="minorHAnsi"/>
                <w:sz w:val="20"/>
                <w:szCs w:val="20"/>
              </w:rPr>
            </w:pPr>
            <w:r w:rsidRPr="00B33780">
              <w:rPr>
                <w:rFonts w:asciiTheme="minorHAnsi" w:hAnsiTheme="minorHAnsi" w:cstheme="minorHAnsi"/>
                <w:sz w:val="20"/>
                <w:szCs w:val="20"/>
              </w:rPr>
              <w:t>AT&amp;T</w:t>
            </w:r>
          </w:p>
        </w:tc>
        <w:tc>
          <w:tcPr>
            <w:tcW w:w="3314" w:type="dxa"/>
            <w:noWrap/>
            <w:hideMark/>
          </w:tcPr>
          <w:p w14:paraId="5F0F690F" w14:textId="7112A832" w:rsidR="00B33780" w:rsidRPr="00B33780" w:rsidRDefault="00B33780" w:rsidP="00B33780">
            <w:pPr>
              <w:rPr>
                <w:rFonts w:asciiTheme="minorHAnsi" w:hAnsiTheme="minorHAnsi" w:cstheme="minorHAnsi"/>
                <w:sz w:val="20"/>
                <w:szCs w:val="20"/>
              </w:rPr>
            </w:pPr>
            <w:r w:rsidRPr="00B33780">
              <w:rPr>
                <w:rFonts w:asciiTheme="minorHAnsi" w:hAnsiTheme="minorHAnsi" w:cstheme="minorHAnsi"/>
                <w:sz w:val="20"/>
                <w:szCs w:val="20"/>
              </w:rPr>
              <w:t>Digital Literacy Project</w:t>
            </w:r>
          </w:p>
        </w:tc>
        <w:tc>
          <w:tcPr>
            <w:tcW w:w="2080" w:type="dxa"/>
          </w:tcPr>
          <w:p w14:paraId="685144B1" w14:textId="2A6F976B" w:rsidR="00B33780" w:rsidRPr="00B33780" w:rsidRDefault="00B33780" w:rsidP="00B33780">
            <w:pPr>
              <w:rPr>
                <w:rFonts w:asciiTheme="minorHAnsi" w:hAnsiTheme="minorHAnsi" w:cstheme="minorHAnsi"/>
                <w:sz w:val="20"/>
                <w:szCs w:val="20"/>
              </w:rPr>
            </w:pPr>
            <w:r>
              <w:rPr>
                <w:rFonts w:asciiTheme="minorHAnsi" w:hAnsiTheme="minorHAnsi" w:cstheme="minorHAnsi"/>
                <w:sz w:val="20"/>
                <w:szCs w:val="20"/>
              </w:rPr>
              <w:t>May 2021 – Aug 2022</w:t>
            </w:r>
          </w:p>
        </w:tc>
        <w:tc>
          <w:tcPr>
            <w:tcW w:w="1211" w:type="dxa"/>
            <w:noWrap/>
            <w:hideMark/>
          </w:tcPr>
          <w:p w14:paraId="0D5BF08D" w14:textId="445B4EB6" w:rsidR="00B33780" w:rsidRPr="00B33780" w:rsidRDefault="00B33780" w:rsidP="00B33780">
            <w:pPr>
              <w:rPr>
                <w:rFonts w:asciiTheme="minorHAnsi" w:hAnsiTheme="minorHAnsi" w:cstheme="minorHAnsi"/>
                <w:sz w:val="20"/>
                <w:szCs w:val="20"/>
              </w:rPr>
            </w:pPr>
            <w:r w:rsidRPr="00B33780">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33780">
              <w:rPr>
                <w:rFonts w:asciiTheme="minorHAnsi" w:hAnsiTheme="minorHAnsi" w:cstheme="minorHAnsi"/>
                <w:sz w:val="20"/>
                <w:szCs w:val="20"/>
              </w:rPr>
              <w:t xml:space="preserve">461,362 </w:t>
            </w:r>
          </w:p>
        </w:tc>
      </w:tr>
      <w:tr w:rsidR="00B33780" w:rsidRPr="00B33780" w14:paraId="6FD808ED" w14:textId="77777777" w:rsidTr="00F1064C">
        <w:tc>
          <w:tcPr>
            <w:tcW w:w="3469" w:type="dxa"/>
          </w:tcPr>
          <w:p w14:paraId="257D90D8" w14:textId="3B3C632E" w:rsidR="00B33780" w:rsidRPr="00B33780" w:rsidRDefault="00B33780" w:rsidP="00B33780">
            <w:pPr>
              <w:rPr>
                <w:rFonts w:asciiTheme="minorHAnsi" w:hAnsiTheme="minorHAnsi" w:cstheme="minorHAnsi"/>
                <w:sz w:val="20"/>
                <w:szCs w:val="20"/>
              </w:rPr>
            </w:pPr>
            <w:r w:rsidRPr="00B33780">
              <w:rPr>
                <w:rFonts w:asciiTheme="minorHAnsi" w:hAnsiTheme="minorHAnsi" w:cstheme="minorHAnsi"/>
                <w:sz w:val="20"/>
                <w:szCs w:val="20"/>
              </w:rPr>
              <w:t>AT&amp;T</w:t>
            </w:r>
          </w:p>
        </w:tc>
        <w:tc>
          <w:tcPr>
            <w:tcW w:w="3314" w:type="dxa"/>
            <w:noWrap/>
            <w:hideMark/>
          </w:tcPr>
          <w:p w14:paraId="684F03F3" w14:textId="5DC9E5B1" w:rsidR="00B33780" w:rsidRPr="00B33780" w:rsidRDefault="00B33780" w:rsidP="00B33780">
            <w:pPr>
              <w:rPr>
                <w:rFonts w:asciiTheme="minorHAnsi" w:hAnsiTheme="minorHAnsi" w:cstheme="minorHAnsi"/>
                <w:sz w:val="20"/>
                <w:szCs w:val="20"/>
              </w:rPr>
            </w:pPr>
            <w:r w:rsidRPr="00B33780">
              <w:rPr>
                <w:rFonts w:asciiTheme="minorHAnsi" w:hAnsiTheme="minorHAnsi" w:cstheme="minorHAnsi"/>
                <w:sz w:val="20"/>
                <w:szCs w:val="20"/>
              </w:rPr>
              <w:t>Digital Citizenship Project</w:t>
            </w:r>
          </w:p>
        </w:tc>
        <w:tc>
          <w:tcPr>
            <w:tcW w:w="2080" w:type="dxa"/>
          </w:tcPr>
          <w:p w14:paraId="795C78CA" w14:textId="20A64FE2" w:rsidR="00B33780" w:rsidRPr="00B33780" w:rsidRDefault="00B33780" w:rsidP="00B33780">
            <w:pPr>
              <w:rPr>
                <w:rFonts w:asciiTheme="minorHAnsi" w:hAnsiTheme="minorHAnsi" w:cstheme="minorHAnsi"/>
                <w:sz w:val="20"/>
                <w:szCs w:val="20"/>
              </w:rPr>
            </w:pPr>
            <w:r>
              <w:rPr>
                <w:rFonts w:asciiTheme="minorHAnsi" w:hAnsiTheme="minorHAnsi" w:cstheme="minorHAnsi"/>
                <w:sz w:val="20"/>
                <w:szCs w:val="20"/>
              </w:rPr>
              <w:t>Aug 2021 – Dec 2022</w:t>
            </w:r>
          </w:p>
        </w:tc>
        <w:tc>
          <w:tcPr>
            <w:tcW w:w="1211" w:type="dxa"/>
            <w:noWrap/>
            <w:hideMark/>
          </w:tcPr>
          <w:p w14:paraId="177EA04B" w14:textId="336B97BA" w:rsidR="00B33780" w:rsidRPr="00B33780" w:rsidRDefault="00B33780" w:rsidP="00B33780">
            <w:pPr>
              <w:rPr>
                <w:rFonts w:asciiTheme="minorHAnsi" w:hAnsiTheme="minorHAnsi" w:cstheme="minorHAnsi"/>
                <w:sz w:val="20"/>
                <w:szCs w:val="20"/>
              </w:rPr>
            </w:pPr>
            <w:r w:rsidRPr="00B33780">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33780">
              <w:rPr>
                <w:rFonts w:asciiTheme="minorHAnsi" w:hAnsiTheme="minorHAnsi" w:cstheme="minorHAnsi"/>
                <w:sz w:val="20"/>
                <w:szCs w:val="20"/>
              </w:rPr>
              <w:t xml:space="preserve">228,657 </w:t>
            </w:r>
          </w:p>
        </w:tc>
      </w:tr>
      <w:tr w:rsidR="00B33780" w:rsidRPr="00B33780" w14:paraId="389FF3B0" w14:textId="77777777" w:rsidTr="00F1064C">
        <w:tc>
          <w:tcPr>
            <w:tcW w:w="3469" w:type="dxa"/>
          </w:tcPr>
          <w:p w14:paraId="3E556E94" w14:textId="16B59CE7" w:rsidR="00B33780" w:rsidRPr="00B33780" w:rsidRDefault="00B33780" w:rsidP="00B33780">
            <w:pPr>
              <w:rPr>
                <w:rFonts w:asciiTheme="minorHAnsi" w:hAnsiTheme="minorHAnsi" w:cstheme="minorHAnsi"/>
                <w:sz w:val="20"/>
                <w:szCs w:val="20"/>
              </w:rPr>
            </w:pPr>
            <w:r w:rsidRPr="00B33780">
              <w:rPr>
                <w:rFonts w:asciiTheme="minorHAnsi" w:hAnsiTheme="minorHAnsi" w:cstheme="minorHAnsi"/>
                <w:sz w:val="20"/>
                <w:szCs w:val="20"/>
              </w:rPr>
              <w:t>WGBH/National Science Foundation</w:t>
            </w:r>
          </w:p>
        </w:tc>
        <w:tc>
          <w:tcPr>
            <w:tcW w:w="3314" w:type="dxa"/>
            <w:noWrap/>
            <w:hideMark/>
          </w:tcPr>
          <w:p w14:paraId="4DDB6854" w14:textId="5D2A6444" w:rsidR="00B33780" w:rsidRPr="00B33780" w:rsidRDefault="00B33780" w:rsidP="00B33780">
            <w:pPr>
              <w:rPr>
                <w:rFonts w:asciiTheme="minorHAnsi" w:hAnsiTheme="minorHAnsi" w:cstheme="minorHAnsi"/>
                <w:sz w:val="20"/>
                <w:szCs w:val="20"/>
              </w:rPr>
            </w:pPr>
            <w:r w:rsidRPr="00B33780">
              <w:rPr>
                <w:rFonts w:asciiTheme="minorHAnsi" w:hAnsiTheme="minorHAnsi" w:cstheme="minorHAnsi"/>
                <w:sz w:val="20"/>
                <w:szCs w:val="20"/>
              </w:rPr>
              <w:t>Computational Thinking</w:t>
            </w:r>
          </w:p>
        </w:tc>
        <w:tc>
          <w:tcPr>
            <w:tcW w:w="2080" w:type="dxa"/>
          </w:tcPr>
          <w:p w14:paraId="7D7687C9" w14:textId="32BC2718" w:rsidR="00B33780" w:rsidRPr="00B33780" w:rsidRDefault="00B33780" w:rsidP="00B33780">
            <w:pPr>
              <w:rPr>
                <w:rFonts w:asciiTheme="minorHAnsi" w:hAnsiTheme="minorHAnsi" w:cstheme="minorHAnsi"/>
                <w:sz w:val="20"/>
                <w:szCs w:val="20"/>
              </w:rPr>
            </w:pPr>
            <w:r>
              <w:rPr>
                <w:rFonts w:asciiTheme="minorHAnsi" w:hAnsiTheme="minorHAnsi" w:cstheme="minorHAnsi"/>
                <w:sz w:val="20"/>
                <w:szCs w:val="20"/>
              </w:rPr>
              <w:t>Aug 2021 – Mar 2023</w:t>
            </w:r>
          </w:p>
        </w:tc>
        <w:tc>
          <w:tcPr>
            <w:tcW w:w="1211" w:type="dxa"/>
            <w:noWrap/>
            <w:hideMark/>
          </w:tcPr>
          <w:p w14:paraId="2B034CA4" w14:textId="3BAD7779" w:rsidR="00B33780" w:rsidRPr="00B33780" w:rsidRDefault="00B33780" w:rsidP="00B33780">
            <w:pPr>
              <w:rPr>
                <w:rFonts w:asciiTheme="minorHAnsi" w:hAnsiTheme="minorHAnsi" w:cstheme="minorHAnsi"/>
                <w:sz w:val="20"/>
                <w:szCs w:val="20"/>
              </w:rPr>
            </w:pPr>
            <w:r w:rsidRPr="00B33780">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33780">
              <w:rPr>
                <w:rFonts w:asciiTheme="minorHAnsi" w:hAnsiTheme="minorHAnsi" w:cstheme="minorHAnsi"/>
                <w:sz w:val="20"/>
                <w:szCs w:val="20"/>
              </w:rPr>
              <w:t xml:space="preserve">55,000 </w:t>
            </w:r>
          </w:p>
        </w:tc>
      </w:tr>
    </w:tbl>
    <w:p w14:paraId="473C2BC6" w14:textId="2B88B5DF" w:rsidR="00874050" w:rsidRDefault="00874050" w:rsidP="00D166BC">
      <w:pPr>
        <w:rPr>
          <w:rFonts w:asciiTheme="minorHAnsi" w:hAnsiTheme="minorHAnsi" w:cstheme="minorHAnsi"/>
        </w:rPr>
      </w:pPr>
    </w:p>
    <w:p w14:paraId="09782D4D" w14:textId="4BCED377" w:rsidR="00F07661" w:rsidRDefault="00F07661" w:rsidP="008716C3">
      <w:pPr>
        <w:pStyle w:val="ListParagraph"/>
        <w:numPr>
          <w:ilvl w:val="0"/>
          <w:numId w:val="10"/>
        </w:numPr>
        <w:rPr>
          <w:rFonts w:asciiTheme="minorHAnsi" w:hAnsiTheme="minorHAnsi" w:cstheme="minorHAnsi"/>
        </w:rPr>
      </w:pPr>
      <w:r w:rsidRPr="00F07661">
        <w:rPr>
          <w:rFonts w:asciiTheme="minorHAnsi" w:hAnsiTheme="minorHAnsi" w:cstheme="minorHAnsi"/>
        </w:rPr>
        <w:t xml:space="preserve">Spending in the grant projects </w:t>
      </w:r>
      <w:r w:rsidRPr="00F07661">
        <w:rPr>
          <w:rFonts w:asciiTheme="minorHAnsi" w:hAnsiTheme="minorHAnsi" w:cstheme="minorHAnsi"/>
          <w:i/>
          <w:iCs/>
        </w:rPr>
        <w:t>which were included in the FY21 budget</w:t>
      </w:r>
      <w:r w:rsidRPr="00F07661">
        <w:rPr>
          <w:rFonts w:asciiTheme="minorHAnsi" w:hAnsiTheme="minorHAnsi" w:cstheme="minorHAnsi"/>
        </w:rPr>
        <w:t xml:space="preserve"> (Gates funds) are running ahead of budget: a total of $</w:t>
      </w:r>
      <w:r w:rsidR="00F1064C">
        <w:rPr>
          <w:rFonts w:asciiTheme="minorHAnsi" w:hAnsiTheme="minorHAnsi" w:cstheme="minorHAnsi"/>
        </w:rPr>
        <w:t>867,182</w:t>
      </w:r>
      <w:r w:rsidRPr="00F07661">
        <w:rPr>
          <w:rFonts w:asciiTheme="minorHAnsi" w:hAnsiTheme="minorHAnsi" w:cstheme="minorHAnsi"/>
        </w:rPr>
        <w:t xml:space="preserve"> has been spent against a budget of $</w:t>
      </w:r>
      <w:r w:rsidR="00F1064C">
        <w:rPr>
          <w:rFonts w:asciiTheme="minorHAnsi" w:hAnsiTheme="minorHAnsi" w:cstheme="minorHAnsi"/>
        </w:rPr>
        <w:t>714,635</w:t>
      </w:r>
      <w:r w:rsidRPr="00F07661">
        <w:rPr>
          <w:rFonts w:asciiTheme="minorHAnsi" w:hAnsiTheme="minorHAnsi" w:cstheme="minorHAnsi"/>
        </w:rPr>
        <w:t xml:space="preserve">. These funds support about half of PLA’s staff salary and benefits but also include professional services, such as continued support of Project Outcome and PLA’s new data initiatives, strategic planning consulting, and PLA’s conference manager. </w:t>
      </w:r>
      <w:r w:rsidR="00E6074C">
        <w:rPr>
          <w:rFonts w:asciiTheme="minorHAnsi" w:hAnsiTheme="minorHAnsi" w:cstheme="minorHAnsi"/>
        </w:rPr>
        <w:t>Staff costs are near budget, however professional services have exceeded budget significantly. Almost $</w:t>
      </w:r>
      <w:r w:rsidR="00F1064C">
        <w:rPr>
          <w:rFonts w:asciiTheme="minorHAnsi" w:hAnsiTheme="minorHAnsi" w:cstheme="minorHAnsi"/>
        </w:rPr>
        <w:t>490,000</w:t>
      </w:r>
      <w:r w:rsidR="00E6074C">
        <w:rPr>
          <w:rFonts w:asciiTheme="minorHAnsi" w:hAnsiTheme="minorHAnsi" w:cstheme="minorHAnsi"/>
        </w:rPr>
        <w:t xml:space="preserve"> has been spent as of </w:t>
      </w:r>
      <w:r w:rsidR="00F1064C">
        <w:rPr>
          <w:rFonts w:asciiTheme="minorHAnsi" w:hAnsiTheme="minorHAnsi" w:cstheme="minorHAnsi"/>
        </w:rPr>
        <w:t>May</w:t>
      </w:r>
      <w:r w:rsidR="00E6074C">
        <w:rPr>
          <w:rFonts w:asciiTheme="minorHAnsi" w:hAnsiTheme="minorHAnsi" w:cstheme="minorHAnsi"/>
        </w:rPr>
        <w:t xml:space="preserve"> 2021 against a </w:t>
      </w:r>
      <w:r w:rsidR="00E6074C">
        <w:rPr>
          <w:rFonts w:asciiTheme="minorHAnsi" w:hAnsiTheme="minorHAnsi" w:cstheme="minorHAnsi"/>
          <w:i/>
          <w:iCs/>
        </w:rPr>
        <w:t xml:space="preserve">full-year </w:t>
      </w:r>
      <w:r w:rsidR="00E6074C">
        <w:rPr>
          <w:rFonts w:asciiTheme="minorHAnsi" w:hAnsiTheme="minorHAnsi" w:cstheme="minorHAnsi"/>
        </w:rPr>
        <w:t xml:space="preserve">budget of only $150,000. Some of this will be offset because almost none of the $126,000 budgeted for travel/meal/meetings will be spent. </w:t>
      </w:r>
      <w:r w:rsidR="00E2260D">
        <w:rPr>
          <w:rFonts w:asciiTheme="minorHAnsi" w:hAnsiTheme="minorHAnsi" w:cstheme="minorHAnsi"/>
        </w:rPr>
        <w:t>Also, the</w:t>
      </w:r>
      <w:r w:rsidR="00E6074C">
        <w:rPr>
          <w:rFonts w:asciiTheme="minorHAnsi" w:hAnsiTheme="minorHAnsi" w:cstheme="minorHAnsi"/>
        </w:rPr>
        <w:t xml:space="preserve"> consulting/professional services overage includes costs for PLA’s data projects</w:t>
      </w:r>
      <w:r w:rsidR="00E2260D">
        <w:rPr>
          <w:rFonts w:asciiTheme="minorHAnsi" w:hAnsiTheme="minorHAnsi" w:cstheme="minorHAnsi"/>
        </w:rPr>
        <w:t>,</w:t>
      </w:r>
      <w:r w:rsidR="00E6074C">
        <w:rPr>
          <w:rFonts w:asciiTheme="minorHAnsi" w:hAnsiTheme="minorHAnsi" w:cstheme="minorHAnsi"/>
        </w:rPr>
        <w:t xml:space="preserve"> which are intended to generate revenue in future years. </w:t>
      </w:r>
    </w:p>
    <w:p w14:paraId="479CECEA" w14:textId="5E406201" w:rsidR="000C74F9" w:rsidRDefault="00EB10C0" w:rsidP="00D166BC">
      <w:pPr>
        <w:pStyle w:val="ListParagraph"/>
        <w:numPr>
          <w:ilvl w:val="0"/>
          <w:numId w:val="10"/>
        </w:numPr>
        <w:rPr>
          <w:rFonts w:asciiTheme="minorHAnsi" w:hAnsiTheme="minorHAnsi" w:cstheme="minorHAnsi"/>
        </w:rPr>
      </w:pPr>
      <w:r w:rsidRPr="00F07661">
        <w:rPr>
          <w:rFonts w:asciiTheme="minorHAnsi" w:hAnsiTheme="minorHAnsi" w:cstheme="minorHAnsi"/>
        </w:rPr>
        <w:t>Other active grants (health insurance promotion, Latinx family engagement project, Microsoft projects</w:t>
      </w:r>
      <w:r w:rsidR="00F07661" w:rsidRPr="00F07661">
        <w:rPr>
          <w:rFonts w:asciiTheme="minorHAnsi" w:hAnsiTheme="minorHAnsi" w:cstheme="minorHAnsi"/>
        </w:rPr>
        <w:t>, short story project</w:t>
      </w:r>
      <w:r w:rsidR="00F1064C">
        <w:rPr>
          <w:rFonts w:asciiTheme="minorHAnsi" w:hAnsiTheme="minorHAnsi" w:cstheme="minorHAnsi"/>
        </w:rPr>
        <w:t xml:space="preserve"> completion, and AT&amp;T projects</w:t>
      </w:r>
      <w:r w:rsidRPr="00F07661">
        <w:rPr>
          <w:rFonts w:asciiTheme="minorHAnsi" w:hAnsiTheme="minorHAnsi" w:cstheme="minorHAnsi"/>
        </w:rPr>
        <w:t xml:space="preserve">) are </w:t>
      </w:r>
      <w:r w:rsidR="00F07661" w:rsidRPr="00F07661">
        <w:rPr>
          <w:rFonts w:asciiTheme="minorHAnsi" w:hAnsiTheme="minorHAnsi" w:cstheme="minorHAnsi"/>
        </w:rPr>
        <w:t>generally on track.</w:t>
      </w:r>
    </w:p>
    <w:p w14:paraId="66FC9A33" w14:textId="2E3EDFAC" w:rsidR="007F06D1" w:rsidRDefault="007F06D1" w:rsidP="007F06D1">
      <w:pPr>
        <w:rPr>
          <w:rFonts w:asciiTheme="minorHAnsi" w:hAnsiTheme="minorHAnsi" w:cstheme="minorHAnsi"/>
        </w:rPr>
      </w:pPr>
    </w:p>
    <w:p w14:paraId="3D179F21" w14:textId="4E408011" w:rsidR="007F06D1" w:rsidRDefault="007F06D1" w:rsidP="007F06D1">
      <w:pPr>
        <w:rPr>
          <w:rFonts w:asciiTheme="minorHAnsi" w:hAnsiTheme="minorHAnsi" w:cstheme="minorHAnsi"/>
        </w:rPr>
      </w:pPr>
    </w:p>
    <w:p w14:paraId="3413B97A" w14:textId="77777777" w:rsidR="007F06D1" w:rsidRDefault="007F06D1" w:rsidP="007F06D1">
      <w:pPr>
        <w:rPr>
          <w:rFonts w:asciiTheme="minorHAnsi" w:hAnsiTheme="minorHAnsi" w:cstheme="minorHAnsi"/>
        </w:rPr>
      </w:pPr>
      <w:r>
        <w:rPr>
          <w:rFonts w:asciiTheme="minorHAnsi" w:hAnsiTheme="minorHAnsi" w:cstheme="minorHAnsi"/>
          <w:u w:val="single"/>
        </w:rPr>
        <w:t>Overhead to ALA:</w:t>
      </w:r>
      <w:r>
        <w:rPr>
          <w:rFonts w:asciiTheme="minorHAnsi" w:hAnsiTheme="minorHAnsi" w:cstheme="minorHAnsi"/>
        </w:rPr>
        <w:t xml:space="preserve"> Between the operating budget and grants, PLA is budgeted to provide ALA with about $157,000 in overhead in FY21. As of Q3, ALA has assessed $48,000, or about 30% of that amount. </w:t>
      </w:r>
    </w:p>
    <w:p w14:paraId="1B7DE62B" w14:textId="27A4EF45" w:rsidR="007F06D1" w:rsidRDefault="007F06D1" w:rsidP="007F06D1">
      <w:pPr>
        <w:pStyle w:val="ListParagraph"/>
        <w:numPr>
          <w:ilvl w:val="0"/>
          <w:numId w:val="10"/>
        </w:numPr>
        <w:rPr>
          <w:rFonts w:asciiTheme="minorHAnsi" w:hAnsiTheme="minorHAnsi" w:cstheme="minorHAnsi"/>
        </w:rPr>
      </w:pPr>
      <w:r w:rsidRPr="007F06D1">
        <w:rPr>
          <w:rFonts w:asciiTheme="minorHAnsi" w:hAnsiTheme="minorHAnsi" w:cstheme="minorHAnsi"/>
        </w:rPr>
        <w:lastRenderedPageBreak/>
        <w:t xml:space="preserve">Overhead in PLA’s operating budget, which generally comes </w:t>
      </w:r>
      <w:proofErr w:type="gramStart"/>
      <w:r w:rsidRPr="007F06D1">
        <w:rPr>
          <w:rFonts w:asciiTheme="minorHAnsi" w:hAnsiTheme="minorHAnsi" w:cstheme="minorHAnsi"/>
        </w:rPr>
        <w:t>off of</w:t>
      </w:r>
      <w:proofErr w:type="gramEnd"/>
      <w:r w:rsidRPr="007F06D1">
        <w:rPr>
          <w:rFonts w:asciiTheme="minorHAnsi" w:hAnsiTheme="minorHAnsi" w:cstheme="minorHAnsi"/>
        </w:rPr>
        <w:t xml:space="preserve"> registration revenue, is assessed as revenue comes in</w:t>
      </w:r>
      <w:r>
        <w:rPr>
          <w:rFonts w:asciiTheme="minorHAnsi" w:hAnsiTheme="minorHAnsi" w:cstheme="minorHAnsi"/>
        </w:rPr>
        <w:t xml:space="preserve">, and PLA has been charged $24,841 against a budgeted amount of $37,491 (a $12,651 difference). </w:t>
      </w:r>
      <w:r w:rsidR="00A804AA">
        <w:rPr>
          <w:rFonts w:asciiTheme="minorHAnsi" w:hAnsiTheme="minorHAnsi" w:cstheme="minorHAnsi"/>
        </w:rPr>
        <w:t>This is in part due to cancellation of in-person trainings as noted above (no event = no registration fee = no overhead). However, also noted above, PLA’s success with webinars and virtual events will continue to generate overhead, and PLA may come in closer to budgeted overhead than expected.</w:t>
      </w:r>
    </w:p>
    <w:p w14:paraId="0AFC39CF" w14:textId="77777777" w:rsidR="001146D2" w:rsidRDefault="001146D2" w:rsidP="007F06D1">
      <w:pPr>
        <w:pStyle w:val="ListParagraph"/>
        <w:numPr>
          <w:ilvl w:val="0"/>
          <w:numId w:val="10"/>
        </w:numPr>
        <w:rPr>
          <w:rFonts w:asciiTheme="minorHAnsi" w:hAnsiTheme="minorHAnsi" w:cstheme="minorHAnsi"/>
        </w:rPr>
      </w:pPr>
      <w:r>
        <w:rPr>
          <w:rFonts w:asciiTheme="minorHAnsi" w:hAnsiTheme="minorHAnsi" w:cstheme="minorHAnsi"/>
        </w:rPr>
        <w:t xml:space="preserve">PLA only budgeted $102,000 on overhead fees for grants spending, because as noted above, only one grant was </w:t>
      </w:r>
      <w:proofErr w:type="gramStart"/>
      <w:r>
        <w:rPr>
          <w:rFonts w:asciiTheme="minorHAnsi" w:hAnsiTheme="minorHAnsi" w:cstheme="minorHAnsi"/>
        </w:rPr>
        <w:t>actually included</w:t>
      </w:r>
      <w:proofErr w:type="gramEnd"/>
      <w:r>
        <w:rPr>
          <w:rFonts w:asciiTheme="minorHAnsi" w:hAnsiTheme="minorHAnsi" w:cstheme="minorHAnsi"/>
        </w:rPr>
        <w:t xml:space="preserve"> in the budget. </w:t>
      </w:r>
    </w:p>
    <w:p w14:paraId="16224CBE" w14:textId="061C00EC" w:rsidR="001146D2" w:rsidRDefault="00A804AA" w:rsidP="001146D2">
      <w:pPr>
        <w:pStyle w:val="ListParagraph"/>
        <w:numPr>
          <w:ilvl w:val="1"/>
          <w:numId w:val="10"/>
        </w:numPr>
        <w:rPr>
          <w:rFonts w:asciiTheme="minorHAnsi" w:hAnsiTheme="minorHAnsi" w:cstheme="minorHAnsi"/>
        </w:rPr>
      </w:pPr>
      <w:r>
        <w:rPr>
          <w:rFonts w:asciiTheme="minorHAnsi" w:hAnsiTheme="minorHAnsi" w:cstheme="minorHAnsi"/>
        </w:rPr>
        <w:t xml:space="preserve">Overhead fees on grants vary based on funder guidelines, but every active PLA grant has </w:t>
      </w:r>
      <w:r w:rsidR="0088427A">
        <w:rPr>
          <w:rFonts w:asciiTheme="minorHAnsi" w:hAnsiTheme="minorHAnsi" w:cstheme="minorHAnsi"/>
        </w:rPr>
        <w:t xml:space="preserve">some </w:t>
      </w:r>
      <w:r>
        <w:rPr>
          <w:rFonts w:asciiTheme="minorHAnsi" w:hAnsiTheme="minorHAnsi" w:cstheme="minorHAnsi"/>
        </w:rPr>
        <w:t xml:space="preserve">overhead budgeted, ranging from about 7% (the health insurance project) to 14% (the IMLS grant), with most (Microsoft, Gates, AT&amp;T) at 12%. </w:t>
      </w:r>
    </w:p>
    <w:p w14:paraId="430E675B" w14:textId="3745E8F3" w:rsidR="001146D2" w:rsidRDefault="001146D2" w:rsidP="001146D2">
      <w:pPr>
        <w:pStyle w:val="ListParagraph"/>
        <w:numPr>
          <w:ilvl w:val="1"/>
          <w:numId w:val="10"/>
        </w:numPr>
        <w:rPr>
          <w:rFonts w:asciiTheme="minorHAnsi" w:hAnsiTheme="minorHAnsi" w:cstheme="minorHAnsi"/>
        </w:rPr>
      </w:pPr>
      <w:r>
        <w:rPr>
          <w:rFonts w:asciiTheme="minorHAnsi" w:hAnsiTheme="minorHAnsi" w:cstheme="minorHAnsi"/>
        </w:rPr>
        <w:t>As of Q3, PLA has been assessed $23,262 in overhead on grants.</w:t>
      </w:r>
    </w:p>
    <w:p w14:paraId="7B0A0788" w14:textId="16034DC6" w:rsidR="00A804AA" w:rsidRPr="007F06D1" w:rsidRDefault="00A804AA" w:rsidP="001146D2">
      <w:pPr>
        <w:pStyle w:val="ListParagraph"/>
        <w:numPr>
          <w:ilvl w:val="1"/>
          <w:numId w:val="10"/>
        </w:numPr>
        <w:rPr>
          <w:rFonts w:asciiTheme="minorHAnsi" w:hAnsiTheme="minorHAnsi" w:cstheme="minorHAnsi"/>
        </w:rPr>
      </w:pPr>
      <w:r>
        <w:rPr>
          <w:rFonts w:asciiTheme="minorHAnsi" w:hAnsiTheme="minorHAnsi" w:cstheme="minorHAnsi"/>
        </w:rPr>
        <w:t xml:space="preserve">Assessment of grant revenue has been inconsistent, so the figure above does not reflect the amount to which ALA is entitled. As of Q3, PLA estimates </w:t>
      </w:r>
      <w:r w:rsidR="001146D2">
        <w:rPr>
          <w:rFonts w:asciiTheme="minorHAnsi" w:hAnsiTheme="minorHAnsi" w:cstheme="minorHAnsi"/>
        </w:rPr>
        <w:t xml:space="preserve">an additional </w:t>
      </w:r>
      <w:r>
        <w:rPr>
          <w:rFonts w:asciiTheme="minorHAnsi" w:hAnsiTheme="minorHAnsi" w:cstheme="minorHAnsi"/>
        </w:rPr>
        <w:t>$119,000</w:t>
      </w:r>
      <w:r w:rsidR="001146D2">
        <w:rPr>
          <w:rFonts w:asciiTheme="minorHAnsi" w:hAnsiTheme="minorHAnsi" w:cstheme="minorHAnsi"/>
        </w:rPr>
        <w:t xml:space="preserve"> in overhead </w:t>
      </w:r>
      <w:r w:rsidR="001146D2">
        <w:rPr>
          <w:rFonts w:asciiTheme="minorHAnsi" w:hAnsiTheme="minorHAnsi" w:cstheme="minorHAnsi"/>
          <w:i/>
          <w:iCs/>
        </w:rPr>
        <w:t xml:space="preserve">should </w:t>
      </w:r>
      <w:r w:rsidR="001146D2">
        <w:rPr>
          <w:rFonts w:asciiTheme="minorHAnsi" w:hAnsiTheme="minorHAnsi" w:cstheme="minorHAnsi"/>
        </w:rPr>
        <w:t xml:space="preserve">have been assessed, based on grant </w:t>
      </w:r>
      <w:proofErr w:type="gramStart"/>
      <w:r w:rsidR="001146D2">
        <w:rPr>
          <w:rFonts w:asciiTheme="minorHAnsi" w:hAnsiTheme="minorHAnsi" w:cstheme="minorHAnsi"/>
        </w:rPr>
        <w:t>spending</w:t>
      </w:r>
      <w:proofErr w:type="gramEnd"/>
      <w:r w:rsidR="001146D2">
        <w:rPr>
          <w:rFonts w:asciiTheme="minorHAnsi" w:hAnsiTheme="minorHAnsi" w:cstheme="minorHAnsi"/>
        </w:rPr>
        <w:t xml:space="preserve"> and approved overhead rates in each grant. That puts the true amount of overhead from PLA grant spending at $142,262, which is about $40,000 over budget for the entire year.</w:t>
      </w:r>
    </w:p>
    <w:sectPr w:rsidR="00A804AA" w:rsidRPr="007F06D1" w:rsidSect="004B0A10">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6A8C" w14:textId="77777777" w:rsidR="0047634D" w:rsidRDefault="0047634D" w:rsidP="00D77AFC">
      <w:r>
        <w:separator/>
      </w:r>
    </w:p>
  </w:endnote>
  <w:endnote w:type="continuationSeparator" w:id="0">
    <w:p w14:paraId="7C46F025" w14:textId="77777777" w:rsidR="0047634D" w:rsidRDefault="0047634D" w:rsidP="00D7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03E1" w14:textId="77777777" w:rsidR="0047634D" w:rsidRDefault="0047634D" w:rsidP="00D77AFC">
      <w:r>
        <w:separator/>
      </w:r>
    </w:p>
  </w:footnote>
  <w:footnote w:type="continuationSeparator" w:id="0">
    <w:p w14:paraId="5FE684D9" w14:textId="77777777" w:rsidR="0047634D" w:rsidRDefault="0047634D" w:rsidP="00D7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8012" w14:textId="77777777" w:rsidR="00345697" w:rsidRPr="00345697" w:rsidRDefault="00345697" w:rsidP="00345697">
    <w:pPr>
      <w:pStyle w:val="Header"/>
      <w:jc w:val="right"/>
      <w:rPr>
        <w:rFonts w:asciiTheme="minorHAnsi" w:hAnsiTheme="minorHAnsi" w:cstheme="minorHAnsi"/>
        <w:sz w:val="22"/>
        <w:szCs w:val="22"/>
      </w:rPr>
    </w:pPr>
    <w:r w:rsidRPr="00345697">
      <w:rPr>
        <w:rFonts w:asciiTheme="minorHAnsi" w:hAnsiTheme="minorHAnsi" w:cstheme="minorHAnsi"/>
        <w:sz w:val="22"/>
        <w:szCs w:val="22"/>
      </w:rPr>
      <w:t>PLA Board of Directors</w:t>
    </w:r>
  </w:p>
  <w:p w14:paraId="32A8E87D" w14:textId="77777777" w:rsidR="00345697" w:rsidRPr="00345697" w:rsidRDefault="00345697" w:rsidP="00345697">
    <w:pPr>
      <w:pStyle w:val="Header"/>
      <w:jc w:val="right"/>
      <w:rPr>
        <w:rFonts w:asciiTheme="minorHAnsi" w:hAnsiTheme="minorHAnsi" w:cstheme="minorHAnsi"/>
        <w:sz w:val="22"/>
        <w:szCs w:val="22"/>
      </w:rPr>
    </w:pPr>
    <w:r w:rsidRPr="00345697">
      <w:rPr>
        <w:rFonts w:asciiTheme="minorHAnsi" w:hAnsiTheme="minorHAnsi" w:cstheme="minorHAnsi"/>
        <w:sz w:val="22"/>
        <w:szCs w:val="22"/>
      </w:rPr>
      <w:t xml:space="preserve">September 10, </w:t>
    </w:r>
    <w:proofErr w:type="gramStart"/>
    <w:r w:rsidRPr="00345697">
      <w:rPr>
        <w:rFonts w:asciiTheme="minorHAnsi" w:hAnsiTheme="minorHAnsi" w:cstheme="minorHAnsi"/>
        <w:sz w:val="22"/>
        <w:szCs w:val="22"/>
      </w:rPr>
      <w:t>2021</w:t>
    </w:r>
    <w:proofErr w:type="gramEnd"/>
    <w:r w:rsidRPr="00345697">
      <w:rPr>
        <w:rFonts w:asciiTheme="minorHAnsi" w:hAnsiTheme="minorHAnsi" w:cstheme="minorHAnsi"/>
        <w:sz w:val="22"/>
        <w:szCs w:val="22"/>
      </w:rPr>
      <w:t xml:space="preserve"> Virtual Meeting</w:t>
    </w:r>
  </w:p>
  <w:p w14:paraId="14EBD4DC" w14:textId="7C8A769E" w:rsidR="00345697" w:rsidRPr="00345697" w:rsidRDefault="00345697" w:rsidP="00345697">
    <w:pPr>
      <w:pStyle w:val="Header"/>
      <w:jc w:val="right"/>
      <w:rPr>
        <w:rFonts w:asciiTheme="minorHAnsi" w:hAnsiTheme="minorHAnsi" w:cstheme="minorHAnsi"/>
        <w:sz w:val="22"/>
        <w:szCs w:val="22"/>
      </w:rPr>
    </w:pPr>
    <w:r w:rsidRPr="00345697">
      <w:rPr>
        <w:rFonts w:asciiTheme="minorHAnsi" w:hAnsiTheme="minorHAnsi" w:cstheme="minorHAnsi"/>
        <w:sz w:val="22"/>
        <w:szCs w:val="22"/>
      </w:rPr>
      <w:t>Document no.: 2022.</w:t>
    </w:r>
    <w:r w:rsidRPr="00345697">
      <w:rPr>
        <w:rFonts w:asciiTheme="minorHAnsi" w:hAnsiTheme="minorHAnsi" w:cstheme="minorHAnsi"/>
        <w:sz w:val="22"/>
        <w:szCs w:val="22"/>
      </w:rPr>
      <w:t>4</w:t>
    </w:r>
  </w:p>
  <w:p w14:paraId="17FA3958" w14:textId="77777777" w:rsidR="00345697" w:rsidRDefault="00345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360"/>
    <w:multiLevelType w:val="hybridMultilevel"/>
    <w:tmpl w:val="355213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D0E4828"/>
    <w:multiLevelType w:val="hybridMultilevel"/>
    <w:tmpl w:val="D508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05A4B"/>
    <w:multiLevelType w:val="multilevel"/>
    <w:tmpl w:val="61600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460428"/>
    <w:multiLevelType w:val="hybridMultilevel"/>
    <w:tmpl w:val="932A2C60"/>
    <w:lvl w:ilvl="0" w:tplc="1F5EBB86">
      <w:start w:val="2019"/>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424D2"/>
    <w:multiLevelType w:val="hybridMultilevel"/>
    <w:tmpl w:val="0F8E2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E7107"/>
    <w:multiLevelType w:val="hybridMultilevel"/>
    <w:tmpl w:val="FE0CDD4C"/>
    <w:lvl w:ilvl="0" w:tplc="3DEC0B96">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B10C5"/>
    <w:multiLevelType w:val="hybridMultilevel"/>
    <w:tmpl w:val="322A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37D17"/>
    <w:multiLevelType w:val="hybridMultilevel"/>
    <w:tmpl w:val="7E6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544AC"/>
    <w:multiLevelType w:val="hybridMultilevel"/>
    <w:tmpl w:val="9EC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D1A07"/>
    <w:multiLevelType w:val="hybridMultilevel"/>
    <w:tmpl w:val="1EC24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9D15E4"/>
    <w:multiLevelType w:val="hybridMultilevel"/>
    <w:tmpl w:val="03C62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7"/>
  </w:num>
  <w:num w:numId="7">
    <w:abstractNumId w:val="6"/>
  </w:num>
  <w:num w:numId="8">
    <w:abstractNumId w:val="8"/>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4A"/>
    <w:rsid w:val="00001D56"/>
    <w:rsid w:val="00015918"/>
    <w:rsid w:val="000328E6"/>
    <w:rsid w:val="00033DED"/>
    <w:rsid w:val="0003768C"/>
    <w:rsid w:val="00040694"/>
    <w:rsid w:val="00041EBC"/>
    <w:rsid w:val="000448C0"/>
    <w:rsid w:val="00051D01"/>
    <w:rsid w:val="00052BFE"/>
    <w:rsid w:val="00066FDA"/>
    <w:rsid w:val="00067823"/>
    <w:rsid w:val="00074D3D"/>
    <w:rsid w:val="000825E8"/>
    <w:rsid w:val="0008346F"/>
    <w:rsid w:val="00087570"/>
    <w:rsid w:val="0009611B"/>
    <w:rsid w:val="0009650A"/>
    <w:rsid w:val="00097DA5"/>
    <w:rsid w:val="000A512F"/>
    <w:rsid w:val="000C3AE4"/>
    <w:rsid w:val="000C6E64"/>
    <w:rsid w:val="000C74F9"/>
    <w:rsid w:val="000D543F"/>
    <w:rsid w:val="000E032B"/>
    <w:rsid w:val="00102334"/>
    <w:rsid w:val="001146D2"/>
    <w:rsid w:val="00114C41"/>
    <w:rsid w:val="00120674"/>
    <w:rsid w:val="0013289E"/>
    <w:rsid w:val="001355DE"/>
    <w:rsid w:val="00156E6E"/>
    <w:rsid w:val="0016145B"/>
    <w:rsid w:val="0017455D"/>
    <w:rsid w:val="00182C7D"/>
    <w:rsid w:val="001906E9"/>
    <w:rsid w:val="001A6FFA"/>
    <w:rsid w:val="001B335B"/>
    <w:rsid w:val="00216518"/>
    <w:rsid w:val="00217AF7"/>
    <w:rsid w:val="002474F3"/>
    <w:rsid w:val="0025022E"/>
    <w:rsid w:val="00253919"/>
    <w:rsid w:val="002553AC"/>
    <w:rsid w:val="00256C4C"/>
    <w:rsid w:val="00265906"/>
    <w:rsid w:val="00277F2D"/>
    <w:rsid w:val="0028379B"/>
    <w:rsid w:val="00284A57"/>
    <w:rsid w:val="00295BA6"/>
    <w:rsid w:val="002A4318"/>
    <w:rsid w:val="002A46AE"/>
    <w:rsid w:val="002B1B2B"/>
    <w:rsid w:val="002B57F3"/>
    <w:rsid w:val="002D0836"/>
    <w:rsid w:val="002D28C0"/>
    <w:rsid w:val="002D6B21"/>
    <w:rsid w:val="002E6F20"/>
    <w:rsid w:val="002F27C3"/>
    <w:rsid w:val="002F4FD1"/>
    <w:rsid w:val="00302609"/>
    <w:rsid w:val="003053B6"/>
    <w:rsid w:val="00310C52"/>
    <w:rsid w:val="00313F72"/>
    <w:rsid w:val="00316C04"/>
    <w:rsid w:val="00320312"/>
    <w:rsid w:val="0034052C"/>
    <w:rsid w:val="00340B46"/>
    <w:rsid w:val="00345697"/>
    <w:rsid w:val="00346867"/>
    <w:rsid w:val="00356EBF"/>
    <w:rsid w:val="00357F04"/>
    <w:rsid w:val="0036151E"/>
    <w:rsid w:val="00386212"/>
    <w:rsid w:val="0039299D"/>
    <w:rsid w:val="003C3A1D"/>
    <w:rsid w:val="003E5C6C"/>
    <w:rsid w:val="00402835"/>
    <w:rsid w:val="00405F74"/>
    <w:rsid w:val="00411519"/>
    <w:rsid w:val="00414458"/>
    <w:rsid w:val="00415C44"/>
    <w:rsid w:val="00424D56"/>
    <w:rsid w:val="00425AF1"/>
    <w:rsid w:val="0043074E"/>
    <w:rsid w:val="00433AD9"/>
    <w:rsid w:val="00437426"/>
    <w:rsid w:val="00442B24"/>
    <w:rsid w:val="00443492"/>
    <w:rsid w:val="00444F51"/>
    <w:rsid w:val="0047062B"/>
    <w:rsid w:val="004738DF"/>
    <w:rsid w:val="0047634D"/>
    <w:rsid w:val="00495D7B"/>
    <w:rsid w:val="004A2B57"/>
    <w:rsid w:val="004B0A10"/>
    <w:rsid w:val="004B18B2"/>
    <w:rsid w:val="004B6A6B"/>
    <w:rsid w:val="004C3FBF"/>
    <w:rsid w:val="004C5FC3"/>
    <w:rsid w:val="004E55CB"/>
    <w:rsid w:val="0050463F"/>
    <w:rsid w:val="0051293D"/>
    <w:rsid w:val="005224FA"/>
    <w:rsid w:val="00534DAE"/>
    <w:rsid w:val="00537A47"/>
    <w:rsid w:val="00544DA3"/>
    <w:rsid w:val="00546CF8"/>
    <w:rsid w:val="0055215A"/>
    <w:rsid w:val="00556C65"/>
    <w:rsid w:val="00562005"/>
    <w:rsid w:val="00573F34"/>
    <w:rsid w:val="00582C53"/>
    <w:rsid w:val="00592D90"/>
    <w:rsid w:val="005957D8"/>
    <w:rsid w:val="005B6EDE"/>
    <w:rsid w:val="005B7149"/>
    <w:rsid w:val="005D5242"/>
    <w:rsid w:val="005E03CE"/>
    <w:rsid w:val="005F5657"/>
    <w:rsid w:val="00626D85"/>
    <w:rsid w:val="00635296"/>
    <w:rsid w:val="00645C46"/>
    <w:rsid w:val="006466F6"/>
    <w:rsid w:val="00673A0F"/>
    <w:rsid w:val="0069733C"/>
    <w:rsid w:val="006A40F8"/>
    <w:rsid w:val="006B49AC"/>
    <w:rsid w:val="006C40DE"/>
    <w:rsid w:val="006D629D"/>
    <w:rsid w:val="006D6503"/>
    <w:rsid w:val="006F0CD3"/>
    <w:rsid w:val="006F132A"/>
    <w:rsid w:val="006F67A0"/>
    <w:rsid w:val="007076AA"/>
    <w:rsid w:val="0073345D"/>
    <w:rsid w:val="00733FD1"/>
    <w:rsid w:val="00741B29"/>
    <w:rsid w:val="007542ED"/>
    <w:rsid w:val="00761259"/>
    <w:rsid w:val="00765650"/>
    <w:rsid w:val="0077529F"/>
    <w:rsid w:val="00786A60"/>
    <w:rsid w:val="007912E3"/>
    <w:rsid w:val="00792D16"/>
    <w:rsid w:val="007C389B"/>
    <w:rsid w:val="007D1269"/>
    <w:rsid w:val="007F06D1"/>
    <w:rsid w:val="007F5DA8"/>
    <w:rsid w:val="0081161C"/>
    <w:rsid w:val="008130BC"/>
    <w:rsid w:val="00817E93"/>
    <w:rsid w:val="00834DB1"/>
    <w:rsid w:val="008374E4"/>
    <w:rsid w:val="00843422"/>
    <w:rsid w:val="0084566C"/>
    <w:rsid w:val="00854B66"/>
    <w:rsid w:val="00867426"/>
    <w:rsid w:val="00874050"/>
    <w:rsid w:val="00881270"/>
    <w:rsid w:val="0088427A"/>
    <w:rsid w:val="00891532"/>
    <w:rsid w:val="008B0E11"/>
    <w:rsid w:val="008C0F0B"/>
    <w:rsid w:val="008D1846"/>
    <w:rsid w:val="008D73C5"/>
    <w:rsid w:val="008F3B3E"/>
    <w:rsid w:val="008F4988"/>
    <w:rsid w:val="009254D1"/>
    <w:rsid w:val="00926CC8"/>
    <w:rsid w:val="00927FF6"/>
    <w:rsid w:val="00940C83"/>
    <w:rsid w:val="009453E5"/>
    <w:rsid w:val="00952546"/>
    <w:rsid w:val="00964193"/>
    <w:rsid w:val="00974C47"/>
    <w:rsid w:val="009846CC"/>
    <w:rsid w:val="009C3E72"/>
    <w:rsid w:val="009C60E0"/>
    <w:rsid w:val="009E5024"/>
    <w:rsid w:val="009E67A2"/>
    <w:rsid w:val="009F1B79"/>
    <w:rsid w:val="009F6322"/>
    <w:rsid w:val="00A11259"/>
    <w:rsid w:val="00A16D21"/>
    <w:rsid w:val="00A35B5A"/>
    <w:rsid w:val="00A44013"/>
    <w:rsid w:val="00A67305"/>
    <w:rsid w:val="00A804AA"/>
    <w:rsid w:val="00A82C7C"/>
    <w:rsid w:val="00A85A67"/>
    <w:rsid w:val="00A86AC5"/>
    <w:rsid w:val="00AA02AB"/>
    <w:rsid w:val="00AD7BB8"/>
    <w:rsid w:val="00AD7E18"/>
    <w:rsid w:val="00AE544A"/>
    <w:rsid w:val="00AF3327"/>
    <w:rsid w:val="00B10D6D"/>
    <w:rsid w:val="00B1101F"/>
    <w:rsid w:val="00B15058"/>
    <w:rsid w:val="00B15D8F"/>
    <w:rsid w:val="00B23696"/>
    <w:rsid w:val="00B3362C"/>
    <w:rsid w:val="00B33780"/>
    <w:rsid w:val="00B33D93"/>
    <w:rsid w:val="00B53E86"/>
    <w:rsid w:val="00B54D65"/>
    <w:rsid w:val="00B561F1"/>
    <w:rsid w:val="00B6185A"/>
    <w:rsid w:val="00B65449"/>
    <w:rsid w:val="00B77C41"/>
    <w:rsid w:val="00B77F8D"/>
    <w:rsid w:val="00B822CC"/>
    <w:rsid w:val="00B84F45"/>
    <w:rsid w:val="00B953F8"/>
    <w:rsid w:val="00BA041A"/>
    <w:rsid w:val="00BC1200"/>
    <w:rsid w:val="00BC4143"/>
    <w:rsid w:val="00BD1C6D"/>
    <w:rsid w:val="00BE0549"/>
    <w:rsid w:val="00C17C8E"/>
    <w:rsid w:val="00C255A8"/>
    <w:rsid w:val="00C27CE6"/>
    <w:rsid w:val="00C31BAC"/>
    <w:rsid w:val="00C343E2"/>
    <w:rsid w:val="00C34D30"/>
    <w:rsid w:val="00C34F2C"/>
    <w:rsid w:val="00C36A58"/>
    <w:rsid w:val="00C3733B"/>
    <w:rsid w:val="00C3761D"/>
    <w:rsid w:val="00C44958"/>
    <w:rsid w:val="00C44CA3"/>
    <w:rsid w:val="00C44CBC"/>
    <w:rsid w:val="00C4715C"/>
    <w:rsid w:val="00C5176C"/>
    <w:rsid w:val="00C544FE"/>
    <w:rsid w:val="00C6183F"/>
    <w:rsid w:val="00C6486A"/>
    <w:rsid w:val="00C716D7"/>
    <w:rsid w:val="00C74202"/>
    <w:rsid w:val="00C7690F"/>
    <w:rsid w:val="00C77E2D"/>
    <w:rsid w:val="00C87549"/>
    <w:rsid w:val="00C943B1"/>
    <w:rsid w:val="00C95EFB"/>
    <w:rsid w:val="00C97F0F"/>
    <w:rsid w:val="00CA080C"/>
    <w:rsid w:val="00CA3906"/>
    <w:rsid w:val="00CB7EA8"/>
    <w:rsid w:val="00CC0A08"/>
    <w:rsid w:val="00CC2F0A"/>
    <w:rsid w:val="00CD716D"/>
    <w:rsid w:val="00CE1AA7"/>
    <w:rsid w:val="00D0217D"/>
    <w:rsid w:val="00D100FA"/>
    <w:rsid w:val="00D11622"/>
    <w:rsid w:val="00D1600D"/>
    <w:rsid w:val="00D162C9"/>
    <w:rsid w:val="00D16397"/>
    <w:rsid w:val="00D166BC"/>
    <w:rsid w:val="00D209F0"/>
    <w:rsid w:val="00D3328E"/>
    <w:rsid w:val="00D34667"/>
    <w:rsid w:val="00D44F24"/>
    <w:rsid w:val="00D57D28"/>
    <w:rsid w:val="00D72B4E"/>
    <w:rsid w:val="00D77AFC"/>
    <w:rsid w:val="00D87AAC"/>
    <w:rsid w:val="00D93C96"/>
    <w:rsid w:val="00DA3DE8"/>
    <w:rsid w:val="00DA3FCA"/>
    <w:rsid w:val="00DB0302"/>
    <w:rsid w:val="00DD2A09"/>
    <w:rsid w:val="00DD76DD"/>
    <w:rsid w:val="00DE04F6"/>
    <w:rsid w:val="00DE6F47"/>
    <w:rsid w:val="00DE793C"/>
    <w:rsid w:val="00E07A6F"/>
    <w:rsid w:val="00E11993"/>
    <w:rsid w:val="00E2260D"/>
    <w:rsid w:val="00E30603"/>
    <w:rsid w:val="00E32773"/>
    <w:rsid w:val="00E37F41"/>
    <w:rsid w:val="00E40392"/>
    <w:rsid w:val="00E572AC"/>
    <w:rsid w:val="00E6074C"/>
    <w:rsid w:val="00E63BCD"/>
    <w:rsid w:val="00E64785"/>
    <w:rsid w:val="00E70720"/>
    <w:rsid w:val="00E71946"/>
    <w:rsid w:val="00E769C9"/>
    <w:rsid w:val="00E805CC"/>
    <w:rsid w:val="00E80B1E"/>
    <w:rsid w:val="00E83C72"/>
    <w:rsid w:val="00E83CB4"/>
    <w:rsid w:val="00E85518"/>
    <w:rsid w:val="00E86636"/>
    <w:rsid w:val="00E95FF8"/>
    <w:rsid w:val="00EB10C0"/>
    <w:rsid w:val="00EB2CF8"/>
    <w:rsid w:val="00EB31FE"/>
    <w:rsid w:val="00EB3851"/>
    <w:rsid w:val="00ED693C"/>
    <w:rsid w:val="00EE2579"/>
    <w:rsid w:val="00EF3161"/>
    <w:rsid w:val="00EF3890"/>
    <w:rsid w:val="00EF7E31"/>
    <w:rsid w:val="00F00437"/>
    <w:rsid w:val="00F055C8"/>
    <w:rsid w:val="00F07661"/>
    <w:rsid w:val="00F105A0"/>
    <w:rsid w:val="00F1064C"/>
    <w:rsid w:val="00F12736"/>
    <w:rsid w:val="00F209CE"/>
    <w:rsid w:val="00F20B36"/>
    <w:rsid w:val="00F2597D"/>
    <w:rsid w:val="00F42F14"/>
    <w:rsid w:val="00F53D26"/>
    <w:rsid w:val="00F54582"/>
    <w:rsid w:val="00F75DEE"/>
    <w:rsid w:val="00F832E5"/>
    <w:rsid w:val="00FA13C8"/>
    <w:rsid w:val="00FB7024"/>
    <w:rsid w:val="00FB7476"/>
    <w:rsid w:val="00FC72B4"/>
    <w:rsid w:val="00FD1E5C"/>
    <w:rsid w:val="00FD2734"/>
    <w:rsid w:val="00FD3569"/>
    <w:rsid w:val="00FE3E89"/>
    <w:rsid w:val="00FE5A9E"/>
    <w:rsid w:val="00FE7690"/>
    <w:rsid w:val="00FF34A4"/>
    <w:rsid w:val="00FF3821"/>
    <w:rsid w:val="00FF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B6AA8"/>
  <w15:docId w15:val="{670D9D3B-22C3-482F-93B1-F67AB9E7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5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12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12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77AFC"/>
    <w:pPr>
      <w:outlineLvl w:val="0"/>
    </w:pPr>
    <w:rPr>
      <w:rFonts w:ascii="Helvetica" w:eastAsia="Arial Unicode MS" w:hAnsi="Helvetica" w:cs="Times New Roman"/>
      <w:color w:val="000000"/>
      <w:szCs w:val="20"/>
      <w:u w:color="000000"/>
    </w:rPr>
  </w:style>
  <w:style w:type="paragraph" w:styleId="Header">
    <w:name w:val="header"/>
    <w:basedOn w:val="Normal"/>
    <w:link w:val="HeaderChar"/>
    <w:uiPriority w:val="99"/>
    <w:unhideWhenUsed/>
    <w:rsid w:val="00D77AFC"/>
    <w:pPr>
      <w:tabs>
        <w:tab w:val="center" w:pos="4680"/>
        <w:tab w:val="right" w:pos="9360"/>
      </w:tabs>
    </w:pPr>
  </w:style>
  <w:style w:type="character" w:customStyle="1" w:styleId="HeaderChar">
    <w:name w:val="Header Char"/>
    <w:basedOn w:val="DefaultParagraphFont"/>
    <w:link w:val="Header"/>
    <w:uiPriority w:val="99"/>
    <w:rsid w:val="00D77A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7AFC"/>
    <w:pPr>
      <w:tabs>
        <w:tab w:val="center" w:pos="4680"/>
        <w:tab w:val="right" w:pos="9360"/>
      </w:tabs>
    </w:pPr>
  </w:style>
  <w:style w:type="character" w:customStyle="1" w:styleId="FooterChar">
    <w:name w:val="Footer Char"/>
    <w:basedOn w:val="DefaultParagraphFont"/>
    <w:link w:val="Footer"/>
    <w:uiPriority w:val="99"/>
    <w:rsid w:val="00D77AFC"/>
    <w:rPr>
      <w:rFonts w:ascii="Times New Roman" w:eastAsia="Times New Roman" w:hAnsi="Times New Roman" w:cs="Times New Roman"/>
      <w:sz w:val="24"/>
      <w:szCs w:val="24"/>
    </w:rPr>
  </w:style>
  <w:style w:type="paragraph" w:styleId="ListParagraph">
    <w:name w:val="List Paragraph"/>
    <w:basedOn w:val="Normal"/>
    <w:uiPriority w:val="34"/>
    <w:qFormat/>
    <w:rsid w:val="009F1B79"/>
    <w:pPr>
      <w:ind w:left="720"/>
      <w:contextualSpacing/>
    </w:pPr>
  </w:style>
  <w:style w:type="character" w:customStyle="1" w:styleId="Heading2Char">
    <w:name w:val="Heading 2 Char"/>
    <w:basedOn w:val="DefaultParagraphFont"/>
    <w:link w:val="Heading2"/>
    <w:uiPriority w:val="9"/>
    <w:rsid w:val="007D126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D126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B7476"/>
    <w:rPr>
      <w:sz w:val="16"/>
      <w:szCs w:val="16"/>
    </w:rPr>
  </w:style>
  <w:style w:type="paragraph" w:styleId="CommentText">
    <w:name w:val="annotation text"/>
    <w:basedOn w:val="Normal"/>
    <w:link w:val="CommentTextChar"/>
    <w:uiPriority w:val="99"/>
    <w:unhideWhenUsed/>
    <w:rsid w:val="00FB7476"/>
    <w:rPr>
      <w:sz w:val="20"/>
      <w:szCs w:val="20"/>
    </w:rPr>
  </w:style>
  <w:style w:type="character" w:customStyle="1" w:styleId="CommentTextChar">
    <w:name w:val="Comment Text Char"/>
    <w:basedOn w:val="DefaultParagraphFont"/>
    <w:link w:val="CommentText"/>
    <w:uiPriority w:val="99"/>
    <w:rsid w:val="00FB74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476"/>
    <w:rPr>
      <w:b/>
      <w:bCs/>
    </w:rPr>
  </w:style>
  <w:style w:type="character" w:customStyle="1" w:styleId="CommentSubjectChar">
    <w:name w:val="Comment Subject Char"/>
    <w:basedOn w:val="CommentTextChar"/>
    <w:link w:val="CommentSubject"/>
    <w:uiPriority w:val="99"/>
    <w:semiHidden/>
    <w:rsid w:val="00FB74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7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476"/>
    <w:rPr>
      <w:rFonts w:ascii="Segoe UI" w:eastAsia="Times New Roman" w:hAnsi="Segoe UI" w:cs="Segoe UI"/>
      <w:sz w:val="18"/>
      <w:szCs w:val="18"/>
    </w:rPr>
  </w:style>
  <w:style w:type="table" w:styleId="TableGrid">
    <w:name w:val="Table Grid"/>
    <w:basedOn w:val="TableNormal"/>
    <w:uiPriority w:val="59"/>
    <w:rsid w:val="00E3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87405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9172">
      <w:bodyDiv w:val="1"/>
      <w:marLeft w:val="0"/>
      <w:marRight w:val="0"/>
      <w:marTop w:val="0"/>
      <w:marBottom w:val="0"/>
      <w:divBdr>
        <w:top w:val="none" w:sz="0" w:space="0" w:color="auto"/>
        <w:left w:val="none" w:sz="0" w:space="0" w:color="auto"/>
        <w:bottom w:val="none" w:sz="0" w:space="0" w:color="auto"/>
        <w:right w:val="none" w:sz="0" w:space="0" w:color="auto"/>
      </w:divBdr>
    </w:div>
    <w:div w:id="99880364">
      <w:bodyDiv w:val="1"/>
      <w:marLeft w:val="0"/>
      <w:marRight w:val="0"/>
      <w:marTop w:val="0"/>
      <w:marBottom w:val="0"/>
      <w:divBdr>
        <w:top w:val="none" w:sz="0" w:space="0" w:color="auto"/>
        <w:left w:val="none" w:sz="0" w:space="0" w:color="auto"/>
        <w:bottom w:val="none" w:sz="0" w:space="0" w:color="auto"/>
        <w:right w:val="none" w:sz="0" w:space="0" w:color="auto"/>
      </w:divBdr>
    </w:div>
    <w:div w:id="411466431">
      <w:bodyDiv w:val="1"/>
      <w:marLeft w:val="0"/>
      <w:marRight w:val="0"/>
      <w:marTop w:val="0"/>
      <w:marBottom w:val="0"/>
      <w:divBdr>
        <w:top w:val="none" w:sz="0" w:space="0" w:color="auto"/>
        <w:left w:val="none" w:sz="0" w:space="0" w:color="auto"/>
        <w:bottom w:val="none" w:sz="0" w:space="0" w:color="auto"/>
        <w:right w:val="none" w:sz="0" w:space="0" w:color="auto"/>
      </w:divBdr>
    </w:div>
    <w:div w:id="457719759">
      <w:bodyDiv w:val="1"/>
      <w:marLeft w:val="0"/>
      <w:marRight w:val="0"/>
      <w:marTop w:val="0"/>
      <w:marBottom w:val="0"/>
      <w:divBdr>
        <w:top w:val="none" w:sz="0" w:space="0" w:color="auto"/>
        <w:left w:val="none" w:sz="0" w:space="0" w:color="auto"/>
        <w:bottom w:val="none" w:sz="0" w:space="0" w:color="auto"/>
        <w:right w:val="none" w:sz="0" w:space="0" w:color="auto"/>
      </w:divBdr>
    </w:div>
    <w:div w:id="551694808">
      <w:bodyDiv w:val="1"/>
      <w:marLeft w:val="0"/>
      <w:marRight w:val="0"/>
      <w:marTop w:val="0"/>
      <w:marBottom w:val="0"/>
      <w:divBdr>
        <w:top w:val="none" w:sz="0" w:space="0" w:color="auto"/>
        <w:left w:val="none" w:sz="0" w:space="0" w:color="auto"/>
        <w:bottom w:val="none" w:sz="0" w:space="0" w:color="auto"/>
        <w:right w:val="none" w:sz="0" w:space="0" w:color="auto"/>
      </w:divBdr>
    </w:div>
    <w:div w:id="576136735">
      <w:bodyDiv w:val="1"/>
      <w:marLeft w:val="0"/>
      <w:marRight w:val="0"/>
      <w:marTop w:val="0"/>
      <w:marBottom w:val="0"/>
      <w:divBdr>
        <w:top w:val="none" w:sz="0" w:space="0" w:color="auto"/>
        <w:left w:val="none" w:sz="0" w:space="0" w:color="auto"/>
        <w:bottom w:val="none" w:sz="0" w:space="0" w:color="auto"/>
        <w:right w:val="none" w:sz="0" w:space="0" w:color="auto"/>
      </w:divBdr>
    </w:div>
    <w:div w:id="997223651">
      <w:bodyDiv w:val="1"/>
      <w:marLeft w:val="0"/>
      <w:marRight w:val="0"/>
      <w:marTop w:val="0"/>
      <w:marBottom w:val="0"/>
      <w:divBdr>
        <w:top w:val="none" w:sz="0" w:space="0" w:color="auto"/>
        <w:left w:val="none" w:sz="0" w:space="0" w:color="auto"/>
        <w:bottom w:val="none" w:sz="0" w:space="0" w:color="auto"/>
        <w:right w:val="none" w:sz="0" w:space="0" w:color="auto"/>
      </w:divBdr>
    </w:div>
    <w:div w:id="1057558636">
      <w:bodyDiv w:val="1"/>
      <w:marLeft w:val="0"/>
      <w:marRight w:val="0"/>
      <w:marTop w:val="0"/>
      <w:marBottom w:val="0"/>
      <w:divBdr>
        <w:top w:val="none" w:sz="0" w:space="0" w:color="auto"/>
        <w:left w:val="none" w:sz="0" w:space="0" w:color="auto"/>
        <w:bottom w:val="none" w:sz="0" w:space="0" w:color="auto"/>
        <w:right w:val="none" w:sz="0" w:space="0" w:color="auto"/>
      </w:divBdr>
    </w:div>
    <w:div w:id="1422875430">
      <w:bodyDiv w:val="1"/>
      <w:marLeft w:val="0"/>
      <w:marRight w:val="0"/>
      <w:marTop w:val="0"/>
      <w:marBottom w:val="0"/>
      <w:divBdr>
        <w:top w:val="none" w:sz="0" w:space="0" w:color="auto"/>
        <w:left w:val="none" w:sz="0" w:space="0" w:color="auto"/>
        <w:bottom w:val="none" w:sz="0" w:space="0" w:color="auto"/>
        <w:right w:val="none" w:sz="0" w:space="0" w:color="auto"/>
      </w:divBdr>
    </w:div>
    <w:div w:id="1429039141">
      <w:bodyDiv w:val="1"/>
      <w:marLeft w:val="0"/>
      <w:marRight w:val="0"/>
      <w:marTop w:val="0"/>
      <w:marBottom w:val="0"/>
      <w:divBdr>
        <w:top w:val="none" w:sz="0" w:space="0" w:color="auto"/>
        <w:left w:val="none" w:sz="0" w:space="0" w:color="auto"/>
        <w:bottom w:val="none" w:sz="0" w:space="0" w:color="auto"/>
        <w:right w:val="none" w:sz="0" w:space="0" w:color="auto"/>
      </w:divBdr>
    </w:div>
    <w:div w:id="1554270679">
      <w:bodyDiv w:val="1"/>
      <w:marLeft w:val="0"/>
      <w:marRight w:val="0"/>
      <w:marTop w:val="0"/>
      <w:marBottom w:val="0"/>
      <w:divBdr>
        <w:top w:val="none" w:sz="0" w:space="0" w:color="auto"/>
        <w:left w:val="none" w:sz="0" w:space="0" w:color="auto"/>
        <w:bottom w:val="none" w:sz="0" w:space="0" w:color="auto"/>
        <w:right w:val="none" w:sz="0" w:space="0" w:color="auto"/>
      </w:divBdr>
    </w:div>
    <w:div w:id="1660647466">
      <w:bodyDiv w:val="1"/>
      <w:marLeft w:val="0"/>
      <w:marRight w:val="0"/>
      <w:marTop w:val="0"/>
      <w:marBottom w:val="0"/>
      <w:divBdr>
        <w:top w:val="none" w:sz="0" w:space="0" w:color="auto"/>
        <w:left w:val="none" w:sz="0" w:space="0" w:color="auto"/>
        <w:bottom w:val="none" w:sz="0" w:space="0" w:color="auto"/>
        <w:right w:val="none" w:sz="0" w:space="0" w:color="auto"/>
      </w:divBdr>
    </w:div>
    <w:div w:id="1691374906">
      <w:bodyDiv w:val="1"/>
      <w:marLeft w:val="0"/>
      <w:marRight w:val="0"/>
      <w:marTop w:val="0"/>
      <w:marBottom w:val="0"/>
      <w:divBdr>
        <w:top w:val="none" w:sz="0" w:space="0" w:color="auto"/>
        <w:left w:val="none" w:sz="0" w:space="0" w:color="auto"/>
        <w:bottom w:val="none" w:sz="0" w:space="0" w:color="auto"/>
        <w:right w:val="none" w:sz="0" w:space="0" w:color="auto"/>
      </w:divBdr>
    </w:div>
    <w:div w:id="1940018539">
      <w:bodyDiv w:val="1"/>
      <w:marLeft w:val="0"/>
      <w:marRight w:val="0"/>
      <w:marTop w:val="0"/>
      <w:marBottom w:val="0"/>
      <w:divBdr>
        <w:top w:val="none" w:sz="0" w:space="0" w:color="auto"/>
        <w:left w:val="none" w:sz="0" w:space="0" w:color="auto"/>
        <w:bottom w:val="none" w:sz="0" w:space="0" w:color="auto"/>
        <w:right w:val="none" w:sz="0" w:space="0" w:color="auto"/>
      </w:divBdr>
    </w:div>
    <w:div w:id="1940211878">
      <w:bodyDiv w:val="1"/>
      <w:marLeft w:val="0"/>
      <w:marRight w:val="0"/>
      <w:marTop w:val="0"/>
      <w:marBottom w:val="0"/>
      <w:divBdr>
        <w:top w:val="none" w:sz="0" w:space="0" w:color="auto"/>
        <w:left w:val="none" w:sz="0" w:space="0" w:color="auto"/>
        <w:bottom w:val="none" w:sz="0" w:space="0" w:color="auto"/>
        <w:right w:val="none" w:sz="0" w:space="0" w:color="auto"/>
      </w:divBdr>
    </w:div>
    <w:div w:id="1987707495">
      <w:bodyDiv w:val="1"/>
      <w:marLeft w:val="0"/>
      <w:marRight w:val="0"/>
      <w:marTop w:val="0"/>
      <w:marBottom w:val="0"/>
      <w:divBdr>
        <w:top w:val="none" w:sz="0" w:space="0" w:color="auto"/>
        <w:left w:val="none" w:sz="0" w:space="0" w:color="auto"/>
        <w:bottom w:val="none" w:sz="0" w:space="0" w:color="auto"/>
        <w:right w:val="none" w:sz="0" w:space="0" w:color="auto"/>
      </w:divBdr>
    </w:div>
    <w:div w:id="21292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Macikas</dc:creator>
  <cp:lastModifiedBy>Megan Stewart</cp:lastModifiedBy>
  <cp:revision>10</cp:revision>
  <cp:lastPrinted>2018-04-25T19:03:00Z</cp:lastPrinted>
  <dcterms:created xsi:type="dcterms:W3CDTF">2021-08-31T22:41:00Z</dcterms:created>
  <dcterms:modified xsi:type="dcterms:W3CDTF">2021-09-03T18:58:00Z</dcterms:modified>
</cp:coreProperties>
</file>