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2912" w14:textId="77777777" w:rsidR="009E2F20" w:rsidRPr="009E2F20" w:rsidRDefault="009E2F20" w:rsidP="009E2F20">
      <w:pPr>
        <w:rPr>
          <w:rFonts w:asciiTheme="minorHAnsi" w:eastAsia="Calibri" w:hAnsiTheme="minorHAnsi" w:cs="Times New Roman"/>
          <w:bCs/>
          <w:sz w:val="24"/>
          <w:szCs w:val="24"/>
        </w:rPr>
      </w:pPr>
      <w:r w:rsidRPr="009E2F20">
        <w:rPr>
          <w:rFonts w:asciiTheme="minorHAnsi" w:eastAsia="Calibri" w:hAnsiTheme="minorHAnsi" w:cs="Times New Roman"/>
          <w:b/>
          <w:sz w:val="24"/>
          <w:szCs w:val="24"/>
        </w:rPr>
        <w:t xml:space="preserve">TO: </w:t>
      </w:r>
      <w:r w:rsidRPr="009E2F20">
        <w:rPr>
          <w:rFonts w:asciiTheme="minorHAnsi" w:eastAsia="Calibri" w:hAnsiTheme="minorHAnsi" w:cs="Times New Roman"/>
          <w:b/>
          <w:sz w:val="24"/>
          <w:szCs w:val="24"/>
        </w:rPr>
        <w:tab/>
      </w:r>
      <w:r w:rsidRPr="009E2F20">
        <w:rPr>
          <w:rFonts w:asciiTheme="minorHAnsi" w:eastAsia="Calibri" w:hAnsiTheme="minorHAnsi" w:cs="Times New Roman"/>
          <w:b/>
          <w:sz w:val="24"/>
          <w:szCs w:val="24"/>
        </w:rPr>
        <w:tab/>
      </w:r>
      <w:r w:rsidRPr="009E2F20">
        <w:rPr>
          <w:rFonts w:asciiTheme="minorHAnsi" w:eastAsia="Calibri" w:hAnsiTheme="minorHAnsi" w:cs="Times New Roman"/>
          <w:bCs/>
          <w:sz w:val="24"/>
          <w:szCs w:val="24"/>
        </w:rPr>
        <w:t>PLA Board of Directors</w:t>
      </w:r>
    </w:p>
    <w:p w14:paraId="54D67499" w14:textId="53457A56" w:rsidR="009E2F20" w:rsidRPr="009E2F20" w:rsidRDefault="009E2F20" w:rsidP="009E2F20">
      <w:pPr>
        <w:tabs>
          <w:tab w:val="left" w:pos="720"/>
          <w:tab w:val="left" w:pos="1440"/>
          <w:tab w:val="left" w:pos="2160"/>
          <w:tab w:val="left" w:pos="3120"/>
        </w:tabs>
        <w:rPr>
          <w:rFonts w:asciiTheme="minorHAnsi" w:eastAsia="Calibri" w:hAnsiTheme="minorHAnsi" w:cs="Times New Roman"/>
          <w:sz w:val="24"/>
          <w:szCs w:val="24"/>
        </w:rPr>
      </w:pPr>
      <w:r w:rsidRPr="009E2F20">
        <w:rPr>
          <w:rFonts w:asciiTheme="minorHAnsi" w:eastAsia="Calibri" w:hAnsiTheme="minorHAnsi" w:cs="Times New Roman"/>
          <w:b/>
          <w:sz w:val="24"/>
          <w:szCs w:val="24"/>
        </w:rPr>
        <w:t>FROM:</w:t>
      </w:r>
      <w:r w:rsidRPr="009E2F20">
        <w:rPr>
          <w:rFonts w:asciiTheme="minorHAnsi" w:eastAsia="Calibri" w:hAnsiTheme="minorHAnsi" w:cs="Times New Roman"/>
          <w:b/>
          <w:sz w:val="24"/>
          <w:szCs w:val="24"/>
        </w:rPr>
        <w:tab/>
      </w:r>
      <w:r w:rsidRPr="009E2F20">
        <w:rPr>
          <w:rFonts w:asciiTheme="minorHAnsi" w:eastAsia="Calibri" w:hAnsiTheme="minorHAnsi" w:cs="Times New Roman"/>
          <w:b/>
          <w:sz w:val="24"/>
          <w:szCs w:val="24"/>
        </w:rPr>
        <w:tab/>
      </w:r>
      <w:r w:rsidRPr="00D13F5F">
        <w:rPr>
          <w:rFonts w:asciiTheme="minorHAnsi" w:eastAsia="Calibri" w:hAnsiTheme="minorHAnsi" w:cs="Times New Roman"/>
          <w:sz w:val="24"/>
          <w:szCs w:val="24"/>
        </w:rPr>
        <w:t>Barb Macikas</w:t>
      </w:r>
    </w:p>
    <w:p w14:paraId="430541FD" w14:textId="652A0928" w:rsidR="00D13F5F" w:rsidRPr="00D13F5F" w:rsidRDefault="009E2F20" w:rsidP="00D13F5F">
      <w:pPr>
        <w:pStyle w:val="NoSpacing"/>
        <w:rPr>
          <w:rFonts w:cstheme="minorBidi"/>
          <w:b/>
          <w:bCs/>
          <w:sz w:val="24"/>
          <w:szCs w:val="24"/>
        </w:rPr>
      </w:pPr>
      <w:r w:rsidRPr="00D13F5F">
        <w:rPr>
          <w:b/>
          <w:sz w:val="24"/>
          <w:szCs w:val="24"/>
        </w:rPr>
        <w:t>RE:</w:t>
      </w:r>
      <w:r w:rsidRPr="00D13F5F">
        <w:rPr>
          <w:sz w:val="24"/>
          <w:szCs w:val="24"/>
        </w:rPr>
        <w:tab/>
      </w:r>
      <w:r w:rsidRPr="00D13F5F">
        <w:rPr>
          <w:sz w:val="24"/>
          <w:szCs w:val="24"/>
        </w:rPr>
        <w:tab/>
      </w:r>
      <w:r w:rsidR="00D13F5F" w:rsidRPr="00D13F5F">
        <w:rPr>
          <w:sz w:val="24"/>
          <w:szCs w:val="24"/>
        </w:rPr>
        <w:t>PLA Positions on ALA Investment Plan and Midwinter</w:t>
      </w:r>
    </w:p>
    <w:p w14:paraId="461AF855" w14:textId="48E2E202" w:rsidR="009E2F20" w:rsidRPr="00D13F5F" w:rsidRDefault="009E2F20" w:rsidP="00D13F5F">
      <w:pPr>
        <w:pStyle w:val="NoSpacing"/>
        <w:rPr>
          <w:rFonts w:cstheme="minorBidi"/>
          <w:b/>
          <w:bCs/>
          <w:sz w:val="24"/>
          <w:szCs w:val="24"/>
        </w:rPr>
      </w:pPr>
      <w:r w:rsidRPr="00D13F5F">
        <w:rPr>
          <w:b/>
          <w:sz w:val="24"/>
          <w:szCs w:val="24"/>
        </w:rPr>
        <w:t>DATE:</w:t>
      </w:r>
      <w:r w:rsidRPr="00D13F5F">
        <w:rPr>
          <w:sz w:val="24"/>
          <w:szCs w:val="24"/>
        </w:rPr>
        <w:tab/>
      </w:r>
      <w:r w:rsidRPr="00D13F5F">
        <w:rPr>
          <w:sz w:val="24"/>
          <w:szCs w:val="24"/>
        </w:rPr>
        <w:tab/>
        <w:t>October 9, 2018</w:t>
      </w:r>
      <w:bookmarkStart w:id="0" w:name="_GoBack"/>
      <w:bookmarkEnd w:id="0"/>
    </w:p>
    <w:p w14:paraId="13B5B337" w14:textId="77777777" w:rsidR="009E2F20" w:rsidRPr="009E2F20" w:rsidRDefault="009E2F20" w:rsidP="009E2F20">
      <w:pPr>
        <w:tabs>
          <w:tab w:val="left" w:pos="720"/>
          <w:tab w:val="left" w:pos="1440"/>
          <w:tab w:val="left" w:pos="2160"/>
          <w:tab w:val="left" w:pos="3120"/>
        </w:tabs>
        <w:rPr>
          <w:rFonts w:asciiTheme="minorHAnsi" w:eastAsia="Calibri" w:hAnsiTheme="minorHAnsi" w:cs="Times New Roman"/>
          <w:sz w:val="24"/>
          <w:szCs w:val="24"/>
        </w:rPr>
      </w:pPr>
    </w:p>
    <w:p w14:paraId="3CA912C2" w14:textId="77777777" w:rsidR="009E2F20" w:rsidRPr="009E2F20" w:rsidRDefault="009E2F20" w:rsidP="009E2F20">
      <w:pPr>
        <w:ind w:left="2160" w:hanging="2160"/>
        <w:rPr>
          <w:rFonts w:asciiTheme="minorHAnsi" w:eastAsia="Calibri" w:hAnsiTheme="minorHAnsi" w:cs="Times New Roman"/>
          <w:i/>
          <w:szCs w:val="24"/>
        </w:rPr>
      </w:pPr>
      <w:r w:rsidRPr="009E2F20">
        <w:rPr>
          <w:rFonts w:asciiTheme="minorHAnsi" w:eastAsia="Calibri" w:hAnsiTheme="minorHAnsi" w:cs="Times New Roman"/>
          <w:b/>
          <w:sz w:val="24"/>
          <w:szCs w:val="24"/>
        </w:rPr>
        <w:t>ACTION REQUESTED/INFORMATION/REPORT:</w:t>
      </w:r>
      <w:r w:rsidRPr="009E2F20">
        <w:rPr>
          <w:rFonts w:asciiTheme="minorHAnsi" w:eastAsia="Calibri" w:hAnsiTheme="minorHAnsi" w:cs="Times New Roman"/>
          <w:sz w:val="24"/>
          <w:szCs w:val="24"/>
        </w:rPr>
        <w:tab/>
        <w:t>Report</w:t>
      </w:r>
    </w:p>
    <w:p w14:paraId="3D4164C8" w14:textId="77777777" w:rsidR="009E2F20" w:rsidRPr="009E2F20" w:rsidRDefault="009E2F20" w:rsidP="009E2F20">
      <w:pPr>
        <w:ind w:left="2880" w:hanging="2880"/>
        <w:rPr>
          <w:rFonts w:asciiTheme="minorHAnsi" w:eastAsia="Calibri" w:hAnsiTheme="minorHAnsi" w:cs="Times New Roman"/>
          <w:b/>
          <w:sz w:val="24"/>
          <w:szCs w:val="24"/>
        </w:rPr>
      </w:pPr>
      <w:r w:rsidRPr="009E2F20">
        <w:rPr>
          <w:rFonts w:eastAsia="Calibri" w:cs="Times New Roman"/>
          <w:b/>
          <w:sz w:val="24"/>
          <w:szCs w:val="24"/>
        </w:rPr>
        <w:t>ACTION REQUESTED BY</w:t>
      </w:r>
      <w:r w:rsidRPr="009E2F20">
        <w:rPr>
          <w:rFonts w:asciiTheme="minorHAnsi" w:eastAsia="Calibri" w:hAnsiTheme="minorHAnsi" w:cs="Times New Roman"/>
          <w:b/>
          <w:sz w:val="24"/>
          <w:szCs w:val="24"/>
        </w:rPr>
        <w:t xml:space="preserve">:  </w:t>
      </w:r>
      <w:r w:rsidRPr="009E2F20">
        <w:rPr>
          <w:rFonts w:asciiTheme="minorHAnsi" w:eastAsia="Calibri" w:hAnsiTheme="minorHAnsi" w:cs="Times New Roman"/>
          <w:b/>
          <w:sz w:val="24"/>
          <w:szCs w:val="24"/>
        </w:rPr>
        <w:tab/>
      </w:r>
    </w:p>
    <w:p w14:paraId="10C4315D" w14:textId="77777777" w:rsidR="009E2F20" w:rsidRPr="009E2F20" w:rsidRDefault="009E2F20" w:rsidP="009E2F20">
      <w:pPr>
        <w:rPr>
          <w:rFonts w:asciiTheme="minorHAnsi" w:eastAsia="Calibri" w:hAnsiTheme="minorHAnsi" w:cs="Times New Roman"/>
          <w:sz w:val="24"/>
          <w:szCs w:val="24"/>
        </w:rPr>
      </w:pPr>
      <w:r w:rsidRPr="009E2F20">
        <w:rPr>
          <w:rFonts w:asciiTheme="minorHAnsi" w:eastAsia="Calibri" w:hAnsiTheme="minorHAnsi" w:cs="Times New Roman"/>
          <w:b/>
          <w:sz w:val="24"/>
          <w:szCs w:val="24"/>
        </w:rPr>
        <w:t xml:space="preserve">DRAFT OF MOTION: </w:t>
      </w:r>
      <w:r w:rsidRPr="009E2F20">
        <w:rPr>
          <w:rFonts w:asciiTheme="minorHAnsi" w:eastAsia="Calibri" w:hAnsiTheme="minorHAnsi" w:cs="Times New Roman"/>
          <w:sz w:val="24"/>
          <w:szCs w:val="24"/>
        </w:rPr>
        <w:tab/>
        <w:t>N/A</w:t>
      </w:r>
    </w:p>
    <w:p w14:paraId="51A6750E" w14:textId="77777777" w:rsidR="009E2F20" w:rsidRPr="009E2F20" w:rsidRDefault="009E2F20" w:rsidP="009E2F20">
      <w:pPr>
        <w:rPr>
          <w:rFonts w:asciiTheme="minorHAnsi" w:eastAsia="Calibri" w:hAnsiTheme="minorHAnsi" w:cs="Times New Roman"/>
          <w:sz w:val="24"/>
          <w:szCs w:val="24"/>
        </w:rPr>
      </w:pPr>
    </w:p>
    <w:p w14:paraId="79E583BB" w14:textId="3BC169E4" w:rsidR="009E2F20" w:rsidRDefault="009E2F20" w:rsidP="009E2F20">
      <w:pPr>
        <w:rPr>
          <w:rFonts w:asciiTheme="minorHAnsi" w:eastAsia="Calibri" w:hAnsiTheme="minorHAnsi" w:cs="Times New Roman"/>
          <w:b/>
          <w:sz w:val="24"/>
          <w:szCs w:val="24"/>
        </w:rPr>
      </w:pPr>
      <w:r w:rsidRPr="009E2F20">
        <w:rPr>
          <w:rFonts w:asciiTheme="minorHAnsi" w:eastAsia="Calibri" w:hAnsiTheme="minorHAnsi" w:cs="Times New Roman"/>
          <w:b/>
          <w:sz w:val="24"/>
          <w:szCs w:val="24"/>
        </w:rPr>
        <w:t>OVERVIEW</w:t>
      </w:r>
    </w:p>
    <w:p w14:paraId="058973A7" w14:textId="5640D02B" w:rsidR="00D13F5F" w:rsidRPr="009E2F20" w:rsidRDefault="00D13F5F" w:rsidP="009E2F20">
      <w:pPr>
        <w:rPr>
          <w:rFonts w:asciiTheme="minorHAnsi" w:eastAsia="Calibri" w:hAnsiTheme="minorHAnsi" w:cs="Times New Roman"/>
          <w:sz w:val="24"/>
          <w:szCs w:val="24"/>
        </w:rPr>
      </w:pPr>
      <w:r w:rsidRPr="00D13F5F">
        <w:rPr>
          <w:rFonts w:asciiTheme="minorHAnsi" w:eastAsia="Calibri" w:hAnsiTheme="minorHAnsi" w:cs="Times New Roman"/>
          <w:sz w:val="24"/>
          <w:szCs w:val="24"/>
        </w:rPr>
        <w:t xml:space="preserve">The document below was developed in Spring 2018 ahead of the ALA Annual Conference.  It was </w:t>
      </w:r>
      <w:r w:rsidRPr="00D13F5F">
        <w:rPr>
          <w:sz w:val="24"/>
          <w:szCs w:val="24"/>
        </w:rPr>
        <w:t>developed by the PLA board to provide background for members at the Annual Conference where budget and Midwinter would be discussed. PLA wanted to be clear in our support of ALA’s investment plans and to provide our rationale for a recommendation to discontinue Midwinter.</w:t>
      </w:r>
      <w:r>
        <w:rPr>
          <w:sz w:val="24"/>
          <w:szCs w:val="24"/>
        </w:rPr>
        <w:t xml:space="preserve"> </w:t>
      </w:r>
      <w:r>
        <w:rPr>
          <w:rFonts w:asciiTheme="minorHAnsi" w:eastAsia="Calibri" w:hAnsiTheme="minorHAnsi" w:cs="Times New Roman"/>
          <w:sz w:val="24"/>
          <w:szCs w:val="24"/>
        </w:rPr>
        <w:t xml:space="preserve">I am sharing it to provide background to our new board members and will update the entire Board on the status of these discussions within ALA. </w:t>
      </w:r>
    </w:p>
    <w:p w14:paraId="29847913" w14:textId="77777777" w:rsidR="009E2F20" w:rsidRDefault="009E2F20" w:rsidP="00E53005">
      <w:pPr>
        <w:jc w:val="center"/>
        <w:rPr>
          <w:b/>
        </w:rPr>
      </w:pPr>
    </w:p>
    <w:p w14:paraId="55870A09" w14:textId="77777777" w:rsidR="006852B1" w:rsidRDefault="006852B1" w:rsidP="006852B1">
      <w:pPr>
        <w:rPr>
          <w:b/>
        </w:rPr>
      </w:pPr>
    </w:p>
    <w:p w14:paraId="15C9A325" w14:textId="371C58CA" w:rsidR="00E67E33" w:rsidRPr="00B24FA2" w:rsidRDefault="00F902F8" w:rsidP="006852B1">
      <w:pPr>
        <w:jc w:val="center"/>
        <w:rPr>
          <w:b/>
        </w:rPr>
      </w:pPr>
      <w:r w:rsidRPr="00B24FA2">
        <w:rPr>
          <w:b/>
        </w:rPr>
        <w:t xml:space="preserve">PLA </w:t>
      </w:r>
      <w:r w:rsidR="00532289">
        <w:rPr>
          <w:b/>
        </w:rPr>
        <w:t>R</w:t>
      </w:r>
      <w:r w:rsidR="00B24FA2" w:rsidRPr="00B24FA2">
        <w:rPr>
          <w:b/>
        </w:rPr>
        <w:t>esponse</w:t>
      </w:r>
      <w:r w:rsidRPr="00B24FA2">
        <w:rPr>
          <w:b/>
        </w:rPr>
        <w:t xml:space="preserve"> </w:t>
      </w:r>
      <w:r w:rsidR="00E53005">
        <w:rPr>
          <w:b/>
        </w:rPr>
        <w:t>to</w:t>
      </w:r>
      <w:r w:rsidR="009B1ED8">
        <w:rPr>
          <w:b/>
        </w:rPr>
        <w:t xml:space="preserve"> </w:t>
      </w:r>
      <w:r w:rsidRPr="00B24FA2">
        <w:rPr>
          <w:b/>
        </w:rPr>
        <w:t xml:space="preserve">ALA Investment </w:t>
      </w:r>
      <w:r w:rsidR="00B24FA2">
        <w:rPr>
          <w:b/>
        </w:rPr>
        <w:t>Plan</w:t>
      </w:r>
      <w:r w:rsidR="00B24FA2" w:rsidRPr="00B24FA2">
        <w:rPr>
          <w:b/>
        </w:rPr>
        <w:t xml:space="preserve"> </w:t>
      </w:r>
      <w:r w:rsidR="009B1ED8">
        <w:rPr>
          <w:b/>
        </w:rPr>
        <w:t>(FY19-2</w:t>
      </w:r>
      <w:r w:rsidR="007904A3">
        <w:rPr>
          <w:b/>
        </w:rPr>
        <w:t>1</w:t>
      </w:r>
      <w:r w:rsidR="009B1ED8">
        <w:rPr>
          <w:b/>
        </w:rPr>
        <w:t>)</w:t>
      </w:r>
    </w:p>
    <w:p w14:paraId="59CC5E97" w14:textId="4645E608" w:rsidR="00B24FA2" w:rsidRDefault="00B24FA2" w:rsidP="00B24FA2">
      <w:pPr>
        <w:jc w:val="center"/>
        <w:rPr>
          <w:b/>
        </w:rPr>
      </w:pPr>
      <w:r w:rsidRPr="00B24FA2">
        <w:rPr>
          <w:b/>
        </w:rPr>
        <w:t xml:space="preserve">May </w:t>
      </w:r>
      <w:r w:rsidR="009B1ED8">
        <w:rPr>
          <w:b/>
        </w:rPr>
        <w:t>22, 2018</w:t>
      </w:r>
    </w:p>
    <w:p w14:paraId="1CABECDF" w14:textId="77777777" w:rsidR="00E53005" w:rsidRPr="00B24FA2" w:rsidRDefault="00E53005" w:rsidP="00B24FA2">
      <w:pPr>
        <w:jc w:val="center"/>
        <w:rPr>
          <w:b/>
        </w:rPr>
      </w:pPr>
    </w:p>
    <w:p w14:paraId="3D85E118" w14:textId="541935B3" w:rsidR="00F902F8" w:rsidRDefault="00F902F8" w:rsidP="00E67E33"/>
    <w:p w14:paraId="6EB2C85F" w14:textId="142DB392" w:rsidR="00E53005" w:rsidRPr="0056549B" w:rsidRDefault="00E53005" w:rsidP="0014198F">
      <w:pPr>
        <w:rPr>
          <w:rFonts w:asciiTheme="minorHAnsi" w:hAnsiTheme="minorHAnsi"/>
          <w:u w:val="single"/>
        </w:rPr>
      </w:pPr>
      <w:r w:rsidRPr="0056549B">
        <w:rPr>
          <w:rFonts w:asciiTheme="minorHAnsi" w:hAnsiTheme="minorHAnsi"/>
          <w:u w:val="single"/>
        </w:rPr>
        <w:t>ALA FY19</w:t>
      </w:r>
      <w:r w:rsidR="00D05AD3">
        <w:rPr>
          <w:rFonts w:asciiTheme="minorHAnsi" w:hAnsiTheme="minorHAnsi"/>
          <w:u w:val="single"/>
        </w:rPr>
        <w:t>-21</w:t>
      </w:r>
      <w:r w:rsidRPr="0056549B">
        <w:rPr>
          <w:rFonts w:asciiTheme="minorHAnsi" w:hAnsiTheme="minorHAnsi"/>
          <w:u w:val="single"/>
        </w:rPr>
        <w:t xml:space="preserve"> Investment Budget</w:t>
      </w:r>
      <w:r w:rsidR="00D05AD3">
        <w:rPr>
          <w:rFonts w:asciiTheme="minorHAnsi" w:hAnsiTheme="minorHAnsi"/>
          <w:u w:val="single"/>
        </w:rPr>
        <w:t xml:space="preserve"> Plan</w:t>
      </w:r>
    </w:p>
    <w:p w14:paraId="5E323DF3" w14:textId="3FF4D4C8" w:rsidR="00E53005" w:rsidRPr="0056549B" w:rsidRDefault="00000B72" w:rsidP="00E53005">
      <w:pPr>
        <w:rPr>
          <w:rFonts w:asciiTheme="minorHAnsi" w:eastAsia="Times New Roman" w:hAnsiTheme="minorHAnsi" w:cs="Arial"/>
        </w:rPr>
      </w:pPr>
      <w:r>
        <w:rPr>
          <w:rFonts w:asciiTheme="minorHAnsi" w:eastAsia="Times New Roman" w:hAnsiTheme="minorHAnsi" w:cs="Arial"/>
        </w:rPr>
        <w:t xml:space="preserve">Over the next three years, </w:t>
      </w:r>
      <w:r w:rsidR="00E53005" w:rsidRPr="0056549B">
        <w:rPr>
          <w:rFonts w:asciiTheme="minorHAnsi" w:eastAsia="Times New Roman" w:hAnsiTheme="minorHAnsi" w:cs="Arial"/>
        </w:rPr>
        <w:t xml:space="preserve">ALA is proposing an $8.8 million investment strategy </w:t>
      </w:r>
      <w:proofErr w:type="gramStart"/>
      <w:r w:rsidR="00E53005" w:rsidRPr="0056549B">
        <w:rPr>
          <w:rFonts w:asciiTheme="minorHAnsi" w:eastAsia="Times New Roman" w:hAnsiTheme="minorHAnsi" w:cs="Arial"/>
        </w:rPr>
        <w:t>i</w:t>
      </w:r>
      <w:r w:rsidR="00E53005" w:rsidRPr="00E53005">
        <w:rPr>
          <w:rFonts w:asciiTheme="minorHAnsi" w:eastAsia="Times New Roman" w:hAnsiTheme="minorHAnsi" w:cs="Arial"/>
        </w:rPr>
        <w:t>n</w:t>
      </w:r>
      <w:r w:rsidR="00E53005" w:rsidRPr="0056549B">
        <w:rPr>
          <w:rFonts w:asciiTheme="minorHAnsi" w:eastAsia="Times New Roman" w:hAnsiTheme="minorHAnsi" w:cs="Arial"/>
        </w:rPr>
        <w:t xml:space="preserve"> </w:t>
      </w:r>
      <w:r w:rsidR="00E53005" w:rsidRPr="00E53005">
        <w:rPr>
          <w:rFonts w:asciiTheme="minorHAnsi" w:eastAsia="Times New Roman" w:hAnsiTheme="minorHAnsi" w:cs="Arial"/>
        </w:rPr>
        <w:t>light of</w:t>
      </w:r>
      <w:proofErr w:type="gramEnd"/>
      <w:r w:rsidR="00E53005" w:rsidRPr="00E53005">
        <w:rPr>
          <w:rFonts w:asciiTheme="minorHAnsi" w:eastAsia="Times New Roman" w:hAnsiTheme="minorHAnsi" w:cs="Arial"/>
        </w:rPr>
        <w:t xml:space="preserve"> changing</w:t>
      </w:r>
      <w:r w:rsidR="00E53005" w:rsidRPr="0056549B">
        <w:rPr>
          <w:rFonts w:asciiTheme="minorHAnsi" w:eastAsia="Times New Roman" w:hAnsiTheme="minorHAnsi" w:cs="Arial"/>
        </w:rPr>
        <w:t xml:space="preserve"> </w:t>
      </w:r>
      <w:r w:rsidR="00E53005" w:rsidRPr="00E53005">
        <w:rPr>
          <w:rFonts w:asciiTheme="minorHAnsi" w:eastAsia="Times New Roman" w:hAnsiTheme="minorHAnsi" w:cs="Arial"/>
        </w:rPr>
        <w:t>markets and evolving member requirements, as well as unrealized opportunities for investment and innovation since the recession</w:t>
      </w:r>
      <w:r w:rsidR="00E53005" w:rsidRPr="0056549B">
        <w:rPr>
          <w:rFonts w:asciiTheme="minorHAnsi" w:eastAsia="Times New Roman" w:hAnsiTheme="minorHAnsi" w:cs="Arial"/>
        </w:rPr>
        <w:t>. The</w:t>
      </w:r>
      <w:r w:rsidR="00E53005" w:rsidRPr="00E53005">
        <w:rPr>
          <w:rFonts w:asciiTheme="minorHAnsi" w:eastAsia="Times New Roman" w:hAnsiTheme="minorHAnsi" w:cs="Arial"/>
        </w:rPr>
        <w:t xml:space="preserve"> strategy is to make substantial</w:t>
      </w:r>
      <w:r w:rsidR="00E53005" w:rsidRPr="0056549B">
        <w:rPr>
          <w:rFonts w:asciiTheme="minorHAnsi" w:eastAsia="Times New Roman" w:hAnsiTheme="minorHAnsi" w:cs="Arial"/>
        </w:rPr>
        <w:t xml:space="preserve"> </w:t>
      </w:r>
      <w:r w:rsidR="00E53005" w:rsidRPr="00E53005">
        <w:rPr>
          <w:rFonts w:asciiTheme="minorHAnsi" w:eastAsia="Times New Roman" w:hAnsiTheme="minorHAnsi" w:cs="Arial"/>
        </w:rPr>
        <w:t>investment</w:t>
      </w:r>
      <w:r w:rsidR="0056549B">
        <w:rPr>
          <w:rFonts w:asciiTheme="minorHAnsi" w:eastAsia="Times New Roman" w:hAnsiTheme="minorHAnsi" w:cs="Arial"/>
        </w:rPr>
        <w:t xml:space="preserve"> and</w:t>
      </w:r>
      <w:r w:rsidR="00E53005" w:rsidRPr="00E53005">
        <w:rPr>
          <w:rFonts w:asciiTheme="minorHAnsi" w:eastAsia="Times New Roman" w:hAnsiTheme="minorHAnsi" w:cs="Arial"/>
        </w:rPr>
        <w:t xml:space="preserve"> structural changes that will position the Association for success and financial sustainability going forward. </w:t>
      </w:r>
      <w:r>
        <w:rPr>
          <w:rFonts w:asciiTheme="minorHAnsi" w:eastAsia="Times New Roman" w:hAnsiTheme="minorHAnsi" w:cs="Arial"/>
        </w:rPr>
        <w:t xml:space="preserve">During FY 2019-2021, these investments </w:t>
      </w:r>
      <w:r w:rsidR="00E53005" w:rsidRPr="00E53005">
        <w:rPr>
          <w:rFonts w:asciiTheme="minorHAnsi" w:eastAsia="Times New Roman" w:hAnsiTheme="minorHAnsi" w:cs="Arial"/>
        </w:rPr>
        <w:t xml:space="preserve">will require use of the net asset balance that </w:t>
      </w:r>
      <w:r w:rsidR="00E53005" w:rsidRPr="0056549B">
        <w:rPr>
          <w:rFonts w:asciiTheme="minorHAnsi" w:eastAsia="Times New Roman" w:hAnsiTheme="minorHAnsi" w:cs="Arial"/>
        </w:rPr>
        <w:t>ALA</w:t>
      </w:r>
      <w:r w:rsidR="00E53005" w:rsidRPr="00E53005">
        <w:rPr>
          <w:rFonts w:asciiTheme="minorHAnsi" w:eastAsia="Times New Roman" w:hAnsiTheme="minorHAnsi" w:cs="Arial"/>
        </w:rPr>
        <w:t xml:space="preserve"> has built</w:t>
      </w:r>
      <w:r w:rsidR="00E53005" w:rsidRPr="0056549B">
        <w:rPr>
          <w:rFonts w:asciiTheme="minorHAnsi" w:eastAsia="Times New Roman" w:hAnsiTheme="minorHAnsi" w:cs="Arial"/>
        </w:rPr>
        <w:t xml:space="preserve">. </w:t>
      </w:r>
      <w:r w:rsidR="0056549B" w:rsidRPr="0056549B">
        <w:rPr>
          <w:rFonts w:asciiTheme="minorHAnsi" w:eastAsia="Times New Roman" w:hAnsiTheme="minorHAnsi" w:cs="Arial"/>
        </w:rPr>
        <w:t xml:space="preserve">There will also be a </w:t>
      </w:r>
      <w:r w:rsidR="0056549B" w:rsidRPr="00E53005">
        <w:rPr>
          <w:rFonts w:asciiTheme="minorHAnsi" w:eastAsia="Times New Roman" w:hAnsiTheme="minorHAnsi" w:cs="Arial"/>
        </w:rPr>
        <w:t xml:space="preserve">review of </w:t>
      </w:r>
      <w:r w:rsidR="00D05AD3">
        <w:rPr>
          <w:rFonts w:asciiTheme="minorHAnsi" w:eastAsia="Times New Roman" w:hAnsiTheme="minorHAnsi" w:cs="Arial"/>
        </w:rPr>
        <w:t xml:space="preserve">other </w:t>
      </w:r>
      <w:r w:rsidR="0056549B" w:rsidRPr="00E53005">
        <w:rPr>
          <w:rFonts w:asciiTheme="minorHAnsi" w:eastAsia="Times New Roman" w:hAnsiTheme="minorHAnsi" w:cs="Arial"/>
        </w:rPr>
        <w:t xml:space="preserve">options </w:t>
      </w:r>
      <w:r w:rsidR="00D05AD3">
        <w:rPr>
          <w:rFonts w:asciiTheme="minorHAnsi" w:eastAsia="Times New Roman" w:hAnsiTheme="minorHAnsi" w:cs="Arial"/>
        </w:rPr>
        <w:t>including</w:t>
      </w:r>
      <w:r w:rsidR="0056549B" w:rsidRPr="00E53005">
        <w:rPr>
          <w:rFonts w:asciiTheme="minorHAnsi" w:eastAsia="Times New Roman" w:hAnsiTheme="minorHAnsi" w:cs="Arial"/>
        </w:rPr>
        <w:t xml:space="preserve"> a recommendation as to the “highest and best use” of ALA’s Chicago real estate</w:t>
      </w:r>
      <w:r w:rsidR="0056549B" w:rsidRPr="0056549B">
        <w:rPr>
          <w:rFonts w:asciiTheme="minorHAnsi" w:eastAsia="Times New Roman" w:hAnsiTheme="minorHAnsi" w:cs="Arial"/>
        </w:rPr>
        <w:t>, as well as us</w:t>
      </w:r>
      <w:r w:rsidR="009E6515">
        <w:rPr>
          <w:rFonts w:asciiTheme="minorHAnsi" w:eastAsia="Times New Roman" w:hAnsiTheme="minorHAnsi" w:cs="Arial"/>
        </w:rPr>
        <w:t xml:space="preserve">e of </w:t>
      </w:r>
      <w:r w:rsidR="0056549B" w:rsidRPr="0056549B">
        <w:rPr>
          <w:rFonts w:asciiTheme="minorHAnsi" w:eastAsia="Times New Roman" w:hAnsiTheme="minorHAnsi" w:cs="Arial"/>
        </w:rPr>
        <w:t xml:space="preserve">ALA Endowment funding. </w:t>
      </w:r>
      <w:r w:rsidR="00E53005" w:rsidRPr="0056549B">
        <w:rPr>
          <w:rFonts w:asciiTheme="minorHAnsi" w:eastAsia="Times New Roman" w:hAnsiTheme="minorHAnsi" w:cs="Arial"/>
        </w:rPr>
        <w:t>See ALA Board document</w:t>
      </w:r>
      <w:r w:rsidR="0056549B" w:rsidRPr="0056549B">
        <w:rPr>
          <w:rFonts w:asciiTheme="minorHAnsi" w:eastAsia="Times New Roman" w:hAnsiTheme="minorHAnsi" w:cs="Arial"/>
        </w:rPr>
        <w:t>s</w:t>
      </w:r>
      <w:r w:rsidR="00E53005" w:rsidRPr="0056549B">
        <w:rPr>
          <w:rFonts w:asciiTheme="minorHAnsi" w:eastAsia="Times New Roman" w:hAnsiTheme="minorHAnsi" w:cs="Arial"/>
        </w:rPr>
        <w:t xml:space="preserve"> </w:t>
      </w:r>
      <w:hyperlink r:id="rId7" w:history="1">
        <w:r w:rsidR="00E53005" w:rsidRPr="0056549B">
          <w:rPr>
            <w:rStyle w:val="Hyperlink"/>
            <w:rFonts w:asciiTheme="minorHAnsi" w:eastAsia="Times New Roman" w:hAnsiTheme="minorHAnsi" w:cs="Arial"/>
          </w:rPr>
          <w:t>14.9</w:t>
        </w:r>
      </w:hyperlink>
      <w:r w:rsidR="0056549B" w:rsidRPr="0056549B">
        <w:rPr>
          <w:rFonts w:asciiTheme="minorHAnsi" w:eastAsia="Times New Roman" w:hAnsiTheme="minorHAnsi" w:cs="Arial"/>
        </w:rPr>
        <w:t xml:space="preserve"> </w:t>
      </w:r>
      <w:hyperlink r:id="rId8" w:history="1">
        <w:r w:rsidR="0056549B" w:rsidRPr="0056549B">
          <w:rPr>
            <w:rStyle w:val="Hyperlink"/>
            <w:rFonts w:asciiTheme="minorHAnsi" w:eastAsia="Times New Roman" w:hAnsiTheme="minorHAnsi" w:cs="Arial"/>
          </w:rPr>
          <w:t>and 12.36</w:t>
        </w:r>
      </w:hyperlink>
      <w:r w:rsidR="0056549B" w:rsidRPr="0056549B">
        <w:rPr>
          <w:rFonts w:asciiTheme="minorHAnsi" w:eastAsia="Times New Roman" w:hAnsiTheme="minorHAnsi" w:cs="Arial"/>
        </w:rPr>
        <w:t>.</w:t>
      </w:r>
      <w:r w:rsidR="00E53005" w:rsidRPr="0056549B">
        <w:rPr>
          <w:rFonts w:asciiTheme="minorHAnsi" w:eastAsia="Times New Roman" w:hAnsiTheme="minorHAnsi" w:cs="Arial"/>
        </w:rPr>
        <w:t xml:space="preserve">  </w:t>
      </w:r>
    </w:p>
    <w:p w14:paraId="5AFA3009" w14:textId="77777777" w:rsidR="00E53005" w:rsidRDefault="00E53005" w:rsidP="00E53005">
      <w:pPr>
        <w:rPr>
          <w:rFonts w:ascii="Arial" w:eastAsia="Times New Roman" w:hAnsi="Arial" w:cs="Arial"/>
        </w:rPr>
      </w:pPr>
    </w:p>
    <w:p w14:paraId="317812E4" w14:textId="287B3F64" w:rsidR="00E53005" w:rsidRPr="00E53005" w:rsidRDefault="0056549B" w:rsidP="0014198F">
      <w:pPr>
        <w:rPr>
          <w:u w:val="single"/>
        </w:rPr>
      </w:pPr>
      <w:r>
        <w:rPr>
          <w:u w:val="single"/>
        </w:rPr>
        <w:t xml:space="preserve">PLA Board Response </w:t>
      </w:r>
    </w:p>
    <w:p w14:paraId="0804D621" w14:textId="77493690" w:rsidR="00471217" w:rsidRDefault="0014198F" w:rsidP="0014198F">
      <w:r>
        <w:t xml:space="preserve">ALA members deserve </w:t>
      </w:r>
      <w:r w:rsidR="009A1F4D">
        <w:t xml:space="preserve">an effective, </w:t>
      </w:r>
      <w:r>
        <w:t>high performance organization</w:t>
      </w:r>
      <w:r w:rsidR="00DD2FAF">
        <w:t>.</w:t>
      </w:r>
      <w:r w:rsidR="00471217">
        <w:t xml:space="preserve"> </w:t>
      </w:r>
      <w:r w:rsidR="00DD2FAF">
        <w:t>T</w:t>
      </w:r>
      <w:r w:rsidR="0056549B">
        <w:t xml:space="preserve">he PLA </w:t>
      </w:r>
      <w:r w:rsidR="00DD2FAF">
        <w:t>B</w:t>
      </w:r>
      <w:r w:rsidR="0056549B">
        <w:t xml:space="preserve">oard </w:t>
      </w:r>
      <w:r w:rsidR="00DD2FAF">
        <w:t xml:space="preserve">has reviewed and </w:t>
      </w:r>
      <w:r w:rsidR="0056549B">
        <w:t>discussed the proposed FY19 ALA investment budget.</w:t>
      </w:r>
      <w:r w:rsidR="00471217">
        <w:t xml:space="preserve"> </w:t>
      </w:r>
      <w:r w:rsidR="0056549B">
        <w:t>T</w:t>
      </w:r>
      <w:r w:rsidR="00B24FA2">
        <w:t xml:space="preserve">he </w:t>
      </w:r>
      <w:r w:rsidR="00DD2FAF">
        <w:t>B</w:t>
      </w:r>
      <w:r w:rsidR="00B24FA2">
        <w:t>oard fully supports ALA</w:t>
      </w:r>
      <w:r w:rsidR="00471217">
        <w:t xml:space="preserve">’s </w:t>
      </w:r>
      <w:r w:rsidR="00B24FA2">
        <w:t xml:space="preserve">strategy to make </w:t>
      </w:r>
      <w:r w:rsidR="0056549B">
        <w:t xml:space="preserve">needed </w:t>
      </w:r>
      <w:r w:rsidR="00B24FA2">
        <w:t>major investments</w:t>
      </w:r>
      <w:r w:rsidR="00D05AD3">
        <w:t xml:space="preserve"> and the proposed FY19 investment budget</w:t>
      </w:r>
      <w:r>
        <w:t>.</w:t>
      </w:r>
      <w:r w:rsidR="00532289">
        <w:t xml:space="preserve"> </w:t>
      </w:r>
      <w:r w:rsidR="00B24FA2">
        <w:t xml:space="preserve">The Board </w:t>
      </w:r>
      <w:r w:rsidR="00D05AD3">
        <w:t>understands</w:t>
      </w:r>
      <w:r w:rsidR="00B24FA2">
        <w:t xml:space="preserve"> the factors that brought us to this point and </w:t>
      </w:r>
      <w:r>
        <w:t>the</w:t>
      </w:r>
      <w:r w:rsidR="00450142">
        <w:t xml:space="preserve"> urgency</w:t>
      </w:r>
      <w:r>
        <w:t xml:space="preserve"> driving the budget and governance</w:t>
      </w:r>
      <w:r w:rsidR="00FE2599">
        <w:t xml:space="preserve"> review</w:t>
      </w:r>
      <w:r>
        <w:t xml:space="preserve"> plans</w:t>
      </w:r>
      <w:r w:rsidR="00471217">
        <w:t xml:space="preserve"> (see</w:t>
      </w:r>
      <w:r w:rsidR="0056549B">
        <w:t xml:space="preserve"> fin</w:t>
      </w:r>
      <w:r w:rsidR="00471217">
        <w:t>ancial talking points</w:t>
      </w:r>
      <w:r w:rsidR="00E53005">
        <w:t xml:space="preserve"> attached</w:t>
      </w:r>
      <w:r w:rsidR="00471217">
        <w:t>).</w:t>
      </w:r>
    </w:p>
    <w:p w14:paraId="15069278" w14:textId="77777777" w:rsidR="00471217" w:rsidRDefault="00471217" w:rsidP="0014198F"/>
    <w:p w14:paraId="187B2A1A" w14:textId="55F14F27" w:rsidR="00471217" w:rsidRDefault="00E53005" w:rsidP="00471217">
      <w:r w:rsidRPr="0056549B">
        <w:t xml:space="preserve">Oversight is needed to </w:t>
      </w:r>
      <w:r w:rsidR="008928D0">
        <w:t>e</w:t>
      </w:r>
      <w:r w:rsidR="008928D0" w:rsidRPr="0056549B">
        <w:t xml:space="preserve">nsure </w:t>
      </w:r>
      <w:r w:rsidRPr="0056549B">
        <w:t>return on this significant investment.</w:t>
      </w:r>
      <w:r w:rsidR="0056549B">
        <w:t xml:space="preserve"> </w:t>
      </w:r>
      <w:r w:rsidR="00B24FA2">
        <w:t>Along with the PLA Board’s support</w:t>
      </w:r>
      <w:r w:rsidR="00532289">
        <w:t xml:space="preserve"> comes </w:t>
      </w:r>
      <w:r w:rsidR="00471217">
        <w:t xml:space="preserve">a </w:t>
      </w:r>
      <w:r w:rsidR="00532289">
        <w:t>strong conviction that there must be</w:t>
      </w:r>
      <w:r w:rsidR="008928D0">
        <w:t xml:space="preserve"> clear operating and financial outcomes established with</w:t>
      </w:r>
      <w:r w:rsidR="00532289">
        <w:t xml:space="preserve"> careful </w:t>
      </w:r>
      <w:r w:rsidR="0056549B">
        <w:t>review and monitoring</w:t>
      </w:r>
      <w:r w:rsidR="009A1F4D">
        <w:t xml:space="preserve"> of</w:t>
      </w:r>
      <w:r w:rsidR="00B24FA2">
        <w:t xml:space="preserve"> </w:t>
      </w:r>
      <w:r w:rsidR="009A1F4D">
        <w:rPr>
          <w:rFonts w:eastAsia="Times New Roman"/>
        </w:rPr>
        <w:t>o</w:t>
      </w:r>
      <w:r w:rsidR="0056549B" w:rsidRPr="002A687B">
        <w:rPr>
          <w:rFonts w:eastAsia="Times New Roman"/>
        </w:rPr>
        <w:t>perating and financial measures related to investments over time versus the baseline pre-investment</w:t>
      </w:r>
      <w:r w:rsidR="002A687B" w:rsidRPr="002A687B">
        <w:rPr>
          <w:rFonts w:eastAsia="Times New Roman"/>
        </w:rPr>
        <w:t xml:space="preserve">. ALA must </w:t>
      </w:r>
      <w:r w:rsidR="0056549B" w:rsidRPr="002A687B">
        <w:t>monitor</w:t>
      </w:r>
      <w:r w:rsidR="002A687B">
        <w:t xml:space="preserve"> and account for ROI</w:t>
      </w:r>
      <w:r w:rsidR="0056549B">
        <w:t xml:space="preserve"> via identification of clear indicators, both operating </w:t>
      </w:r>
      <w:r w:rsidR="002A687B">
        <w:t>a</w:t>
      </w:r>
      <w:r w:rsidR="0056549B">
        <w:t>nd financial</w:t>
      </w:r>
      <w:r w:rsidR="002A687B">
        <w:t>.</w:t>
      </w:r>
      <w:r w:rsidR="00FD7C18">
        <w:t xml:space="preserve"> </w:t>
      </w:r>
      <w:r w:rsidR="00000B72">
        <w:t>ALA and division leadership,</w:t>
      </w:r>
      <w:r w:rsidR="00FD7C18">
        <w:t xml:space="preserve"> along with the membership in general, must be kept apprised in a transparent manner on </w:t>
      </w:r>
      <w:r w:rsidR="00DD2FAF">
        <w:t xml:space="preserve">a </w:t>
      </w:r>
      <w:r w:rsidR="00FD7C18">
        <w:t>regular basis.</w:t>
      </w:r>
      <w:r w:rsidR="002A687B">
        <w:t xml:space="preserve"> </w:t>
      </w:r>
      <w:r w:rsidR="00DD2FAF">
        <w:t xml:space="preserve"> </w:t>
      </w:r>
      <w:r w:rsidR="002A687B">
        <w:t>O</w:t>
      </w:r>
      <w:r w:rsidR="0014198F">
        <w:t xml:space="preserve">versight </w:t>
      </w:r>
      <w:r w:rsidR="003A0C8A">
        <w:t>should</w:t>
      </w:r>
      <w:r w:rsidR="0014198F">
        <w:t xml:space="preserve"> include </w:t>
      </w:r>
      <w:r w:rsidR="0014198F">
        <w:lastRenderedPageBreak/>
        <w:t xml:space="preserve">review </w:t>
      </w:r>
      <w:r>
        <w:t xml:space="preserve">and monitoring </w:t>
      </w:r>
      <w:r w:rsidR="0014198F">
        <w:t>of IT</w:t>
      </w:r>
      <w:r w:rsidR="00471217">
        <w:t xml:space="preserve">, </w:t>
      </w:r>
      <w:r w:rsidR="009E6515">
        <w:t>d</w:t>
      </w:r>
      <w:r w:rsidR="00471217">
        <w:t xml:space="preserve">evelopment, advocacy and other </w:t>
      </w:r>
      <w:r w:rsidR="003A0C8A">
        <w:t>areas</w:t>
      </w:r>
      <w:r w:rsidR="00FE2599">
        <w:t xml:space="preserve"> with strong </w:t>
      </w:r>
      <w:r w:rsidR="00000B72">
        <w:t xml:space="preserve">revenue impact </w:t>
      </w:r>
      <w:r w:rsidR="00FD7C18">
        <w:t>potential such as conference</w:t>
      </w:r>
      <w:r w:rsidR="00471217">
        <w:t>. Specifically:</w:t>
      </w:r>
    </w:p>
    <w:p w14:paraId="4655B273" w14:textId="77777777" w:rsidR="00471217" w:rsidRDefault="00471217" w:rsidP="00471217"/>
    <w:p w14:paraId="09D545A2" w14:textId="00D7B4A8" w:rsidR="00471217" w:rsidRDefault="00471217" w:rsidP="00471217">
      <w:pPr>
        <w:rPr>
          <w:u w:val="single"/>
        </w:rPr>
      </w:pPr>
      <w:r w:rsidRPr="007813B0">
        <w:rPr>
          <w:u w:val="single"/>
        </w:rPr>
        <w:t>IT (</w:t>
      </w:r>
      <w:r w:rsidRPr="001A19CC">
        <w:rPr>
          <w:u w:val="single"/>
        </w:rPr>
        <w:t>proposed investment over three years = $</w:t>
      </w:r>
      <w:r w:rsidR="001A19CC" w:rsidRPr="001A19CC">
        <w:rPr>
          <w:u w:val="single"/>
        </w:rPr>
        <w:t>6.8M</w:t>
      </w:r>
      <w:r w:rsidRPr="001A19CC">
        <w:rPr>
          <w:u w:val="single"/>
        </w:rPr>
        <w:t>)</w:t>
      </w:r>
    </w:p>
    <w:p w14:paraId="5C701C36" w14:textId="25767EA2" w:rsidR="00744D03" w:rsidRDefault="00744D03" w:rsidP="00744D03">
      <w:r>
        <w:t xml:space="preserve">The PLA </w:t>
      </w:r>
      <w:r w:rsidR="00DD2FAF">
        <w:t>B</w:t>
      </w:r>
      <w:r>
        <w:t>oard</w:t>
      </w:r>
      <w:r w:rsidR="002A687B">
        <w:t xml:space="preserve"> has </w:t>
      </w:r>
      <w:proofErr w:type="gramStart"/>
      <w:r w:rsidR="002A687B">
        <w:t>particular concern</w:t>
      </w:r>
      <w:proofErr w:type="gramEnd"/>
      <w:r w:rsidR="002A687B">
        <w:t xml:space="preserve"> about IT’s ability to</w:t>
      </w:r>
      <w:r w:rsidR="00361A5F">
        <w:t xml:space="preserve"> manage and</w:t>
      </w:r>
      <w:r w:rsidR="002A687B">
        <w:t xml:space="preserve"> implement th</w:t>
      </w:r>
      <w:r w:rsidR="00991BA1">
        <w:t xml:space="preserve">is significant </w:t>
      </w:r>
      <w:r w:rsidR="002A687B">
        <w:t xml:space="preserve">investment. </w:t>
      </w:r>
      <w:r w:rsidR="00991BA1">
        <w:t>C</w:t>
      </w:r>
      <w:r w:rsidR="002A687B">
        <w:t xml:space="preserve">oncern stems from </w:t>
      </w:r>
      <w:r>
        <w:t>multiple</w:t>
      </w:r>
      <w:r w:rsidR="002A687B">
        <w:t xml:space="preserve"> past</w:t>
      </w:r>
      <w:r>
        <w:t xml:space="preserve"> issues</w:t>
      </w:r>
      <w:r w:rsidR="008928D0">
        <w:t>, which seem to indicate an inability to prioritize projects,</w:t>
      </w:r>
      <w:r>
        <w:t xml:space="preserve"> including:  </w:t>
      </w:r>
    </w:p>
    <w:p w14:paraId="733F8651" w14:textId="77777777" w:rsidR="002A687B" w:rsidRDefault="00744D03" w:rsidP="006B4C84">
      <w:pPr>
        <w:pStyle w:val="ListParagraph"/>
        <w:numPr>
          <w:ilvl w:val="0"/>
          <w:numId w:val="10"/>
        </w:numPr>
      </w:pPr>
      <w:r>
        <w:t>multi-year delay on new ALA Connect launch</w:t>
      </w:r>
      <w:r w:rsidR="002A687B">
        <w:t>, poor coordination and communication internally and externally</w:t>
      </w:r>
    </w:p>
    <w:p w14:paraId="4EE7650D" w14:textId="7B7B2444" w:rsidR="00A21200" w:rsidRDefault="00A21200" w:rsidP="001B4127">
      <w:pPr>
        <w:pStyle w:val="ListParagraph"/>
        <w:numPr>
          <w:ilvl w:val="0"/>
          <w:numId w:val="10"/>
        </w:numPr>
      </w:pPr>
      <w:r>
        <w:t>multi-year delay on responsive web design</w:t>
      </w:r>
      <w:r w:rsidR="00337F29">
        <w:t xml:space="preserve"> and </w:t>
      </w:r>
      <w:r>
        <w:t>website security (</w:t>
      </w:r>
      <w:r w:rsidR="005468FE">
        <w:t>https</w:t>
      </w:r>
      <w:r>
        <w:t>)</w:t>
      </w:r>
    </w:p>
    <w:p w14:paraId="727210A3" w14:textId="6591411A" w:rsidR="00744D03" w:rsidRDefault="00A21200" w:rsidP="00744D03">
      <w:pPr>
        <w:pStyle w:val="ListParagraph"/>
        <w:numPr>
          <w:ilvl w:val="0"/>
          <w:numId w:val="10"/>
        </w:numPr>
      </w:pPr>
      <w:r>
        <w:t>lack of coordination</w:t>
      </w:r>
      <w:r w:rsidR="00DC5432">
        <w:t xml:space="preserve"> and</w:t>
      </w:r>
      <w:r>
        <w:t xml:space="preserve"> communication </w:t>
      </w:r>
      <w:r w:rsidR="005D3E19">
        <w:t>regarding</w:t>
      </w:r>
      <w:r>
        <w:t xml:space="preserve"> internal protocols for </w:t>
      </w:r>
      <w:r w:rsidR="00744D03">
        <w:t xml:space="preserve">e-mail marketing practices </w:t>
      </w:r>
    </w:p>
    <w:p w14:paraId="05779DB3" w14:textId="0B8FDE9E" w:rsidR="00744D03" w:rsidRDefault="001A19CC" w:rsidP="00744D03">
      <w:pPr>
        <w:pStyle w:val="ListParagraph"/>
        <w:numPr>
          <w:ilvl w:val="0"/>
          <w:numId w:val="10"/>
        </w:numPr>
      </w:pPr>
      <w:r>
        <w:t>slow response to impact of GDPR on ALA privacy policy and data management</w:t>
      </w:r>
    </w:p>
    <w:p w14:paraId="7157873B" w14:textId="4CFAE838" w:rsidR="006560CE" w:rsidRPr="001A19CC" w:rsidRDefault="00802DD6" w:rsidP="00744D03">
      <w:pPr>
        <w:pStyle w:val="ListParagraph"/>
        <w:numPr>
          <w:ilvl w:val="0"/>
          <w:numId w:val="10"/>
        </w:numPr>
      </w:pPr>
      <w:r>
        <w:t>t</w:t>
      </w:r>
      <w:r w:rsidR="00B9320D">
        <w:t xml:space="preserve">he </w:t>
      </w:r>
      <w:hyperlink r:id="rId9" w:history="1">
        <w:r w:rsidR="00B9320D" w:rsidRPr="00802DD6">
          <w:rPr>
            <w:rStyle w:val="Hyperlink"/>
          </w:rPr>
          <w:t xml:space="preserve">ITTS </w:t>
        </w:r>
        <w:r w:rsidRPr="00802DD6">
          <w:rPr>
            <w:rStyle w:val="Hyperlink"/>
          </w:rPr>
          <w:t>Technology Investment</w:t>
        </w:r>
      </w:hyperlink>
      <w:r>
        <w:t xml:space="preserve"> plan recognizes that ALA needs to reduce the number of internal hierarchies and that more resources are needed. </w:t>
      </w:r>
      <w:r w:rsidR="00337F29">
        <w:t xml:space="preserve">However, </w:t>
      </w:r>
      <w:r>
        <w:t xml:space="preserve">ITTS is </w:t>
      </w:r>
      <w:r w:rsidR="000B0A9C">
        <w:t xml:space="preserve">unable to </w:t>
      </w:r>
      <w:proofErr w:type="gramStart"/>
      <w:r w:rsidR="00DD2FAF">
        <w:t>articulate</w:t>
      </w:r>
      <w:r>
        <w:t xml:space="preserve"> </w:t>
      </w:r>
      <w:r w:rsidR="00337F29">
        <w:t xml:space="preserve"> w</w:t>
      </w:r>
      <w:r>
        <w:t>hat</w:t>
      </w:r>
      <w:proofErr w:type="gramEnd"/>
      <w:r>
        <w:t xml:space="preserve"> a fully functional IT department</w:t>
      </w:r>
      <w:r w:rsidR="00337F29">
        <w:t xml:space="preserve"> will</w:t>
      </w:r>
      <w:r>
        <w:t xml:space="preserve"> mean for members and staff</w:t>
      </w:r>
      <w:r w:rsidR="00DD2FAF">
        <w:t>.</w:t>
      </w:r>
    </w:p>
    <w:p w14:paraId="77BC14D1" w14:textId="02F49C05" w:rsidR="00744D03" w:rsidRPr="00744D03" w:rsidRDefault="009E6515" w:rsidP="00471217">
      <w:r>
        <w:t>S</w:t>
      </w:r>
      <w:r w:rsidR="00744D03">
        <w:t>ome of th</w:t>
      </w:r>
      <w:r w:rsidR="002A687B">
        <w:t>ese</w:t>
      </w:r>
      <w:r w:rsidR="00744D03">
        <w:t xml:space="preserve"> issues are the result of the technology debt ALA IT</w:t>
      </w:r>
      <w:r w:rsidR="00D05AD3">
        <w:t>TS</w:t>
      </w:r>
      <w:r w:rsidR="00744D03">
        <w:t xml:space="preserve"> has experienced for the last several years</w:t>
      </w:r>
      <w:r w:rsidR="00FD7C18">
        <w:t xml:space="preserve"> but the </w:t>
      </w:r>
      <w:r w:rsidR="00F62F7E">
        <w:t xml:space="preserve">PLA Board feels the </w:t>
      </w:r>
      <w:r w:rsidR="00FD7C18">
        <w:t>technology debt alone may not</w:t>
      </w:r>
      <w:r w:rsidR="00F62F7E">
        <w:t xml:space="preserve"> fully account for</w:t>
      </w:r>
      <w:r w:rsidR="00FD7C18">
        <w:t xml:space="preserve"> the </w:t>
      </w:r>
      <w:r w:rsidR="00E11315">
        <w:t>under</w:t>
      </w:r>
      <w:r w:rsidR="00FD7C18">
        <w:t>performance of ALA ITTS over</w:t>
      </w:r>
      <w:r w:rsidR="00E11315">
        <w:t xml:space="preserve"> </w:t>
      </w:r>
      <w:r w:rsidR="00FD7C18">
        <w:t>time</w:t>
      </w:r>
      <w:r w:rsidR="00744D03">
        <w:t xml:space="preserve">. To insure the best possible </w:t>
      </w:r>
      <w:r w:rsidR="002A687B">
        <w:t xml:space="preserve">results, we strongly encourage: </w:t>
      </w:r>
    </w:p>
    <w:p w14:paraId="1E66EBE7" w14:textId="77777777" w:rsidR="00471217" w:rsidRDefault="00471217" w:rsidP="00471217"/>
    <w:p w14:paraId="51D24DD7" w14:textId="50AB9731" w:rsidR="007813B0" w:rsidRDefault="00471217" w:rsidP="00471217">
      <w:pPr>
        <w:pStyle w:val="ListParagraph"/>
        <w:numPr>
          <w:ilvl w:val="0"/>
          <w:numId w:val="7"/>
        </w:numPr>
      </w:pPr>
      <w:r>
        <w:t>Comprehensive review of</w:t>
      </w:r>
      <w:r w:rsidR="00FD7C18">
        <w:t xml:space="preserve"> </w:t>
      </w:r>
      <w:r w:rsidR="00E11315">
        <w:t xml:space="preserve">IT staff and </w:t>
      </w:r>
      <w:r w:rsidR="00FD7C18">
        <w:t>operation</w:t>
      </w:r>
      <w:r w:rsidR="00E11315">
        <w:t>al</w:t>
      </w:r>
      <w:r w:rsidR="00FD7C18">
        <w:t xml:space="preserve"> </w:t>
      </w:r>
      <w:r w:rsidR="00E11315">
        <w:t xml:space="preserve">performance </w:t>
      </w:r>
      <w:r w:rsidR="001A19CC" w:rsidRPr="001A19CC">
        <w:t xml:space="preserve">conducted by an outside firm to evaluate current IT resources, equipment, capacity, networking and best practices to provide a technological assessment and recommendation for moving forward. </w:t>
      </w:r>
      <w:r w:rsidR="00000B72">
        <w:t xml:space="preserve">An audit by an IT consulting firm that can assess against current </w:t>
      </w:r>
      <w:r w:rsidR="009B1ED8">
        <w:t xml:space="preserve">standard </w:t>
      </w:r>
      <w:r w:rsidR="00000B72">
        <w:t>association IT practice</w:t>
      </w:r>
      <w:r w:rsidR="001A19CC" w:rsidRPr="001A19CC">
        <w:t xml:space="preserve"> will insure creating a best practices strategy and</w:t>
      </w:r>
      <w:r w:rsidR="001A19CC">
        <w:t xml:space="preserve"> </w:t>
      </w:r>
      <w:r w:rsidR="007813B0">
        <w:t>optimal return on investment</w:t>
      </w:r>
      <w:r w:rsidR="00744D03">
        <w:t xml:space="preserve"> and realignment as dictated by review.</w:t>
      </w:r>
      <w:r w:rsidR="007813B0">
        <w:t xml:space="preserve"> </w:t>
      </w:r>
    </w:p>
    <w:p w14:paraId="531E3923" w14:textId="244DC570" w:rsidR="003A0C8A" w:rsidRDefault="003A0C8A" w:rsidP="003A0C8A">
      <w:pPr>
        <w:pStyle w:val="ListParagraph"/>
        <w:numPr>
          <w:ilvl w:val="0"/>
          <w:numId w:val="7"/>
        </w:numPr>
      </w:pPr>
      <w:r>
        <w:t>Clearly defined</w:t>
      </w:r>
      <w:r w:rsidR="00744D03">
        <w:t xml:space="preserve"> performance</w:t>
      </w:r>
      <w:r>
        <w:t xml:space="preserve"> indicators and schedule</w:t>
      </w:r>
      <w:r w:rsidR="002A687B">
        <w:t>s</w:t>
      </w:r>
      <w:r>
        <w:t xml:space="preserve"> that </w:t>
      </w:r>
      <w:r w:rsidR="002A687B">
        <w:t>are</w:t>
      </w:r>
      <w:r>
        <w:t xml:space="preserve"> regularly tracked.</w:t>
      </w:r>
    </w:p>
    <w:p w14:paraId="4F96F30D" w14:textId="394ADFDE" w:rsidR="002A687B" w:rsidRDefault="002A687B" w:rsidP="003A0C8A">
      <w:pPr>
        <w:pStyle w:val="ListParagraph"/>
        <w:numPr>
          <w:ilvl w:val="0"/>
          <w:numId w:val="7"/>
        </w:numPr>
      </w:pPr>
      <w:r>
        <w:t>Clear communication and accountability related to implementation and adjustments.</w:t>
      </w:r>
    </w:p>
    <w:p w14:paraId="267E94BB" w14:textId="4D2F686E" w:rsidR="0002440C" w:rsidRDefault="007813B0" w:rsidP="007813B0">
      <w:pPr>
        <w:rPr>
          <w:u w:val="single"/>
        </w:rPr>
      </w:pPr>
      <w:r w:rsidRPr="007813B0">
        <w:rPr>
          <w:u w:val="single"/>
        </w:rPr>
        <w:t>Development (proposed investment over three years = $</w:t>
      </w:r>
      <w:r w:rsidR="001A19CC">
        <w:rPr>
          <w:u w:val="single"/>
        </w:rPr>
        <w:t>744K</w:t>
      </w:r>
      <w:r w:rsidRPr="007813B0">
        <w:rPr>
          <w:u w:val="single"/>
        </w:rPr>
        <w:t>)</w:t>
      </w:r>
    </w:p>
    <w:p w14:paraId="0C8DF96B" w14:textId="7EF4C9F5" w:rsidR="00471217" w:rsidRDefault="0002440C" w:rsidP="007813B0">
      <w:pPr>
        <w:rPr>
          <w:u w:val="single"/>
        </w:rPr>
      </w:pPr>
      <w:r>
        <w:t xml:space="preserve">The ALA Development Office has made significant progress over the last year and has reached out to ALA units to insure coordination toward successful fundraising. </w:t>
      </w:r>
      <w:r w:rsidR="00E11315">
        <w:t>The PLA Board co</w:t>
      </w:r>
      <w:r w:rsidR="00F62F7E">
        <w:t xml:space="preserve">mmends </w:t>
      </w:r>
      <w:r w:rsidR="001A19CC">
        <w:t>D</w:t>
      </w:r>
      <w:r w:rsidR="00F62F7E">
        <w:t>evelopment staff for</w:t>
      </w:r>
      <w:r w:rsidR="00FA6F31">
        <w:t xml:space="preserve"> their accomplishments </w:t>
      </w:r>
      <w:r w:rsidR="00E11315">
        <w:t xml:space="preserve">with limited capacity. </w:t>
      </w:r>
      <w:r>
        <w:t xml:space="preserve">Supporting this </w:t>
      </w:r>
      <w:r w:rsidR="009E6515">
        <w:t>positive</w:t>
      </w:r>
      <w:r>
        <w:t xml:space="preserve"> trajectory makes good sense. ALA Development should </w:t>
      </w:r>
      <w:r w:rsidR="008928D0">
        <w:t xml:space="preserve">be supported in its work by both ITTS and Finance so that accurately documenting donations is a simple, centralized process. ALA Development should </w:t>
      </w:r>
      <w:r>
        <w:t>continue to:</w:t>
      </w:r>
      <w:r w:rsidR="007813B0" w:rsidRPr="007813B0">
        <w:rPr>
          <w:u w:val="single"/>
        </w:rPr>
        <w:t xml:space="preserve"> </w:t>
      </w:r>
    </w:p>
    <w:p w14:paraId="610C3973" w14:textId="4E09BEBF" w:rsidR="0002440C" w:rsidRDefault="009E6515" w:rsidP="00C77AEA">
      <w:pPr>
        <w:pStyle w:val="ListParagraph"/>
        <w:numPr>
          <w:ilvl w:val="0"/>
          <w:numId w:val="8"/>
        </w:numPr>
      </w:pPr>
      <w:r>
        <w:t>Provide c</w:t>
      </w:r>
      <w:r w:rsidR="0002440C">
        <w:t>lear and regular do</w:t>
      </w:r>
      <w:r w:rsidR="007813B0">
        <w:t>nation tracking</w:t>
      </w:r>
      <w:r w:rsidR="0002440C">
        <w:t>.</w:t>
      </w:r>
    </w:p>
    <w:p w14:paraId="69DC2A3C" w14:textId="04E7BF6E" w:rsidR="0002440C" w:rsidRDefault="009E6515" w:rsidP="00C77AEA">
      <w:pPr>
        <w:pStyle w:val="ListParagraph"/>
        <w:numPr>
          <w:ilvl w:val="0"/>
          <w:numId w:val="8"/>
        </w:numPr>
      </w:pPr>
      <w:r>
        <w:t xml:space="preserve">Communicate regularly regarding </w:t>
      </w:r>
      <w:r w:rsidR="0002440C">
        <w:t>goals and progres</w:t>
      </w:r>
      <w:r>
        <w:t>s</w:t>
      </w:r>
      <w:r w:rsidR="0002440C">
        <w:t>.</w:t>
      </w:r>
    </w:p>
    <w:p w14:paraId="38D0D4D3" w14:textId="6D835A6C" w:rsidR="007813B0" w:rsidRDefault="009E6515" w:rsidP="00C77AEA">
      <w:pPr>
        <w:pStyle w:val="ListParagraph"/>
        <w:numPr>
          <w:ilvl w:val="0"/>
          <w:numId w:val="8"/>
        </w:numPr>
      </w:pPr>
      <w:r>
        <w:t>W</w:t>
      </w:r>
      <w:r w:rsidR="0002440C">
        <w:t xml:space="preserve">ork toward educating and increasing a </w:t>
      </w:r>
      <w:r w:rsidR="007813B0">
        <w:t>culture of giving at ALA as evidenced by more staff/members involved in fundraising</w:t>
      </w:r>
      <w:r w:rsidR="002A687B">
        <w:t>.</w:t>
      </w:r>
    </w:p>
    <w:p w14:paraId="15CE12A5" w14:textId="6DF2B331" w:rsidR="007813B0" w:rsidRDefault="007813B0" w:rsidP="007813B0">
      <w:pPr>
        <w:rPr>
          <w:u w:val="single"/>
        </w:rPr>
      </w:pPr>
      <w:r w:rsidRPr="007813B0">
        <w:rPr>
          <w:u w:val="single"/>
        </w:rPr>
        <w:t>Advocacy (proposed investment over three years =$</w:t>
      </w:r>
      <w:r w:rsidR="001A19CC">
        <w:rPr>
          <w:u w:val="single"/>
        </w:rPr>
        <w:t>1.3M</w:t>
      </w:r>
      <w:r w:rsidRPr="007813B0">
        <w:rPr>
          <w:u w:val="single"/>
        </w:rPr>
        <w:t>)</w:t>
      </w:r>
    </w:p>
    <w:p w14:paraId="663A23E0" w14:textId="59ECBF02" w:rsidR="00D05AD3" w:rsidRPr="00D05AD3" w:rsidRDefault="00D05AD3" w:rsidP="007813B0">
      <w:r>
        <w:t xml:space="preserve">PLA supports the changes the ALA Washington Office has identified as critical to </w:t>
      </w:r>
      <w:r w:rsidR="009E6515">
        <w:t>libraries’</w:t>
      </w:r>
      <w:r>
        <w:t xml:space="preserve"> future advocacy success</w:t>
      </w:r>
      <w:r w:rsidR="00DC10FB">
        <w:t xml:space="preserve"> and has these recommendations: </w:t>
      </w:r>
    </w:p>
    <w:p w14:paraId="3402DB29" w14:textId="3C4384AA" w:rsidR="002A687B" w:rsidRPr="002A687B" w:rsidRDefault="002A687B" w:rsidP="003A0C8A">
      <w:pPr>
        <w:pStyle w:val="ListParagraph"/>
        <w:numPr>
          <w:ilvl w:val="0"/>
          <w:numId w:val="9"/>
        </w:numPr>
        <w:rPr>
          <w:u w:val="single"/>
        </w:rPr>
      </w:pPr>
      <w:r>
        <w:lastRenderedPageBreak/>
        <w:t>Sharing of the CRM resource</w:t>
      </w:r>
      <w:r w:rsidR="0002440C">
        <w:t xml:space="preserve"> with relevant ALA units</w:t>
      </w:r>
      <w:r>
        <w:t xml:space="preserve"> where possible to maximize </w:t>
      </w:r>
      <w:r w:rsidR="00E11315">
        <w:t xml:space="preserve">return of </w:t>
      </w:r>
      <w:r>
        <w:t xml:space="preserve">investment potential. </w:t>
      </w:r>
    </w:p>
    <w:p w14:paraId="017D2E97" w14:textId="7B2A7785" w:rsidR="00DC10FB" w:rsidRPr="00DC10FB" w:rsidRDefault="002A687B" w:rsidP="003A0C8A">
      <w:pPr>
        <w:pStyle w:val="ListParagraph"/>
        <w:numPr>
          <w:ilvl w:val="0"/>
          <w:numId w:val="9"/>
        </w:numPr>
        <w:rPr>
          <w:u w:val="single"/>
        </w:rPr>
      </w:pPr>
      <w:r>
        <w:t xml:space="preserve">Clear communication </w:t>
      </w:r>
      <w:r w:rsidR="0002440C">
        <w:t xml:space="preserve">on goals and monitoring on progress of goals. </w:t>
      </w:r>
    </w:p>
    <w:p w14:paraId="29EE7A65" w14:textId="62B60DC3" w:rsidR="007813B0" w:rsidRDefault="00DC10FB" w:rsidP="003A72FF">
      <w:pPr>
        <w:pStyle w:val="ListParagraph"/>
        <w:numPr>
          <w:ilvl w:val="0"/>
          <w:numId w:val="9"/>
        </w:numPr>
      </w:pPr>
      <w:r>
        <w:t xml:space="preserve">Coordination and involvement of ALA units with aligned advocacy goals to insure consistency, reduce redundancy and for best outcomes. </w:t>
      </w:r>
      <w:r w:rsidR="007813B0">
        <w:t> </w:t>
      </w:r>
    </w:p>
    <w:p w14:paraId="0B73DF5A" w14:textId="0C26AFFB" w:rsidR="007813B0" w:rsidRPr="007813B0" w:rsidRDefault="007813B0" w:rsidP="007813B0">
      <w:pPr>
        <w:rPr>
          <w:u w:val="single"/>
        </w:rPr>
      </w:pPr>
      <w:r w:rsidRPr="007813B0">
        <w:rPr>
          <w:u w:val="single"/>
        </w:rPr>
        <w:t>ALA Conferences</w:t>
      </w:r>
    </w:p>
    <w:p w14:paraId="6D8A1F20" w14:textId="78BE075D" w:rsidR="00D05AD3" w:rsidRDefault="00D05AD3" w:rsidP="00D05AD3">
      <w:pPr>
        <w:rPr>
          <w:color w:val="0D0D0D"/>
        </w:rPr>
      </w:pPr>
      <w:r>
        <w:rPr>
          <w:color w:val="000000" w:themeColor="text1"/>
        </w:rPr>
        <w:t xml:space="preserve">PLA </w:t>
      </w:r>
      <w:r w:rsidR="008C2B32">
        <w:rPr>
          <w:color w:val="000000" w:themeColor="text1"/>
        </w:rPr>
        <w:t>B</w:t>
      </w:r>
      <w:r>
        <w:rPr>
          <w:color w:val="000000" w:themeColor="text1"/>
        </w:rPr>
        <w:t>oard members w</w:t>
      </w:r>
      <w:r>
        <w:rPr>
          <w:color w:val="0D0D0D"/>
        </w:rPr>
        <w:t>ould rather allocate their librar</w:t>
      </w:r>
      <w:r w:rsidR="006A75A4">
        <w:rPr>
          <w:color w:val="0D0D0D"/>
        </w:rPr>
        <w:t>ies’</w:t>
      </w:r>
      <w:r>
        <w:rPr>
          <w:color w:val="0D0D0D"/>
        </w:rPr>
        <w:t xml:space="preserve"> resources to send more people to ALA Annual</w:t>
      </w:r>
      <w:r w:rsidR="00DC10FB">
        <w:rPr>
          <w:color w:val="0D0D0D"/>
        </w:rPr>
        <w:t xml:space="preserve"> and </w:t>
      </w:r>
      <w:r>
        <w:rPr>
          <w:color w:val="0D0D0D"/>
        </w:rPr>
        <w:t>PLA conferences</w:t>
      </w:r>
      <w:r w:rsidR="00DC10FB">
        <w:rPr>
          <w:color w:val="0D0D0D"/>
        </w:rPr>
        <w:t xml:space="preserve"> than to Midwinter</w:t>
      </w:r>
      <w:r>
        <w:rPr>
          <w:color w:val="0D0D0D"/>
        </w:rPr>
        <w:t>. PLA members</w:t>
      </w:r>
      <w:r w:rsidR="00E11315">
        <w:rPr>
          <w:color w:val="0D0D0D"/>
        </w:rPr>
        <w:t>, includ</w:t>
      </w:r>
      <w:r w:rsidR="001A19CC">
        <w:rPr>
          <w:color w:val="0D0D0D"/>
        </w:rPr>
        <w:t>ing</w:t>
      </w:r>
      <w:r w:rsidR="00E11315">
        <w:rPr>
          <w:color w:val="0D0D0D"/>
        </w:rPr>
        <w:t xml:space="preserve"> the PLA Board,</w:t>
      </w:r>
      <w:r>
        <w:rPr>
          <w:color w:val="0D0D0D"/>
        </w:rPr>
        <w:t xml:space="preserve"> can do their association work virtually and a focus on higher quality education at the summer meeting is a better investment</w:t>
      </w:r>
      <w:r w:rsidR="00E11315">
        <w:rPr>
          <w:color w:val="0D0D0D"/>
        </w:rPr>
        <w:t xml:space="preserve"> than </w:t>
      </w:r>
      <w:r w:rsidR="006A75A4">
        <w:rPr>
          <w:color w:val="0D0D0D"/>
        </w:rPr>
        <w:t>the</w:t>
      </w:r>
      <w:r w:rsidR="00E11315">
        <w:rPr>
          <w:color w:val="0D0D0D"/>
        </w:rPr>
        <w:t xml:space="preserve"> Midwinter meeting</w:t>
      </w:r>
      <w:r w:rsidR="006A75A4">
        <w:rPr>
          <w:color w:val="0D0D0D"/>
        </w:rPr>
        <w:t>,</w:t>
      </w:r>
      <w:r w:rsidR="00F62F7E">
        <w:rPr>
          <w:color w:val="0D0D0D"/>
        </w:rPr>
        <w:t xml:space="preserve"> which diverts limited resources</w:t>
      </w:r>
      <w:r>
        <w:rPr>
          <w:color w:val="0D0D0D"/>
        </w:rPr>
        <w:t xml:space="preserve">. </w:t>
      </w:r>
      <w:r w:rsidR="00DC10FB">
        <w:rPr>
          <w:color w:val="0D0D0D"/>
        </w:rPr>
        <w:t>O</w:t>
      </w:r>
      <w:r>
        <w:rPr>
          <w:color w:val="0D0D0D"/>
        </w:rPr>
        <w:t xml:space="preserve">ne board member stated: “The value and purpose of Midwinter are no longer evident.”  </w:t>
      </w:r>
    </w:p>
    <w:p w14:paraId="66D8F739" w14:textId="77777777" w:rsidR="00D05AD3" w:rsidRDefault="00D05AD3" w:rsidP="00D05AD3">
      <w:pPr>
        <w:shd w:val="clear" w:color="auto" w:fill="FFFFFF"/>
        <w:tabs>
          <w:tab w:val="num" w:pos="630"/>
          <w:tab w:val="left" w:leader="dot" w:pos="7920"/>
        </w:tabs>
        <w:rPr>
          <w:color w:val="000000" w:themeColor="text1"/>
        </w:rPr>
      </w:pPr>
    </w:p>
    <w:p w14:paraId="74B8F870" w14:textId="77777777" w:rsidR="00FA6F31" w:rsidRDefault="003A0C8A" w:rsidP="00337F29">
      <w:pPr>
        <w:rPr>
          <w:color w:val="000000" w:themeColor="text1"/>
        </w:rPr>
      </w:pPr>
      <w:r>
        <w:rPr>
          <w:color w:val="000000" w:themeColor="text1"/>
        </w:rPr>
        <w:t xml:space="preserve">The </w:t>
      </w:r>
      <w:r w:rsidR="006A75A4">
        <w:rPr>
          <w:color w:val="000000" w:themeColor="text1"/>
        </w:rPr>
        <w:t>B</w:t>
      </w:r>
      <w:r>
        <w:rPr>
          <w:color w:val="000000" w:themeColor="text1"/>
        </w:rPr>
        <w:t xml:space="preserve">oard questions why </w:t>
      </w:r>
      <w:r w:rsidR="00CB2D67">
        <w:rPr>
          <w:color w:val="000000" w:themeColor="text1"/>
        </w:rPr>
        <w:t xml:space="preserve">investment in Conference </w:t>
      </w:r>
      <w:r>
        <w:rPr>
          <w:color w:val="000000" w:themeColor="text1"/>
        </w:rPr>
        <w:t>is not included in the</w:t>
      </w:r>
      <w:r w:rsidR="00D05AD3">
        <w:rPr>
          <w:color w:val="000000" w:themeColor="text1"/>
        </w:rPr>
        <w:t xml:space="preserve"> ALA</w:t>
      </w:r>
      <w:r>
        <w:rPr>
          <w:color w:val="000000" w:themeColor="text1"/>
        </w:rPr>
        <w:t xml:space="preserve"> plan. </w:t>
      </w:r>
      <w:r w:rsidR="00CB2D67">
        <w:rPr>
          <w:color w:val="000000" w:themeColor="text1"/>
        </w:rPr>
        <w:t xml:space="preserve">ALA Annual Conference is a major revenue source </w:t>
      </w:r>
      <w:r w:rsidR="0002440C">
        <w:rPr>
          <w:color w:val="000000" w:themeColor="text1"/>
        </w:rPr>
        <w:t xml:space="preserve">and a driver of member engagement and learning. </w:t>
      </w:r>
      <w:r w:rsidR="00CB2D67">
        <w:rPr>
          <w:color w:val="000000" w:themeColor="text1"/>
        </w:rPr>
        <w:t>ALA Conference Services is not</w:t>
      </w:r>
      <w:r w:rsidR="0002440C">
        <w:rPr>
          <w:color w:val="000000" w:themeColor="text1"/>
        </w:rPr>
        <w:t xml:space="preserve"> sufficiently </w:t>
      </w:r>
      <w:r w:rsidR="00CB2D67">
        <w:rPr>
          <w:color w:val="000000" w:themeColor="text1"/>
        </w:rPr>
        <w:t xml:space="preserve">supported or organized to allow ALA to </w:t>
      </w:r>
      <w:r w:rsidR="006A75A4">
        <w:rPr>
          <w:color w:val="000000" w:themeColor="text1"/>
        </w:rPr>
        <w:t xml:space="preserve">maximize the educational, networking, and financial </w:t>
      </w:r>
      <w:r w:rsidR="00CB2D67">
        <w:rPr>
          <w:color w:val="000000" w:themeColor="text1"/>
        </w:rPr>
        <w:t xml:space="preserve">potential </w:t>
      </w:r>
      <w:r w:rsidR="006A75A4">
        <w:rPr>
          <w:color w:val="000000" w:themeColor="text1"/>
        </w:rPr>
        <w:t xml:space="preserve">of </w:t>
      </w:r>
      <w:r w:rsidR="00CB2D67">
        <w:rPr>
          <w:color w:val="000000" w:themeColor="text1"/>
        </w:rPr>
        <w:t>the conference</w:t>
      </w:r>
      <w:r w:rsidR="00D05AD3">
        <w:rPr>
          <w:color w:val="000000" w:themeColor="text1"/>
        </w:rPr>
        <w:t xml:space="preserve"> and</w:t>
      </w:r>
      <w:r w:rsidR="00DC10FB">
        <w:rPr>
          <w:color w:val="000000" w:themeColor="text1"/>
        </w:rPr>
        <w:t xml:space="preserve"> members </w:t>
      </w:r>
      <w:r w:rsidR="00D05AD3">
        <w:rPr>
          <w:color w:val="000000" w:themeColor="text1"/>
        </w:rPr>
        <w:t>lose out as a result</w:t>
      </w:r>
      <w:r w:rsidR="00CB2D67">
        <w:rPr>
          <w:color w:val="000000" w:themeColor="text1"/>
        </w:rPr>
        <w:t>.</w:t>
      </w:r>
      <w:r w:rsidR="0002440C">
        <w:rPr>
          <w:color w:val="000000" w:themeColor="text1"/>
        </w:rPr>
        <w:t xml:space="preserve"> While good progress has been made on reducing its footprint, </w:t>
      </w:r>
      <w:r w:rsidR="00D05AD3">
        <w:rPr>
          <w:color w:val="000000" w:themeColor="text1"/>
        </w:rPr>
        <w:t xml:space="preserve">PLA encourages investment in the </w:t>
      </w:r>
      <w:r w:rsidR="006A75A4">
        <w:rPr>
          <w:color w:val="000000" w:themeColor="text1"/>
        </w:rPr>
        <w:t>A</w:t>
      </w:r>
      <w:r w:rsidR="00D05AD3">
        <w:rPr>
          <w:color w:val="000000" w:themeColor="text1"/>
        </w:rPr>
        <w:t>nnual</w:t>
      </w:r>
      <w:r w:rsidR="00DC10FB">
        <w:rPr>
          <w:color w:val="000000" w:themeColor="text1"/>
        </w:rPr>
        <w:t xml:space="preserve"> </w:t>
      </w:r>
      <w:r w:rsidR="006A75A4">
        <w:rPr>
          <w:color w:val="000000" w:themeColor="text1"/>
        </w:rPr>
        <w:t>C</w:t>
      </w:r>
      <w:r w:rsidR="00DC10FB">
        <w:rPr>
          <w:color w:val="000000" w:themeColor="text1"/>
        </w:rPr>
        <w:t>onference</w:t>
      </w:r>
      <w:r w:rsidR="00D05AD3">
        <w:rPr>
          <w:color w:val="000000" w:themeColor="text1"/>
        </w:rPr>
        <w:t xml:space="preserve"> to </w:t>
      </w:r>
      <w:r w:rsidR="0002440C">
        <w:rPr>
          <w:color w:val="000000" w:themeColor="text1"/>
        </w:rPr>
        <w:t>insure the highest quality programming, better overall coordination</w:t>
      </w:r>
      <w:r w:rsidR="004B0A6B">
        <w:rPr>
          <w:color w:val="000000" w:themeColor="text1"/>
        </w:rPr>
        <w:t>,</w:t>
      </w:r>
      <w:r w:rsidR="0002440C">
        <w:rPr>
          <w:color w:val="000000" w:themeColor="text1"/>
        </w:rPr>
        <w:t xml:space="preserve"> and improved marketing. </w:t>
      </w:r>
    </w:p>
    <w:p w14:paraId="1BF528BC" w14:textId="77777777" w:rsidR="00FA6F31" w:rsidRDefault="00FA6F31" w:rsidP="00337F29">
      <w:pPr>
        <w:rPr>
          <w:color w:val="000000" w:themeColor="text1"/>
        </w:rPr>
      </w:pPr>
    </w:p>
    <w:p w14:paraId="453E6C10" w14:textId="771FD9D8" w:rsidR="00DD2FAF" w:rsidRDefault="00000B72" w:rsidP="00337F29">
      <w:pPr>
        <w:rPr>
          <w:color w:val="000000" w:themeColor="text1"/>
        </w:rPr>
      </w:pPr>
      <w:r>
        <w:rPr>
          <w:color w:val="000000" w:themeColor="text1"/>
        </w:rPr>
        <w:t>Currently, Annual produces net revenue as well as overhead for the association</w:t>
      </w:r>
      <w:r w:rsidR="009B1ED8">
        <w:rPr>
          <w:color w:val="000000" w:themeColor="text1"/>
        </w:rPr>
        <w:t xml:space="preserve">. Overhead is </w:t>
      </w:r>
      <w:r w:rsidR="001233DF">
        <w:rPr>
          <w:color w:val="000000" w:themeColor="text1"/>
        </w:rPr>
        <w:t>used to s</w:t>
      </w:r>
      <w:r w:rsidR="009B1ED8">
        <w:rPr>
          <w:color w:val="000000" w:themeColor="text1"/>
        </w:rPr>
        <w:t>u</w:t>
      </w:r>
      <w:r w:rsidR="001233DF">
        <w:rPr>
          <w:color w:val="000000" w:themeColor="text1"/>
        </w:rPr>
        <w:t xml:space="preserve">pport operations in mission-driven services like OIF and ODLOS. </w:t>
      </w:r>
      <w:r>
        <w:rPr>
          <w:color w:val="000000" w:themeColor="text1"/>
        </w:rPr>
        <w:t xml:space="preserve">Midwinter </w:t>
      </w:r>
      <w:r w:rsidR="001233DF">
        <w:rPr>
          <w:color w:val="000000" w:themeColor="text1"/>
        </w:rPr>
        <w:t>does not produce revenue</w:t>
      </w:r>
      <w:r w:rsidR="009B1ED8">
        <w:rPr>
          <w:color w:val="000000" w:themeColor="text1"/>
        </w:rPr>
        <w:t xml:space="preserve"> over and above overhead it genera</w:t>
      </w:r>
      <w:r w:rsidR="004B0A6B">
        <w:rPr>
          <w:color w:val="000000" w:themeColor="text1"/>
        </w:rPr>
        <w:t>tes</w:t>
      </w:r>
      <w:r w:rsidR="009B1ED8">
        <w:rPr>
          <w:color w:val="000000" w:themeColor="text1"/>
        </w:rPr>
        <w:t>. I</w:t>
      </w:r>
      <w:r w:rsidR="00D05AD3">
        <w:rPr>
          <w:color w:val="000000" w:themeColor="text1"/>
        </w:rPr>
        <w:t xml:space="preserve">mprovements </w:t>
      </w:r>
      <w:r w:rsidR="009B1ED8">
        <w:rPr>
          <w:color w:val="000000" w:themeColor="text1"/>
        </w:rPr>
        <w:t xml:space="preserve">to Annual Conference </w:t>
      </w:r>
      <w:r w:rsidR="00D05AD3">
        <w:rPr>
          <w:color w:val="000000" w:themeColor="text1"/>
        </w:rPr>
        <w:t>could offset the overhead loss if Midwinter is eliminated.</w:t>
      </w:r>
      <w:r w:rsidR="004B0A6B">
        <w:rPr>
          <w:color w:val="000000" w:themeColor="text1"/>
        </w:rPr>
        <w:t xml:space="preserve"> Additionally, eliminating Midwinter would reduce costs across multiple units of the Association that could be used for </w:t>
      </w:r>
      <w:r w:rsidR="0028155F">
        <w:rPr>
          <w:color w:val="000000" w:themeColor="text1"/>
        </w:rPr>
        <w:t xml:space="preserve">investment in current </w:t>
      </w:r>
      <w:r w:rsidR="004B0A6B">
        <w:rPr>
          <w:color w:val="000000" w:themeColor="text1"/>
        </w:rPr>
        <w:t xml:space="preserve">successful </w:t>
      </w:r>
      <w:r w:rsidR="0028155F">
        <w:rPr>
          <w:color w:val="000000" w:themeColor="text1"/>
        </w:rPr>
        <w:t xml:space="preserve">or promising </w:t>
      </w:r>
      <w:r w:rsidR="00B61D7C">
        <w:rPr>
          <w:color w:val="000000" w:themeColor="text1"/>
        </w:rPr>
        <w:t xml:space="preserve">new </w:t>
      </w:r>
      <w:r w:rsidR="004B0A6B">
        <w:rPr>
          <w:color w:val="000000" w:themeColor="text1"/>
        </w:rPr>
        <w:t xml:space="preserve">ventures. </w:t>
      </w:r>
      <w:r w:rsidR="00F62F7E">
        <w:rPr>
          <w:color w:val="000000" w:themeColor="text1"/>
        </w:rPr>
        <w:t xml:space="preserve">From the PLA </w:t>
      </w:r>
      <w:r w:rsidR="006A75A4">
        <w:rPr>
          <w:color w:val="000000" w:themeColor="text1"/>
        </w:rPr>
        <w:t>B</w:t>
      </w:r>
      <w:r w:rsidR="00F62F7E">
        <w:rPr>
          <w:color w:val="000000" w:themeColor="text1"/>
        </w:rPr>
        <w:t>oard</w:t>
      </w:r>
      <w:r w:rsidR="006A75A4">
        <w:rPr>
          <w:color w:val="000000" w:themeColor="text1"/>
        </w:rPr>
        <w:t>’s</w:t>
      </w:r>
      <w:r w:rsidR="00F62F7E">
        <w:rPr>
          <w:color w:val="000000" w:themeColor="text1"/>
        </w:rPr>
        <w:t xml:space="preserve"> perspective, ALA should strongly consider the elimination of the Midwinter </w:t>
      </w:r>
      <w:r w:rsidR="009B1ED8">
        <w:rPr>
          <w:color w:val="000000" w:themeColor="text1"/>
        </w:rPr>
        <w:t>M</w:t>
      </w:r>
      <w:r w:rsidR="00F62F7E">
        <w:rPr>
          <w:color w:val="000000" w:themeColor="text1"/>
        </w:rPr>
        <w:t>eeting.</w:t>
      </w:r>
    </w:p>
    <w:p w14:paraId="3A724B38" w14:textId="77777777" w:rsidR="00DD2FAF" w:rsidRDefault="00DD2FAF" w:rsidP="00337F29"/>
    <w:p w14:paraId="3CA57AD4" w14:textId="77777777" w:rsidR="00FA6F31" w:rsidRDefault="00FA6F31" w:rsidP="00337F29"/>
    <w:p w14:paraId="65749A28" w14:textId="77777777" w:rsidR="00FA6F31" w:rsidRDefault="00FA6F31" w:rsidP="00337F29"/>
    <w:p w14:paraId="2D547014" w14:textId="3365DA4D" w:rsidR="00D05AD3" w:rsidRDefault="00DD2FAF" w:rsidP="00337F29">
      <w:r>
        <w:t>Attachment-Financial Talking Points</w:t>
      </w:r>
      <w:r w:rsidR="00D05AD3">
        <w:br w:type="page"/>
      </w:r>
    </w:p>
    <w:p w14:paraId="65791AF6" w14:textId="55FE85DF" w:rsidR="00B24FA2" w:rsidRPr="00D05AD3" w:rsidRDefault="00D05AD3" w:rsidP="00E67E33">
      <w:pPr>
        <w:rPr>
          <w:u w:val="single"/>
        </w:rPr>
      </w:pPr>
      <w:r w:rsidRPr="00D05AD3">
        <w:rPr>
          <w:u w:val="single"/>
        </w:rPr>
        <w:lastRenderedPageBreak/>
        <w:t>Financial Talking Points</w:t>
      </w:r>
    </w:p>
    <w:p w14:paraId="5861BEBE" w14:textId="77777777" w:rsidR="00B24FA2" w:rsidRDefault="00B24FA2" w:rsidP="00E67E33"/>
    <w:p w14:paraId="73848AE5" w14:textId="427B862D" w:rsidR="00E67E33" w:rsidRPr="00E22229" w:rsidRDefault="00E67E33" w:rsidP="00E22229">
      <w:pPr>
        <w:pStyle w:val="ListParagraph"/>
        <w:numPr>
          <w:ilvl w:val="0"/>
          <w:numId w:val="1"/>
        </w:numPr>
        <w:rPr>
          <w:rFonts w:eastAsia="Times New Roman"/>
          <w:color w:val="000000"/>
        </w:rPr>
      </w:pPr>
      <w:r w:rsidRPr="00E22229">
        <w:rPr>
          <w:rFonts w:eastAsia="Times New Roman"/>
          <w:color w:val="000000"/>
        </w:rPr>
        <w:t xml:space="preserve">The </w:t>
      </w:r>
      <w:r w:rsidRPr="00E22229">
        <w:rPr>
          <w:rFonts w:eastAsia="Times New Roman"/>
          <w:b/>
          <w:bCs/>
          <w:color w:val="000000"/>
        </w:rPr>
        <w:t>2008 recession</w:t>
      </w:r>
      <w:r w:rsidRPr="00E22229">
        <w:rPr>
          <w:rFonts w:eastAsia="Times New Roman"/>
          <w:color w:val="000000"/>
        </w:rPr>
        <w:t xml:space="preserve"> challenged associations </w:t>
      </w:r>
      <w:r w:rsidRPr="00E22229">
        <w:rPr>
          <w:rFonts w:eastAsia="Times New Roman"/>
          <w:i/>
          <w:iCs/>
          <w:color w:val="000000"/>
        </w:rPr>
        <w:t>and</w:t>
      </w:r>
      <w:r w:rsidRPr="00E22229">
        <w:rPr>
          <w:rFonts w:eastAsia="Times New Roman"/>
          <w:color w:val="000000"/>
        </w:rPr>
        <w:t xml:space="preserve"> libraries to make hard decisions, be innovative, and to change. In intervening years, while many libraries and associations adjusted, ALA did not.</w:t>
      </w:r>
      <w:r w:rsidRPr="00E22229">
        <w:rPr>
          <w:rFonts w:eastAsia="Times New Roman"/>
          <w:color w:val="FF0000"/>
        </w:rPr>
        <w:t xml:space="preserve">  </w:t>
      </w:r>
    </w:p>
    <w:p w14:paraId="3ED165D5" w14:textId="77777777" w:rsidR="00E67E33" w:rsidRDefault="00E67E33" w:rsidP="00E67E33">
      <w:pPr>
        <w:numPr>
          <w:ilvl w:val="0"/>
          <w:numId w:val="1"/>
        </w:numPr>
        <w:rPr>
          <w:rFonts w:eastAsia="Times New Roman"/>
          <w:color w:val="000000"/>
        </w:rPr>
      </w:pPr>
      <w:r>
        <w:rPr>
          <w:rFonts w:eastAsia="Times New Roman"/>
          <w:color w:val="000000"/>
        </w:rPr>
        <w:t xml:space="preserve">To deal with </w:t>
      </w:r>
      <w:r>
        <w:rPr>
          <w:rFonts w:eastAsia="Times New Roman"/>
          <w:b/>
          <w:bCs/>
          <w:color w:val="000000"/>
        </w:rPr>
        <w:t>decreasing revenue</w:t>
      </w:r>
      <w:r>
        <w:rPr>
          <w:rFonts w:eastAsia="Times New Roman"/>
          <w:color w:val="000000"/>
        </w:rPr>
        <w:t xml:space="preserve">, ALA implemented a series of </w:t>
      </w:r>
      <w:r>
        <w:rPr>
          <w:rFonts w:eastAsia="Times New Roman"/>
          <w:b/>
          <w:bCs/>
          <w:color w:val="000000"/>
        </w:rPr>
        <w:t>across-the-board budget cuts</w:t>
      </w:r>
      <w:r>
        <w:rPr>
          <w:rFonts w:eastAsia="Times New Roman"/>
          <w:color w:val="000000"/>
        </w:rPr>
        <w:t xml:space="preserve"> in the 2-5% range/year for general fund units.</w:t>
      </w:r>
      <w:r>
        <w:rPr>
          <w:rFonts w:eastAsia="Times New Roman"/>
          <w:color w:val="FF0000"/>
        </w:rPr>
        <w:t xml:space="preserve">  </w:t>
      </w:r>
    </w:p>
    <w:p w14:paraId="023C72ED" w14:textId="70D07651" w:rsidR="00E67E33" w:rsidRDefault="00E67E33" w:rsidP="00E67E33">
      <w:pPr>
        <w:numPr>
          <w:ilvl w:val="0"/>
          <w:numId w:val="1"/>
        </w:numPr>
        <w:rPr>
          <w:rFonts w:eastAsia="Times New Roman"/>
          <w:color w:val="000000"/>
        </w:rPr>
      </w:pPr>
      <w:r>
        <w:rPr>
          <w:rFonts w:eastAsia="Times New Roman"/>
          <w:b/>
          <w:bCs/>
          <w:color w:val="000000"/>
        </w:rPr>
        <w:t xml:space="preserve">ALA’s </w:t>
      </w:r>
      <w:r w:rsidR="00DC5432">
        <w:rPr>
          <w:rFonts w:eastAsia="Times New Roman"/>
          <w:b/>
          <w:bCs/>
          <w:color w:val="000000"/>
        </w:rPr>
        <w:t xml:space="preserve">governance organization </w:t>
      </w:r>
      <w:r>
        <w:rPr>
          <w:rFonts w:eastAsia="Times New Roman"/>
          <w:color w:val="000000"/>
        </w:rPr>
        <w:t xml:space="preserve">exacerbated the impact of strategy-less budget cuts. Smaller units were cut to bare bones with </w:t>
      </w:r>
      <w:r w:rsidR="006560CE">
        <w:rPr>
          <w:rFonts w:eastAsia="Times New Roman"/>
          <w:color w:val="000000"/>
        </w:rPr>
        <w:t xml:space="preserve">reduced </w:t>
      </w:r>
      <w:r>
        <w:rPr>
          <w:rFonts w:eastAsia="Times New Roman"/>
          <w:color w:val="000000"/>
        </w:rPr>
        <w:t xml:space="preserve">capacity but the same or increased expectations for output. </w:t>
      </w:r>
      <w:r w:rsidR="006560CE">
        <w:rPr>
          <w:rFonts w:eastAsia="Times New Roman"/>
          <w:color w:val="000000"/>
        </w:rPr>
        <w:t xml:space="preserve">Overall, </w:t>
      </w:r>
      <w:r w:rsidR="00DC5432">
        <w:rPr>
          <w:rFonts w:eastAsia="Times New Roman"/>
          <w:color w:val="000000"/>
        </w:rPr>
        <w:t xml:space="preserve">the organization’s composition </w:t>
      </w:r>
      <w:r w:rsidR="006560CE">
        <w:rPr>
          <w:rFonts w:eastAsia="Times New Roman"/>
          <w:color w:val="000000"/>
        </w:rPr>
        <w:t xml:space="preserve">did </w:t>
      </w:r>
      <w:r w:rsidR="006560CE" w:rsidRPr="006560CE">
        <w:rPr>
          <w:rFonts w:eastAsia="Times New Roman"/>
          <w:i/>
          <w:color w:val="000000"/>
        </w:rPr>
        <w:t>not</w:t>
      </w:r>
      <w:r w:rsidR="006560CE">
        <w:rPr>
          <w:rFonts w:eastAsia="Times New Roman"/>
          <w:color w:val="000000"/>
        </w:rPr>
        <w:t xml:space="preserve"> change. This meant that administrative units (IT, Finance, </w:t>
      </w:r>
      <w:r w:rsidR="007C457E">
        <w:rPr>
          <w:rFonts w:eastAsia="Times New Roman"/>
          <w:color w:val="000000"/>
        </w:rPr>
        <w:t>HR</w:t>
      </w:r>
      <w:r w:rsidR="006560CE">
        <w:rPr>
          <w:rFonts w:eastAsia="Times New Roman"/>
          <w:color w:val="000000"/>
        </w:rPr>
        <w:t>) had no reduction in their burden</w:t>
      </w:r>
      <w:r w:rsidR="000353C9">
        <w:rPr>
          <w:rFonts w:eastAsia="Times New Roman"/>
          <w:color w:val="000000"/>
        </w:rPr>
        <w:t xml:space="preserve"> </w:t>
      </w:r>
      <w:r w:rsidR="00DC5432">
        <w:rPr>
          <w:rFonts w:eastAsia="Times New Roman"/>
          <w:color w:val="000000"/>
        </w:rPr>
        <w:t>while t</w:t>
      </w:r>
      <w:r w:rsidR="006560CE">
        <w:rPr>
          <w:rFonts w:eastAsia="Times New Roman"/>
          <w:color w:val="000000"/>
        </w:rPr>
        <w:t xml:space="preserve">heir budgets </w:t>
      </w:r>
      <w:r w:rsidR="00DC5432">
        <w:rPr>
          <w:rFonts w:eastAsia="Times New Roman"/>
          <w:color w:val="000000"/>
        </w:rPr>
        <w:t xml:space="preserve">also </w:t>
      </w:r>
      <w:r w:rsidR="006560CE">
        <w:rPr>
          <w:rFonts w:eastAsia="Times New Roman"/>
          <w:color w:val="000000"/>
        </w:rPr>
        <w:t xml:space="preserve">were cut or </w:t>
      </w:r>
      <w:r w:rsidR="000353C9">
        <w:rPr>
          <w:rFonts w:eastAsia="Times New Roman"/>
          <w:color w:val="000000"/>
        </w:rPr>
        <w:t xml:space="preserve">kept </w:t>
      </w:r>
      <w:r w:rsidR="006560CE">
        <w:rPr>
          <w:rFonts w:eastAsia="Times New Roman"/>
          <w:color w:val="000000"/>
        </w:rPr>
        <w:t>flat a</w:t>
      </w:r>
      <w:r w:rsidR="000353C9">
        <w:rPr>
          <w:rFonts w:eastAsia="Times New Roman"/>
          <w:color w:val="000000"/>
        </w:rPr>
        <w:t xml:space="preserve">t best. </w:t>
      </w:r>
      <w:r w:rsidR="006560CE">
        <w:rPr>
          <w:rFonts w:eastAsia="Times New Roman"/>
          <w:color w:val="000000"/>
        </w:rPr>
        <w:t xml:space="preserve"> </w:t>
      </w:r>
      <w:r>
        <w:rPr>
          <w:rFonts w:eastAsia="Times New Roman"/>
          <w:color w:val="FF0000"/>
        </w:rPr>
        <w:t xml:space="preserve">   </w:t>
      </w:r>
    </w:p>
    <w:p w14:paraId="641199B4" w14:textId="77777777" w:rsidR="00E67E33" w:rsidRDefault="00E67E33" w:rsidP="00E67E33">
      <w:pPr>
        <w:numPr>
          <w:ilvl w:val="0"/>
          <w:numId w:val="1"/>
        </w:numPr>
        <w:rPr>
          <w:rFonts w:eastAsia="Times New Roman"/>
          <w:color w:val="000000"/>
        </w:rPr>
      </w:pPr>
      <w:r>
        <w:rPr>
          <w:rFonts w:eastAsia="Times New Roman"/>
          <w:color w:val="000000"/>
        </w:rPr>
        <w:t xml:space="preserve">For larger units, across-the-board cuts diminished the very offices ALA relies on for revenue and member services and programs, especially </w:t>
      </w:r>
      <w:r>
        <w:rPr>
          <w:rFonts w:eastAsia="Times New Roman"/>
          <w:b/>
          <w:bCs/>
          <w:color w:val="000000"/>
        </w:rPr>
        <w:t>conference and publishing</w:t>
      </w:r>
      <w:r>
        <w:rPr>
          <w:rFonts w:eastAsia="Times New Roman"/>
          <w:color w:val="000000"/>
        </w:rPr>
        <w:t>.</w:t>
      </w:r>
      <w:r>
        <w:rPr>
          <w:rFonts w:eastAsia="Times New Roman"/>
          <w:color w:val="FF0000"/>
        </w:rPr>
        <w:t xml:space="preserve">  </w:t>
      </w:r>
    </w:p>
    <w:p w14:paraId="124283A9" w14:textId="0857F3EC" w:rsidR="00E67E33" w:rsidRDefault="00E67E33" w:rsidP="00E67E33">
      <w:pPr>
        <w:numPr>
          <w:ilvl w:val="0"/>
          <w:numId w:val="1"/>
        </w:numPr>
        <w:rPr>
          <w:rFonts w:eastAsia="Times New Roman"/>
          <w:color w:val="000000"/>
        </w:rPr>
      </w:pPr>
      <w:r>
        <w:rPr>
          <w:rFonts w:eastAsia="Times New Roman"/>
          <w:b/>
          <w:bCs/>
          <w:color w:val="000000"/>
        </w:rPr>
        <w:t>Lack of IT investment</w:t>
      </w:r>
      <w:r>
        <w:rPr>
          <w:rFonts w:eastAsia="Times New Roman"/>
          <w:color w:val="000000"/>
        </w:rPr>
        <w:t xml:space="preserve"> hurt the association in ways that are </w:t>
      </w:r>
      <w:r w:rsidR="007C457E">
        <w:rPr>
          <w:rFonts w:eastAsia="Times New Roman"/>
          <w:color w:val="000000"/>
        </w:rPr>
        <w:t>apparent</w:t>
      </w:r>
      <w:r>
        <w:rPr>
          <w:rFonts w:eastAsia="Times New Roman"/>
          <w:color w:val="000000"/>
        </w:rPr>
        <w:t xml:space="preserve"> to members</w:t>
      </w:r>
      <w:r w:rsidR="007C457E">
        <w:rPr>
          <w:rFonts w:eastAsia="Times New Roman"/>
          <w:color w:val="000000"/>
        </w:rPr>
        <w:t>, stakeholders, and current and potential supporters</w:t>
      </w:r>
      <w:r>
        <w:rPr>
          <w:rFonts w:eastAsia="Times New Roman"/>
          <w:color w:val="000000"/>
        </w:rPr>
        <w:t>:  lack of quality, easy-to-use technology for engagement and transactions; confusing</w:t>
      </w:r>
      <w:r w:rsidR="00B95A68">
        <w:rPr>
          <w:rFonts w:eastAsia="Times New Roman"/>
          <w:color w:val="000000"/>
        </w:rPr>
        <w:t>,</w:t>
      </w:r>
      <w:r w:rsidR="007C457E">
        <w:rPr>
          <w:rFonts w:eastAsia="Times New Roman"/>
          <w:color w:val="000000"/>
        </w:rPr>
        <w:t xml:space="preserve"> antiquated</w:t>
      </w:r>
      <w:r>
        <w:rPr>
          <w:rFonts w:eastAsia="Times New Roman"/>
          <w:color w:val="000000"/>
        </w:rPr>
        <w:t xml:space="preserve"> web presence, etc. Internally, staff</w:t>
      </w:r>
      <w:r w:rsidR="007C457E">
        <w:rPr>
          <w:rFonts w:eastAsia="Times New Roman"/>
          <w:color w:val="000000"/>
        </w:rPr>
        <w:t xml:space="preserve"> do not have the </w:t>
      </w:r>
      <w:proofErr w:type="gramStart"/>
      <w:r w:rsidR="007C457E">
        <w:rPr>
          <w:rFonts w:eastAsia="Times New Roman"/>
          <w:color w:val="000000"/>
        </w:rPr>
        <w:t xml:space="preserve">IT </w:t>
      </w:r>
      <w:r>
        <w:rPr>
          <w:rFonts w:eastAsia="Times New Roman"/>
          <w:color w:val="000000"/>
        </w:rPr>
        <w:t xml:space="preserve"> tools</w:t>
      </w:r>
      <w:proofErr w:type="gramEnd"/>
      <w:r>
        <w:rPr>
          <w:rFonts w:eastAsia="Times New Roman"/>
          <w:color w:val="000000"/>
        </w:rPr>
        <w:t xml:space="preserve"> they need to run a 21</w:t>
      </w:r>
      <w:r>
        <w:rPr>
          <w:rFonts w:eastAsia="Times New Roman"/>
          <w:color w:val="000000"/>
          <w:vertAlign w:val="superscript"/>
        </w:rPr>
        <w:t>st</w:t>
      </w:r>
      <w:r>
        <w:rPr>
          <w:rFonts w:eastAsia="Times New Roman"/>
          <w:color w:val="000000"/>
        </w:rPr>
        <w:t xml:space="preserve"> century association and</w:t>
      </w:r>
      <w:r w:rsidR="007C457E">
        <w:rPr>
          <w:rFonts w:eastAsia="Times New Roman"/>
          <w:color w:val="000000"/>
        </w:rPr>
        <w:t xml:space="preserve"> this</w:t>
      </w:r>
      <w:r>
        <w:rPr>
          <w:rFonts w:eastAsia="Times New Roman"/>
          <w:color w:val="000000"/>
        </w:rPr>
        <w:t xml:space="preserve"> results in waste and poor outcomes.</w:t>
      </w:r>
      <w:r>
        <w:rPr>
          <w:rFonts w:eastAsia="Times New Roman"/>
          <w:color w:val="FF0000"/>
        </w:rPr>
        <w:t xml:space="preserve"> </w:t>
      </w:r>
    </w:p>
    <w:p w14:paraId="1CC198C7" w14:textId="77777777" w:rsidR="00E67E33" w:rsidRDefault="00E67E33" w:rsidP="00E67E33">
      <w:pPr>
        <w:numPr>
          <w:ilvl w:val="0"/>
          <w:numId w:val="1"/>
        </w:numPr>
        <w:rPr>
          <w:rFonts w:eastAsia="Times New Roman"/>
          <w:color w:val="000000"/>
        </w:rPr>
      </w:pPr>
      <w:r>
        <w:rPr>
          <w:rFonts w:eastAsia="Times New Roman"/>
          <w:color w:val="000000"/>
        </w:rPr>
        <w:t xml:space="preserve">At the same time, the </w:t>
      </w:r>
      <w:r>
        <w:rPr>
          <w:rFonts w:eastAsia="Times New Roman"/>
          <w:b/>
          <w:bCs/>
          <w:color w:val="000000"/>
        </w:rPr>
        <w:t>pace of change</w:t>
      </w:r>
      <w:r>
        <w:rPr>
          <w:rFonts w:eastAsia="Times New Roman"/>
          <w:color w:val="000000"/>
        </w:rPr>
        <w:t xml:space="preserve"> continued to accelerate, requiring strategic thinking and constant innovation in order to be successful. ALA’s technology debt grew even faster in the face of rapid, on-going change.</w:t>
      </w:r>
      <w:r>
        <w:rPr>
          <w:rFonts w:eastAsia="Times New Roman"/>
          <w:color w:val="FF0000"/>
        </w:rPr>
        <w:t xml:space="preserve">  </w:t>
      </w:r>
    </w:p>
    <w:p w14:paraId="4A0ECE7A" w14:textId="77777777" w:rsidR="00E67E33" w:rsidRDefault="00E67E33" w:rsidP="00E67E33">
      <w:pPr>
        <w:numPr>
          <w:ilvl w:val="0"/>
          <w:numId w:val="1"/>
        </w:numPr>
        <w:rPr>
          <w:rFonts w:eastAsia="Times New Roman"/>
          <w:color w:val="000000"/>
        </w:rPr>
      </w:pPr>
      <w:r>
        <w:rPr>
          <w:rFonts w:eastAsia="Times New Roman"/>
          <w:color w:val="000000"/>
        </w:rPr>
        <w:t xml:space="preserve">The </w:t>
      </w:r>
      <w:r>
        <w:rPr>
          <w:rFonts w:eastAsia="Times New Roman"/>
          <w:b/>
          <w:bCs/>
          <w:color w:val="000000"/>
        </w:rPr>
        <w:t>ALA budget has continued to struggle</w:t>
      </w:r>
      <w:r>
        <w:rPr>
          <w:rFonts w:eastAsia="Times New Roman"/>
          <w:color w:val="000000"/>
        </w:rPr>
        <w:t>. Ten year financial data shows flat or declining revenues in major business areas. Over the last two years, ALA has run a deficit (-$1M in FY16 and -$1.6M in FY17).</w:t>
      </w:r>
      <w:r>
        <w:rPr>
          <w:rFonts w:eastAsia="Times New Roman"/>
          <w:color w:val="FF0000"/>
        </w:rPr>
        <w:t xml:space="preserve">  </w:t>
      </w:r>
    </w:p>
    <w:p w14:paraId="35140366" w14:textId="2A28FA8A" w:rsidR="00E67E33" w:rsidRDefault="00E67E33" w:rsidP="00E67E33">
      <w:pPr>
        <w:numPr>
          <w:ilvl w:val="0"/>
          <w:numId w:val="1"/>
        </w:numPr>
        <w:rPr>
          <w:rFonts w:eastAsia="Times New Roman"/>
          <w:color w:val="000000"/>
        </w:rPr>
      </w:pPr>
      <w:r>
        <w:rPr>
          <w:rFonts w:eastAsia="Times New Roman"/>
          <w:color w:val="000000"/>
        </w:rPr>
        <w:t xml:space="preserve">While </w:t>
      </w:r>
      <w:r>
        <w:rPr>
          <w:rFonts w:eastAsia="Times New Roman"/>
          <w:b/>
          <w:bCs/>
          <w:color w:val="000000"/>
        </w:rPr>
        <w:t>ALA’s balance sheet</w:t>
      </w:r>
      <w:r>
        <w:rPr>
          <w:rFonts w:eastAsia="Times New Roman"/>
          <w:color w:val="000000"/>
        </w:rPr>
        <w:t xml:space="preserve"> is strong with $72M in assets, continued deficits will decrease assets. </w:t>
      </w:r>
    </w:p>
    <w:p w14:paraId="5BD33B2B" w14:textId="4A98C49C" w:rsidR="00E67E33" w:rsidRDefault="00E67E33" w:rsidP="00E67E33">
      <w:pPr>
        <w:numPr>
          <w:ilvl w:val="0"/>
          <w:numId w:val="1"/>
        </w:numPr>
        <w:rPr>
          <w:rFonts w:eastAsia="Times New Roman"/>
          <w:color w:val="000000"/>
        </w:rPr>
      </w:pPr>
      <w:r>
        <w:rPr>
          <w:rFonts w:eastAsia="Times New Roman"/>
          <w:color w:val="000000"/>
        </w:rPr>
        <w:t>Without investment in ALA’s IT infrastructure (staff and systems) and in revenue-producing, mission-focused opportunities, ALA</w:t>
      </w:r>
      <w:r>
        <w:rPr>
          <w:rFonts w:eastAsia="Times New Roman"/>
          <w:b/>
          <w:bCs/>
          <w:color w:val="000000"/>
        </w:rPr>
        <w:t xml:space="preserve"> is not sustainable for the long term</w:t>
      </w:r>
      <w:r>
        <w:rPr>
          <w:rFonts w:eastAsia="Times New Roman"/>
          <w:color w:val="000000"/>
        </w:rPr>
        <w:t>.</w:t>
      </w:r>
    </w:p>
    <w:p w14:paraId="34D342DE" w14:textId="77777777" w:rsidR="00E22229" w:rsidRDefault="00E67E33" w:rsidP="00E22229">
      <w:pPr>
        <w:pStyle w:val="ListParagraph"/>
        <w:numPr>
          <w:ilvl w:val="0"/>
          <w:numId w:val="1"/>
        </w:numPr>
        <w:ind w:right="720"/>
        <w:rPr>
          <w:rFonts w:eastAsia="Times New Roman"/>
          <w:color w:val="000000"/>
        </w:rPr>
      </w:pPr>
      <w:r w:rsidRPr="00E22229">
        <w:rPr>
          <w:rFonts w:eastAsia="Times New Roman"/>
          <w:color w:val="000000"/>
        </w:rPr>
        <w:t xml:space="preserve">ALA board is working on a </w:t>
      </w:r>
      <w:r w:rsidRPr="00E22229">
        <w:rPr>
          <w:rFonts w:eastAsia="Times New Roman"/>
          <w:b/>
          <w:color w:val="000000"/>
        </w:rPr>
        <w:t>governance review</w:t>
      </w:r>
      <w:r w:rsidRPr="00E22229">
        <w:rPr>
          <w:rFonts w:eastAsia="Times New Roman"/>
          <w:color w:val="000000"/>
        </w:rPr>
        <w:t xml:space="preserve"> to address its problematic </w:t>
      </w:r>
      <w:r w:rsidR="007C457E" w:rsidRPr="00E22229">
        <w:rPr>
          <w:rFonts w:eastAsia="Times New Roman"/>
          <w:color w:val="000000"/>
        </w:rPr>
        <w:t>organization</w:t>
      </w:r>
      <w:r w:rsidRPr="00E22229">
        <w:rPr>
          <w:rFonts w:eastAsia="Times New Roman"/>
          <w:color w:val="000000"/>
        </w:rPr>
        <w:t xml:space="preserve"> and is considering various efforts to increase access to cash such as monetizing ALA real estate. This must be undertaken in conjunction with the recommended financial investments.   </w:t>
      </w:r>
    </w:p>
    <w:p w14:paraId="069502A3" w14:textId="77777777" w:rsidR="00E22229" w:rsidRDefault="00E67E33" w:rsidP="00E22229">
      <w:pPr>
        <w:pStyle w:val="ListParagraph"/>
        <w:numPr>
          <w:ilvl w:val="0"/>
          <w:numId w:val="1"/>
        </w:numPr>
        <w:ind w:right="720"/>
        <w:rPr>
          <w:rFonts w:eastAsia="Times New Roman"/>
          <w:color w:val="000000"/>
        </w:rPr>
      </w:pPr>
      <w:r w:rsidRPr="00E22229">
        <w:rPr>
          <w:rFonts w:eastAsia="Times New Roman"/>
          <w:color w:val="000000"/>
        </w:rPr>
        <w:t xml:space="preserve">Holding ALA to a balanced general fund budget without strategic investment </w:t>
      </w:r>
      <w:r w:rsidRPr="00E22229">
        <w:rPr>
          <w:rFonts w:eastAsia="Times New Roman"/>
          <w:b/>
          <w:bCs/>
          <w:color w:val="000000"/>
        </w:rPr>
        <w:t xml:space="preserve">will quicken of the rate of decline </w:t>
      </w:r>
      <w:r w:rsidRPr="00E22229">
        <w:rPr>
          <w:rFonts w:eastAsia="Times New Roman"/>
          <w:color w:val="000000"/>
        </w:rPr>
        <w:t xml:space="preserve">and further reduce ALA’s capacity to address member need to support the work of libraries.  </w:t>
      </w:r>
    </w:p>
    <w:p w14:paraId="1F81FC2E" w14:textId="77777777" w:rsidR="00E22229" w:rsidRPr="00E22229" w:rsidRDefault="00E67E33" w:rsidP="00E22229">
      <w:pPr>
        <w:pStyle w:val="ListParagraph"/>
        <w:numPr>
          <w:ilvl w:val="0"/>
          <w:numId w:val="1"/>
        </w:numPr>
        <w:ind w:right="720"/>
        <w:rPr>
          <w:rFonts w:eastAsia="Times New Roman"/>
          <w:color w:val="000000"/>
        </w:rPr>
      </w:pPr>
      <w:r w:rsidRPr="00E22229">
        <w:rPr>
          <w:rFonts w:eastAsia="Times New Roman"/>
        </w:rPr>
        <w:t xml:space="preserve">The </w:t>
      </w:r>
      <w:r w:rsidRPr="00E22229">
        <w:rPr>
          <w:rFonts w:eastAsia="Times New Roman"/>
          <w:b/>
        </w:rPr>
        <w:t xml:space="preserve">window to </w:t>
      </w:r>
      <w:proofErr w:type="gramStart"/>
      <w:r w:rsidRPr="00E22229">
        <w:rPr>
          <w:rFonts w:eastAsia="Times New Roman"/>
          <w:b/>
        </w:rPr>
        <w:t>take action</w:t>
      </w:r>
      <w:proofErr w:type="gramEnd"/>
      <w:r w:rsidRPr="00E22229">
        <w:rPr>
          <w:rFonts w:eastAsia="Times New Roman"/>
          <w:b/>
        </w:rPr>
        <w:t xml:space="preserve"> is open for only a short while</w:t>
      </w:r>
      <w:r w:rsidRPr="00E22229">
        <w:rPr>
          <w:rFonts w:eastAsia="Times New Roman"/>
        </w:rPr>
        <w:t xml:space="preserve">, while the balance sheet is strong and relative capacity exists.  </w:t>
      </w:r>
    </w:p>
    <w:p w14:paraId="394014D3" w14:textId="19319DDE" w:rsidR="00E67E33" w:rsidRPr="00E22229" w:rsidRDefault="00E67E33" w:rsidP="00E22229">
      <w:pPr>
        <w:pStyle w:val="ListParagraph"/>
        <w:numPr>
          <w:ilvl w:val="0"/>
          <w:numId w:val="1"/>
        </w:numPr>
        <w:ind w:right="720"/>
        <w:rPr>
          <w:rFonts w:eastAsia="Times New Roman"/>
          <w:color w:val="000000"/>
        </w:rPr>
      </w:pPr>
      <w:r w:rsidRPr="00E22229">
        <w:rPr>
          <w:rFonts w:eastAsia="Times New Roman"/>
        </w:rPr>
        <w:t xml:space="preserve">If we </w:t>
      </w:r>
      <w:r w:rsidRPr="00E22229">
        <w:rPr>
          <w:rFonts w:eastAsia="Times New Roman"/>
          <w:b/>
        </w:rPr>
        <w:t>continue to forego substantial, focused investment in ALA’s infrastructure and capacity</w:t>
      </w:r>
      <w:r w:rsidRPr="00E22229">
        <w:rPr>
          <w:rFonts w:eastAsia="Times New Roman"/>
        </w:rPr>
        <w:t xml:space="preserve"> and follow our historical strategy of cost reduction while traditional lines of revenue decline, it’s likely that we will continue to see operating deficits </w:t>
      </w:r>
      <w:proofErr w:type="gramStart"/>
      <w:r w:rsidRPr="00E22229">
        <w:rPr>
          <w:rFonts w:eastAsia="Times New Roman"/>
        </w:rPr>
        <w:t>similar to</w:t>
      </w:r>
      <w:proofErr w:type="gramEnd"/>
      <w:r w:rsidRPr="00E22229">
        <w:rPr>
          <w:rFonts w:eastAsia="Times New Roman"/>
        </w:rPr>
        <w:t xml:space="preserve"> those seen in FY16 and FY17 as traditional revenues continue their current trajectory.  While the Association’s Net Asset balance of $40M provides some cushion, lack of action in the next 1-3 years will only increase the infrastructure and business investment debt that started during the recession and require drastic cuts in mission related and member support capacity;</w:t>
      </w:r>
    </w:p>
    <w:p w14:paraId="6A6BB6B8" w14:textId="3AED3FCE" w:rsidR="00E67E33" w:rsidRPr="00E22229" w:rsidRDefault="00E67E33" w:rsidP="00E22229">
      <w:pPr>
        <w:pStyle w:val="ListParagraph"/>
        <w:numPr>
          <w:ilvl w:val="0"/>
          <w:numId w:val="1"/>
        </w:numPr>
        <w:rPr>
          <w:rFonts w:eastAsia="Times New Roman"/>
        </w:rPr>
      </w:pPr>
      <w:r w:rsidRPr="00E22229">
        <w:rPr>
          <w:rFonts w:eastAsia="Times New Roman"/>
          <w:b/>
        </w:rPr>
        <w:lastRenderedPageBreak/>
        <w:t>If the requested investment isn’t made in FY19,</w:t>
      </w:r>
      <w:r w:rsidRPr="00E22229">
        <w:rPr>
          <w:rFonts w:eastAsia="Times New Roman"/>
        </w:rPr>
        <w:t xml:space="preserve"> a one conference year when the General Fund has $500k less in overhead to support its activities, the traditional strategy to balance the G</w:t>
      </w:r>
      <w:r w:rsidR="007C457E" w:rsidRPr="00E22229">
        <w:rPr>
          <w:rFonts w:eastAsia="Times New Roman"/>
        </w:rPr>
        <w:t>F</w:t>
      </w:r>
      <w:r w:rsidRPr="00E22229">
        <w:rPr>
          <w:rFonts w:eastAsia="Times New Roman"/>
        </w:rPr>
        <w:t xml:space="preserve"> through expense cuts will require not only further deferment of sales and marketing, staff training, and new product development activities but also continued staff reductions, resulting in either the closure of mission related offices or continued reduction of the capacity of existing offices and support services.</w:t>
      </w:r>
    </w:p>
    <w:p w14:paraId="0D4AF328" w14:textId="695873DB" w:rsidR="00E67E33" w:rsidRDefault="006560CE" w:rsidP="00E22229">
      <w:pPr>
        <w:numPr>
          <w:ilvl w:val="0"/>
          <w:numId w:val="1"/>
        </w:numPr>
      </w:pPr>
      <w:r>
        <w:rPr>
          <w:rFonts w:eastAsia="Times New Roman"/>
        </w:rPr>
        <w:t xml:space="preserve">ALA needs to </w:t>
      </w:r>
      <w:r w:rsidR="00E67E33" w:rsidRPr="00E67E33">
        <w:rPr>
          <w:rFonts w:eastAsia="Times New Roman"/>
        </w:rPr>
        <w:t xml:space="preserve">track the success of the investments by </w:t>
      </w:r>
      <w:r w:rsidR="00E67E33" w:rsidRPr="00E67E33">
        <w:rPr>
          <w:rFonts w:eastAsia="Times New Roman"/>
          <w:b/>
        </w:rPr>
        <w:t>closely reviewing operating and financial measures related to those investments over time versus the baseline pre-investment</w:t>
      </w:r>
      <w:r w:rsidR="00E67E33" w:rsidRPr="00E67E33">
        <w:rPr>
          <w:rFonts w:eastAsia="Times New Roman"/>
        </w:rPr>
        <w:t xml:space="preserve">.  </w:t>
      </w:r>
      <w:r w:rsidR="007C457E">
        <w:rPr>
          <w:rFonts w:eastAsia="Times New Roman"/>
        </w:rPr>
        <w:t xml:space="preserve">ALA will </w:t>
      </w:r>
      <w:r w:rsidR="00E67E33">
        <w:t xml:space="preserve">monitor “return on investment” via identification of clear indicators, both operating (e.g. % of IT projects completed on time and budget resulting from the Project Manager) and financial (e.g. additional $ raised by new Prospecting manager for Development) that is reviewed by ALA management and the Board.  </w:t>
      </w:r>
    </w:p>
    <w:sectPr w:rsidR="00E67E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3056" w14:textId="77777777" w:rsidR="00DD2FAF" w:rsidRDefault="00DD2FAF" w:rsidP="00DD2FAF">
      <w:r>
        <w:separator/>
      </w:r>
    </w:p>
  </w:endnote>
  <w:endnote w:type="continuationSeparator" w:id="0">
    <w:p w14:paraId="54325953" w14:textId="77777777" w:rsidR="00DD2FAF" w:rsidRDefault="00DD2FAF" w:rsidP="00DD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435640"/>
      <w:docPartObj>
        <w:docPartGallery w:val="Page Numbers (Bottom of Page)"/>
        <w:docPartUnique/>
      </w:docPartObj>
    </w:sdtPr>
    <w:sdtEndPr>
      <w:rPr>
        <w:color w:val="7F7F7F" w:themeColor="background1" w:themeShade="7F"/>
        <w:spacing w:val="60"/>
      </w:rPr>
    </w:sdtEndPr>
    <w:sdtContent>
      <w:p w14:paraId="707F3CA1" w14:textId="00BE7DAD" w:rsidR="00B61D7C" w:rsidRDefault="00B61D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030A3E" w14:textId="77777777" w:rsidR="00DD2FAF" w:rsidRDefault="00DD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5565" w14:textId="77777777" w:rsidR="00DD2FAF" w:rsidRDefault="00DD2FAF" w:rsidP="00DD2FAF">
      <w:r>
        <w:separator/>
      </w:r>
    </w:p>
  </w:footnote>
  <w:footnote w:type="continuationSeparator" w:id="0">
    <w:p w14:paraId="269121F3" w14:textId="77777777" w:rsidR="00DD2FAF" w:rsidRDefault="00DD2FAF" w:rsidP="00DD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CC91" w14:textId="77777777" w:rsidR="006852B1" w:rsidRDefault="006852B1" w:rsidP="006852B1">
    <w:pPr>
      <w:pStyle w:val="Header"/>
      <w:jc w:val="right"/>
    </w:pPr>
    <w:r>
      <w:t>PLA Board of Directors</w:t>
    </w:r>
  </w:p>
  <w:p w14:paraId="175BA68D" w14:textId="77777777" w:rsidR="006852B1" w:rsidRDefault="006852B1" w:rsidP="006852B1">
    <w:pPr>
      <w:pStyle w:val="Header"/>
      <w:jc w:val="right"/>
    </w:pPr>
    <w:r>
      <w:t>Fall 2018 Meeting</w:t>
    </w:r>
  </w:p>
  <w:p w14:paraId="199FA476" w14:textId="39E30E01" w:rsidR="00BA659D" w:rsidRDefault="006852B1" w:rsidP="006852B1">
    <w:pPr>
      <w:pStyle w:val="Header"/>
      <w:jc w:val="right"/>
    </w:pPr>
    <w:r>
      <w:t>Document no.: 2019.</w:t>
    </w:r>
    <w:r w:rsidR="002B7152">
      <w:t>3</w:t>
    </w:r>
  </w:p>
  <w:p w14:paraId="64053703" w14:textId="77777777" w:rsidR="006852B1" w:rsidRDefault="006852B1" w:rsidP="006852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CA7"/>
    <w:multiLevelType w:val="hybridMultilevel"/>
    <w:tmpl w:val="7E981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5377"/>
    <w:multiLevelType w:val="multilevel"/>
    <w:tmpl w:val="9B602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77FA6"/>
    <w:multiLevelType w:val="hybridMultilevel"/>
    <w:tmpl w:val="5072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7DB3"/>
    <w:multiLevelType w:val="hybridMultilevel"/>
    <w:tmpl w:val="2E0E4576"/>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616052A"/>
    <w:multiLevelType w:val="hybridMultilevel"/>
    <w:tmpl w:val="7DA8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F64EE8"/>
    <w:multiLevelType w:val="hybridMultilevel"/>
    <w:tmpl w:val="C4D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A0747"/>
    <w:multiLevelType w:val="hybridMultilevel"/>
    <w:tmpl w:val="DDAA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30246"/>
    <w:multiLevelType w:val="multilevel"/>
    <w:tmpl w:val="2FAE6B14"/>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11AC8"/>
    <w:multiLevelType w:val="hybridMultilevel"/>
    <w:tmpl w:val="ECA65B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14231"/>
    <w:multiLevelType w:val="multilevel"/>
    <w:tmpl w:val="17985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4"/>
  </w:num>
  <w:num w:numId="5">
    <w:abstractNumId w:val="0"/>
  </w:num>
  <w:num w:numId="6">
    <w:abstractNumId w:val="3"/>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33"/>
    <w:rsid w:val="00000B72"/>
    <w:rsid w:val="0002440C"/>
    <w:rsid w:val="000353C9"/>
    <w:rsid w:val="00077B35"/>
    <w:rsid w:val="000A785E"/>
    <w:rsid w:val="000B0A9C"/>
    <w:rsid w:val="000D422D"/>
    <w:rsid w:val="001233DF"/>
    <w:rsid w:val="0014198F"/>
    <w:rsid w:val="001A19CC"/>
    <w:rsid w:val="0028155F"/>
    <w:rsid w:val="002A687B"/>
    <w:rsid w:val="002B7152"/>
    <w:rsid w:val="002E7D35"/>
    <w:rsid w:val="00337F29"/>
    <w:rsid w:val="00361A5F"/>
    <w:rsid w:val="003A0C8A"/>
    <w:rsid w:val="00450142"/>
    <w:rsid w:val="00471217"/>
    <w:rsid w:val="004B0A6B"/>
    <w:rsid w:val="00532289"/>
    <w:rsid w:val="005468FE"/>
    <w:rsid w:val="0056549B"/>
    <w:rsid w:val="005D3E19"/>
    <w:rsid w:val="006560CE"/>
    <w:rsid w:val="006852B1"/>
    <w:rsid w:val="006A75A4"/>
    <w:rsid w:val="00722D33"/>
    <w:rsid w:val="00744D03"/>
    <w:rsid w:val="007813B0"/>
    <w:rsid w:val="007904A3"/>
    <w:rsid w:val="007C457E"/>
    <w:rsid w:val="00802DD6"/>
    <w:rsid w:val="008928D0"/>
    <w:rsid w:val="008C2B32"/>
    <w:rsid w:val="00991BA1"/>
    <w:rsid w:val="009A1F4D"/>
    <w:rsid w:val="009B1ED8"/>
    <w:rsid w:val="009E2F20"/>
    <w:rsid w:val="009E6515"/>
    <w:rsid w:val="00A21200"/>
    <w:rsid w:val="00B24FA2"/>
    <w:rsid w:val="00B61D7C"/>
    <w:rsid w:val="00B9320D"/>
    <w:rsid w:val="00B95A68"/>
    <w:rsid w:val="00BA659D"/>
    <w:rsid w:val="00C8116F"/>
    <w:rsid w:val="00CA0FE0"/>
    <w:rsid w:val="00CB2D67"/>
    <w:rsid w:val="00CF7C52"/>
    <w:rsid w:val="00D05AD3"/>
    <w:rsid w:val="00D13F5F"/>
    <w:rsid w:val="00D70ADE"/>
    <w:rsid w:val="00DA1A7B"/>
    <w:rsid w:val="00DB64E0"/>
    <w:rsid w:val="00DC10FB"/>
    <w:rsid w:val="00DC5432"/>
    <w:rsid w:val="00DD2FAF"/>
    <w:rsid w:val="00E11315"/>
    <w:rsid w:val="00E22229"/>
    <w:rsid w:val="00E53005"/>
    <w:rsid w:val="00E67E33"/>
    <w:rsid w:val="00EA741B"/>
    <w:rsid w:val="00F62F7E"/>
    <w:rsid w:val="00F902F8"/>
    <w:rsid w:val="00FA6F31"/>
    <w:rsid w:val="00FB33B9"/>
    <w:rsid w:val="00FD7C18"/>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B9CC"/>
  <w15:chartTrackingRefBased/>
  <w15:docId w15:val="{86512F59-5DC4-4DEC-8092-46BBB47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E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A2"/>
    <w:rPr>
      <w:color w:val="0000FF" w:themeColor="hyperlink"/>
      <w:u w:val="single"/>
    </w:rPr>
  </w:style>
  <w:style w:type="character" w:customStyle="1" w:styleId="UnresolvedMention1">
    <w:name w:val="Unresolved Mention1"/>
    <w:basedOn w:val="DefaultParagraphFont"/>
    <w:uiPriority w:val="99"/>
    <w:semiHidden/>
    <w:unhideWhenUsed/>
    <w:rsid w:val="00B24FA2"/>
    <w:rPr>
      <w:color w:val="808080"/>
      <w:shd w:val="clear" w:color="auto" w:fill="E6E6E6"/>
    </w:rPr>
  </w:style>
  <w:style w:type="paragraph" w:styleId="ListParagraph">
    <w:name w:val="List Paragraph"/>
    <w:basedOn w:val="Normal"/>
    <w:uiPriority w:val="99"/>
    <w:qFormat/>
    <w:rsid w:val="0014198F"/>
    <w:pPr>
      <w:spacing w:after="200" w:line="276"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E53005"/>
    <w:rPr>
      <w:color w:val="800080" w:themeColor="followedHyperlink"/>
      <w:u w:val="single"/>
    </w:rPr>
  </w:style>
  <w:style w:type="character" w:styleId="CommentReference">
    <w:name w:val="annotation reference"/>
    <w:basedOn w:val="DefaultParagraphFont"/>
    <w:uiPriority w:val="99"/>
    <w:semiHidden/>
    <w:unhideWhenUsed/>
    <w:rsid w:val="009A1F4D"/>
    <w:rPr>
      <w:sz w:val="16"/>
      <w:szCs w:val="16"/>
    </w:rPr>
  </w:style>
  <w:style w:type="paragraph" w:styleId="CommentText">
    <w:name w:val="annotation text"/>
    <w:basedOn w:val="Normal"/>
    <w:link w:val="CommentTextChar"/>
    <w:uiPriority w:val="99"/>
    <w:semiHidden/>
    <w:unhideWhenUsed/>
    <w:rsid w:val="009A1F4D"/>
    <w:rPr>
      <w:sz w:val="20"/>
      <w:szCs w:val="20"/>
    </w:rPr>
  </w:style>
  <w:style w:type="character" w:customStyle="1" w:styleId="CommentTextChar">
    <w:name w:val="Comment Text Char"/>
    <w:basedOn w:val="DefaultParagraphFont"/>
    <w:link w:val="CommentText"/>
    <w:uiPriority w:val="99"/>
    <w:semiHidden/>
    <w:rsid w:val="009A1F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1F4D"/>
    <w:rPr>
      <w:b/>
      <w:bCs/>
    </w:rPr>
  </w:style>
  <w:style w:type="character" w:customStyle="1" w:styleId="CommentSubjectChar">
    <w:name w:val="Comment Subject Char"/>
    <w:basedOn w:val="CommentTextChar"/>
    <w:link w:val="CommentSubject"/>
    <w:uiPriority w:val="99"/>
    <w:semiHidden/>
    <w:rsid w:val="009A1F4D"/>
    <w:rPr>
      <w:rFonts w:ascii="Calibri" w:hAnsi="Calibri" w:cs="Calibri"/>
      <w:b/>
      <w:bCs/>
      <w:sz w:val="20"/>
      <w:szCs w:val="20"/>
    </w:rPr>
  </w:style>
  <w:style w:type="paragraph" w:styleId="BalloonText">
    <w:name w:val="Balloon Text"/>
    <w:basedOn w:val="Normal"/>
    <w:link w:val="BalloonTextChar"/>
    <w:uiPriority w:val="99"/>
    <w:semiHidden/>
    <w:unhideWhenUsed/>
    <w:rsid w:val="009A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4D"/>
    <w:rPr>
      <w:rFonts w:ascii="Segoe UI" w:hAnsi="Segoe UI" w:cs="Segoe UI"/>
      <w:sz w:val="18"/>
      <w:szCs w:val="18"/>
    </w:rPr>
  </w:style>
  <w:style w:type="character" w:styleId="UnresolvedMention">
    <w:name w:val="Unresolved Mention"/>
    <w:basedOn w:val="DefaultParagraphFont"/>
    <w:uiPriority w:val="99"/>
    <w:semiHidden/>
    <w:unhideWhenUsed/>
    <w:rsid w:val="00802DD6"/>
    <w:rPr>
      <w:color w:val="808080"/>
      <w:shd w:val="clear" w:color="auto" w:fill="E6E6E6"/>
    </w:rPr>
  </w:style>
  <w:style w:type="paragraph" w:styleId="Header">
    <w:name w:val="header"/>
    <w:basedOn w:val="Normal"/>
    <w:link w:val="HeaderChar"/>
    <w:uiPriority w:val="99"/>
    <w:unhideWhenUsed/>
    <w:rsid w:val="00DD2FAF"/>
    <w:pPr>
      <w:tabs>
        <w:tab w:val="center" w:pos="4680"/>
        <w:tab w:val="right" w:pos="9360"/>
      </w:tabs>
    </w:pPr>
  </w:style>
  <w:style w:type="character" w:customStyle="1" w:styleId="HeaderChar">
    <w:name w:val="Header Char"/>
    <w:basedOn w:val="DefaultParagraphFont"/>
    <w:link w:val="Header"/>
    <w:uiPriority w:val="99"/>
    <w:rsid w:val="00DD2FAF"/>
    <w:rPr>
      <w:rFonts w:ascii="Calibri" w:hAnsi="Calibri" w:cs="Calibri"/>
    </w:rPr>
  </w:style>
  <w:style w:type="paragraph" w:styleId="Footer">
    <w:name w:val="footer"/>
    <w:basedOn w:val="Normal"/>
    <w:link w:val="FooterChar"/>
    <w:uiPriority w:val="99"/>
    <w:unhideWhenUsed/>
    <w:rsid w:val="00DD2FAF"/>
    <w:pPr>
      <w:tabs>
        <w:tab w:val="center" w:pos="4680"/>
        <w:tab w:val="right" w:pos="9360"/>
      </w:tabs>
    </w:pPr>
  </w:style>
  <w:style w:type="character" w:customStyle="1" w:styleId="FooterChar">
    <w:name w:val="Footer Char"/>
    <w:basedOn w:val="DefaultParagraphFont"/>
    <w:link w:val="Footer"/>
    <w:uiPriority w:val="99"/>
    <w:rsid w:val="00DD2FAF"/>
    <w:rPr>
      <w:rFonts w:ascii="Calibri" w:hAnsi="Calibri" w:cs="Calibri"/>
    </w:rPr>
  </w:style>
  <w:style w:type="paragraph" w:styleId="NoSpacing">
    <w:name w:val="No Spacing"/>
    <w:uiPriority w:val="1"/>
    <w:qFormat/>
    <w:rsid w:val="00D13F5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520">
      <w:bodyDiv w:val="1"/>
      <w:marLeft w:val="0"/>
      <w:marRight w:val="0"/>
      <w:marTop w:val="0"/>
      <w:marBottom w:val="0"/>
      <w:divBdr>
        <w:top w:val="none" w:sz="0" w:space="0" w:color="auto"/>
        <w:left w:val="none" w:sz="0" w:space="0" w:color="auto"/>
        <w:bottom w:val="none" w:sz="0" w:space="0" w:color="auto"/>
        <w:right w:val="none" w:sz="0" w:space="0" w:color="auto"/>
      </w:divBdr>
    </w:div>
    <w:div w:id="744452436">
      <w:bodyDiv w:val="1"/>
      <w:marLeft w:val="0"/>
      <w:marRight w:val="0"/>
      <w:marTop w:val="0"/>
      <w:marBottom w:val="0"/>
      <w:divBdr>
        <w:top w:val="none" w:sz="0" w:space="0" w:color="auto"/>
        <w:left w:val="none" w:sz="0" w:space="0" w:color="auto"/>
        <w:bottom w:val="none" w:sz="0" w:space="0" w:color="auto"/>
        <w:right w:val="none" w:sz="0" w:space="0" w:color="auto"/>
      </w:divBdr>
      <w:divsChild>
        <w:div w:id="1383096449">
          <w:marLeft w:val="0"/>
          <w:marRight w:val="0"/>
          <w:marTop w:val="0"/>
          <w:marBottom w:val="0"/>
          <w:divBdr>
            <w:top w:val="none" w:sz="0" w:space="0" w:color="auto"/>
            <w:left w:val="none" w:sz="0" w:space="0" w:color="auto"/>
            <w:bottom w:val="none" w:sz="0" w:space="0" w:color="auto"/>
            <w:right w:val="none" w:sz="0" w:space="0" w:color="auto"/>
          </w:divBdr>
        </w:div>
        <w:div w:id="1307274910">
          <w:marLeft w:val="0"/>
          <w:marRight w:val="0"/>
          <w:marTop w:val="0"/>
          <w:marBottom w:val="0"/>
          <w:divBdr>
            <w:top w:val="none" w:sz="0" w:space="0" w:color="auto"/>
            <w:left w:val="none" w:sz="0" w:space="0" w:color="auto"/>
            <w:bottom w:val="none" w:sz="0" w:space="0" w:color="auto"/>
            <w:right w:val="none" w:sz="0" w:space="0" w:color="auto"/>
          </w:divBdr>
        </w:div>
        <w:div w:id="975641546">
          <w:marLeft w:val="0"/>
          <w:marRight w:val="0"/>
          <w:marTop w:val="0"/>
          <w:marBottom w:val="0"/>
          <w:divBdr>
            <w:top w:val="none" w:sz="0" w:space="0" w:color="auto"/>
            <w:left w:val="none" w:sz="0" w:space="0" w:color="auto"/>
            <w:bottom w:val="none" w:sz="0" w:space="0" w:color="auto"/>
            <w:right w:val="none" w:sz="0" w:space="0" w:color="auto"/>
          </w:divBdr>
        </w:div>
        <w:div w:id="678580349">
          <w:marLeft w:val="0"/>
          <w:marRight w:val="0"/>
          <w:marTop w:val="0"/>
          <w:marBottom w:val="0"/>
          <w:divBdr>
            <w:top w:val="none" w:sz="0" w:space="0" w:color="auto"/>
            <w:left w:val="none" w:sz="0" w:space="0" w:color="auto"/>
            <w:bottom w:val="none" w:sz="0" w:space="0" w:color="auto"/>
            <w:right w:val="none" w:sz="0" w:space="0" w:color="auto"/>
          </w:divBdr>
        </w:div>
        <w:div w:id="2016684984">
          <w:marLeft w:val="0"/>
          <w:marRight w:val="0"/>
          <w:marTop w:val="0"/>
          <w:marBottom w:val="0"/>
          <w:divBdr>
            <w:top w:val="none" w:sz="0" w:space="0" w:color="auto"/>
            <w:left w:val="none" w:sz="0" w:space="0" w:color="auto"/>
            <w:bottom w:val="none" w:sz="0" w:space="0" w:color="auto"/>
            <w:right w:val="none" w:sz="0" w:space="0" w:color="auto"/>
          </w:divBdr>
        </w:div>
        <w:div w:id="1262757740">
          <w:marLeft w:val="0"/>
          <w:marRight w:val="0"/>
          <w:marTop w:val="0"/>
          <w:marBottom w:val="0"/>
          <w:divBdr>
            <w:top w:val="none" w:sz="0" w:space="0" w:color="auto"/>
            <w:left w:val="none" w:sz="0" w:space="0" w:color="auto"/>
            <w:bottom w:val="none" w:sz="0" w:space="0" w:color="auto"/>
            <w:right w:val="none" w:sz="0" w:space="0" w:color="auto"/>
          </w:divBdr>
        </w:div>
        <w:div w:id="1686518248">
          <w:marLeft w:val="0"/>
          <w:marRight w:val="0"/>
          <w:marTop w:val="0"/>
          <w:marBottom w:val="0"/>
          <w:divBdr>
            <w:top w:val="none" w:sz="0" w:space="0" w:color="auto"/>
            <w:left w:val="none" w:sz="0" w:space="0" w:color="auto"/>
            <w:bottom w:val="none" w:sz="0" w:space="0" w:color="auto"/>
            <w:right w:val="none" w:sz="0" w:space="0" w:color="auto"/>
          </w:divBdr>
        </w:div>
        <w:div w:id="129633866">
          <w:marLeft w:val="0"/>
          <w:marRight w:val="0"/>
          <w:marTop w:val="0"/>
          <w:marBottom w:val="0"/>
          <w:divBdr>
            <w:top w:val="none" w:sz="0" w:space="0" w:color="auto"/>
            <w:left w:val="none" w:sz="0" w:space="0" w:color="auto"/>
            <w:bottom w:val="none" w:sz="0" w:space="0" w:color="auto"/>
            <w:right w:val="none" w:sz="0" w:space="0" w:color="auto"/>
          </w:divBdr>
        </w:div>
        <w:div w:id="1213080283">
          <w:marLeft w:val="0"/>
          <w:marRight w:val="0"/>
          <w:marTop w:val="0"/>
          <w:marBottom w:val="0"/>
          <w:divBdr>
            <w:top w:val="none" w:sz="0" w:space="0" w:color="auto"/>
            <w:left w:val="none" w:sz="0" w:space="0" w:color="auto"/>
            <w:bottom w:val="none" w:sz="0" w:space="0" w:color="auto"/>
            <w:right w:val="none" w:sz="0" w:space="0" w:color="auto"/>
          </w:divBdr>
        </w:div>
        <w:div w:id="1350375000">
          <w:marLeft w:val="0"/>
          <w:marRight w:val="0"/>
          <w:marTop w:val="0"/>
          <w:marBottom w:val="0"/>
          <w:divBdr>
            <w:top w:val="none" w:sz="0" w:space="0" w:color="auto"/>
            <w:left w:val="none" w:sz="0" w:space="0" w:color="auto"/>
            <w:bottom w:val="none" w:sz="0" w:space="0" w:color="auto"/>
            <w:right w:val="none" w:sz="0" w:space="0" w:color="auto"/>
          </w:divBdr>
        </w:div>
        <w:div w:id="1171288022">
          <w:marLeft w:val="0"/>
          <w:marRight w:val="0"/>
          <w:marTop w:val="0"/>
          <w:marBottom w:val="0"/>
          <w:divBdr>
            <w:top w:val="none" w:sz="0" w:space="0" w:color="auto"/>
            <w:left w:val="none" w:sz="0" w:space="0" w:color="auto"/>
            <w:bottom w:val="none" w:sz="0" w:space="0" w:color="auto"/>
            <w:right w:val="none" w:sz="0" w:space="0" w:color="auto"/>
          </w:divBdr>
        </w:div>
        <w:div w:id="521095917">
          <w:marLeft w:val="0"/>
          <w:marRight w:val="0"/>
          <w:marTop w:val="0"/>
          <w:marBottom w:val="0"/>
          <w:divBdr>
            <w:top w:val="none" w:sz="0" w:space="0" w:color="auto"/>
            <w:left w:val="none" w:sz="0" w:space="0" w:color="auto"/>
            <w:bottom w:val="none" w:sz="0" w:space="0" w:color="auto"/>
            <w:right w:val="none" w:sz="0" w:space="0" w:color="auto"/>
          </w:divBdr>
        </w:div>
        <w:div w:id="1975519530">
          <w:marLeft w:val="0"/>
          <w:marRight w:val="0"/>
          <w:marTop w:val="0"/>
          <w:marBottom w:val="0"/>
          <w:divBdr>
            <w:top w:val="none" w:sz="0" w:space="0" w:color="auto"/>
            <w:left w:val="none" w:sz="0" w:space="0" w:color="auto"/>
            <w:bottom w:val="none" w:sz="0" w:space="0" w:color="auto"/>
            <w:right w:val="none" w:sz="0" w:space="0" w:color="auto"/>
          </w:divBdr>
        </w:div>
        <w:div w:id="354119295">
          <w:marLeft w:val="0"/>
          <w:marRight w:val="0"/>
          <w:marTop w:val="0"/>
          <w:marBottom w:val="0"/>
          <w:divBdr>
            <w:top w:val="none" w:sz="0" w:space="0" w:color="auto"/>
            <w:left w:val="none" w:sz="0" w:space="0" w:color="auto"/>
            <w:bottom w:val="none" w:sz="0" w:space="0" w:color="auto"/>
            <w:right w:val="none" w:sz="0" w:space="0" w:color="auto"/>
          </w:divBdr>
        </w:div>
        <w:div w:id="539633428">
          <w:marLeft w:val="0"/>
          <w:marRight w:val="0"/>
          <w:marTop w:val="0"/>
          <w:marBottom w:val="0"/>
          <w:divBdr>
            <w:top w:val="none" w:sz="0" w:space="0" w:color="auto"/>
            <w:left w:val="none" w:sz="0" w:space="0" w:color="auto"/>
            <w:bottom w:val="none" w:sz="0" w:space="0" w:color="auto"/>
            <w:right w:val="none" w:sz="0" w:space="0" w:color="auto"/>
          </w:divBdr>
        </w:div>
        <w:div w:id="1170101205">
          <w:marLeft w:val="0"/>
          <w:marRight w:val="0"/>
          <w:marTop w:val="0"/>
          <w:marBottom w:val="0"/>
          <w:divBdr>
            <w:top w:val="none" w:sz="0" w:space="0" w:color="auto"/>
            <w:left w:val="none" w:sz="0" w:space="0" w:color="auto"/>
            <w:bottom w:val="none" w:sz="0" w:space="0" w:color="auto"/>
            <w:right w:val="none" w:sz="0" w:space="0" w:color="auto"/>
          </w:divBdr>
        </w:div>
        <w:div w:id="762577956">
          <w:marLeft w:val="0"/>
          <w:marRight w:val="0"/>
          <w:marTop w:val="0"/>
          <w:marBottom w:val="0"/>
          <w:divBdr>
            <w:top w:val="none" w:sz="0" w:space="0" w:color="auto"/>
            <w:left w:val="none" w:sz="0" w:space="0" w:color="auto"/>
            <w:bottom w:val="none" w:sz="0" w:space="0" w:color="auto"/>
            <w:right w:val="none" w:sz="0" w:space="0" w:color="auto"/>
          </w:divBdr>
        </w:div>
        <w:div w:id="1668091212">
          <w:marLeft w:val="0"/>
          <w:marRight w:val="0"/>
          <w:marTop w:val="0"/>
          <w:marBottom w:val="0"/>
          <w:divBdr>
            <w:top w:val="none" w:sz="0" w:space="0" w:color="auto"/>
            <w:left w:val="none" w:sz="0" w:space="0" w:color="auto"/>
            <w:bottom w:val="none" w:sz="0" w:space="0" w:color="auto"/>
            <w:right w:val="none" w:sz="0" w:space="0" w:color="auto"/>
          </w:divBdr>
        </w:div>
        <w:div w:id="547688953">
          <w:marLeft w:val="0"/>
          <w:marRight w:val="0"/>
          <w:marTop w:val="0"/>
          <w:marBottom w:val="0"/>
          <w:divBdr>
            <w:top w:val="none" w:sz="0" w:space="0" w:color="auto"/>
            <w:left w:val="none" w:sz="0" w:space="0" w:color="auto"/>
            <w:bottom w:val="none" w:sz="0" w:space="0" w:color="auto"/>
            <w:right w:val="none" w:sz="0" w:space="0" w:color="auto"/>
          </w:divBdr>
        </w:div>
        <w:div w:id="249242795">
          <w:marLeft w:val="0"/>
          <w:marRight w:val="0"/>
          <w:marTop w:val="0"/>
          <w:marBottom w:val="0"/>
          <w:divBdr>
            <w:top w:val="none" w:sz="0" w:space="0" w:color="auto"/>
            <w:left w:val="none" w:sz="0" w:space="0" w:color="auto"/>
            <w:bottom w:val="none" w:sz="0" w:space="0" w:color="auto"/>
            <w:right w:val="none" w:sz="0" w:space="0" w:color="auto"/>
          </w:divBdr>
        </w:div>
        <w:div w:id="1096558855">
          <w:marLeft w:val="0"/>
          <w:marRight w:val="0"/>
          <w:marTop w:val="0"/>
          <w:marBottom w:val="0"/>
          <w:divBdr>
            <w:top w:val="none" w:sz="0" w:space="0" w:color="auto"/>
            <w:left w:val="none" w:sz="0" w:space="0" w:color="auto"/>
            <w:bottom w:val="none" w:sz="0" w:space="0" w:color="auto"/>
            <w:right w:val="none" w:sz="0" w:space="0" w:color="auto"/>
          </w:divBdr>
        </w:div>
        <w:div w:id="1926038601">
          <w:marLeft w:val="0"/>
          <w:marRight w:val="0"/>
          <w:marTop w:val="0"/>
          <w:marBottom w:val="0"/>
          <w:divBdr>
            <w:top w:val="none" w:sz="0" w:space="0" w:color="auto"/>
            <w:left w:val="none" w:sz="0" w:space="0" w:color="auto"/>
            <w:bottom w:val="none" w:sz="0" w:space="0" w:color="auto"/>
            <w:right w:val="none" w:sz="0" w:space="0" w:color="auto"/>
          </w:divBdr>
        </w:div>
        <w:div w:id="1690570261">
          <w:marLeft w:val="0"/>
          <w:marRight w:val="0"/>
          <w:marTop w:val="0"/>
          <w:marBottom w:val="0"/>
          <w:divBdr>
            <w:top w:val="none" w:sz="0" w:space="0" w:color="auto"/>
            <w:left w:val="none" w:sz="0" w:space="0" w:color="auto"/>
            <w:bottom w:val="none" w:sz="0" w:space="0" w:color="auto"/>
            <w:right w:val="none" w:sz="0" w:space="0" w:color="auto"/>
          </w:divBdr>
        </w:div>
        <w:div w:id="985158246">
          <w:marLeft w:val="0"/>
          <w:marRight w:val="0"/>
          <w:marTop w:val="0"/>
          <w:marBottom w:val="0"/>
          <w:divBdr>
            <w:top w:val="none" w:sz="0" w:space="0" w:color="auto"/>
            <w:left w:val="none" w:sz="0" w:space="0" w:color="auto"/>
            <w:bottom w:val="none" w:sz="0" w:space="0" w:color="auto"/>
            <w:right w:val="none" w:sz="0" w:space="0" w:color="auto"/>
          </w:divBdr>
        </w:div>
      </w:divsChild>
    </w:div>
    <w:div w:id="959142659">
      <w:bodyDiv w:val="1"/>
      <w:marLeft w:val="0"/>
      <w:marRight w:val="0"/>
      <w:marTop w:val="0"/>
      <w:marBottom w:val="0"/>
      <w:divBdr>
        <w:top w:val="none" w:sz="0" w:space="0" w:color="auto"/>
        <w:left w:val="none" w:sz="0" w:space="0" w:color="auto"/>
        <w:bottom w:val="none" w:sz="0" w:space="0" w:color="auto"/>
        <w:right w:val="none" w:sz="0" w:space="0" w:color="auto"/>
      </w:divBdr>
    </w:div>
    <w:div w:id="1281497483">
      <w:bodyDiv w:val="1"/>
      <w:marLeft w:val="0"/>
      <w:marRight w:val="0"/>
      <w:marTop w:val="0"/>
      <w:marBottom w:val="0"/>
      <w:divBdr>
        <w:top w:val="none" w:sz="0" w:space="0" w:color="auto"/>
        <w:left w:val="none" w:sz="0" w:space="0" w:color="auto"/>
        <w:bottom w:val="none" w:sz="0" w:space="0" w:color="auto"/>
        <w:right w:val="none" w:sz="0" w:space="0" w:color="auto"/>
      </w:divBdr>
    </w:div>
    <w:div w:id="21121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ebd-inventory-2017-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boutala/ebd-inventory-2017-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ts.ala.org/news/wp-content/uploads/2018/02/2018-ALA-Technology-Invest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5</cp:revision>
  <dcterms:created xsi:type="dcterms:W3CDTF">2018-10-11T14:11:00Z</dcterms:created>
  <dcterms:modified xsi:type="dcterms:W3CDTF">2018-10-25T18:00:00Z</dcterms:modified>
</cp:coreProperties>
</file>