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12C0D8" w14:textId="3857FFBD" w:rsidR="00D7709D" w:rsidRPr="008E08EC" w:rsidRDefault="00D7709D" w:rsidP="00D7709D">
      <w:pPr>
        <w:rPr>
          <w:b/>
          <w:bCs/>
        </w:rPr>
      </w:pPr>
      <w:bookmarkStart w:id="0" w:name="_GoBack"/>
      <w:bookmarkEnd w:id="0"/>
      <w:r w:rsidRPr="008E08EC">
        <w:rPr>
          <w:b/>
          <w:bCs/>
        </w:rPr>
        <w:t>Report to SAC from Barbara Bushman</w:t>
      </w:r>
      <w:r w:rsidR="00C33BAC" w:rsidRPr="008E08EC">
        <w:rPr>
          <w:b/>
          <w:bCs/>
        </w:rPr>
        <w:t>,</w:t>
      </w:r>
      <w:r w:rsidRPr="008E08EC">
        <w:rPr>
          <w:b/>
          <w:bCs/>
        </w:rPr>
        <w:t xml:space="preserve"> NLM Liaison</w:t>
      </w:r>
    </w:p>
    <w:p w14:paraId="532F4A22" w14:textId="650A5157" w:rsidR="00D7709D" w:rsidRDefault="001D265D" w:rsidP="00D7709D">
      <w:r>
        <w:t>J</w:t>
      </w:r>
      <w:r w:rsidR="00631509">
        <w:t>une</w:t>
      </w:r>
      <w:r>
        <w:t xml:space="preserve"> </w:t>
      </w:r>
      <w:r w:rsidR="00D7709D">
        <w:t>202</w:t>
      </w:r>
      <w:r w:rsidR="005D625D">
        <w:t>2</w:t>
      </w:r>
    </w:p>
    <w:p w14:paraId="6175A4FC" w14:textId="77777777" w:rsidR="00B718C4" w:rsidRDefault="00B718C4" w:rsidP="00B718C4">
      <w:pPr>
        <w:pStyle w:val="Heading2"/>
      </w:pPr>
      <w:r w:rsidRPr="00A32740">
        <w:t>COVID-19</w:t>
      </w:r>
    </w:p>
    <w:p w14:paraId="794746AA" w14:textId="274D8CF3" w:rsidR="00B718C4" w:rsidRDefault="004D11AE" w:rsidP="00B718C4">
      <w:r>
        <w:t>Some</w:t>
      </w:r>
      <w:r w:rsidR="00631509">
        <w:t xml:space="preserve"> NLM staff</w:t>
      </w:r>
      <w:r w:rsidR="00F31B2D">
        <w:t xml:space="preserve"> </w:t>
      </w:r>
      <w:r w:rsidR="00BC793F">
        <w:t>have returned on site</w:t>
      </w:r>
      <w:r>
        <w:t>,</w:t>
      </w:r>
      <w:r w:rsidR="00BC793F">
        <w:t xml:space="preserve"> </w:t>
      </w:r>
      <w:r>
        <w:t>including those performing</w:t>
      </w:r>
      <w:r w:rsidR="00257CEC">
        <w:t xml:space="preserve"> </w:t>
      </w:r>
      <w:r w:rsidR="00BC793F">
        <w:t>functions</w:t>
      </w:r>
      <w:r w:rsidR="00257CEC">
        <w:t xml:space="preserve"> </w:t>
      </w:r>
      <w:r w:rsidR="008E08EC">
        <w:t>related to collection management</w:t>
      </w:r>
      <w:r w:rsidR="00BC793F">
        <w:t>.</w:t>
      </w:r>
      <w:r w:rsidR="002D292E">
        <w:t xml:space="preserve">  </w:t>
      </w:r>
      <w:r w:rsidR="00257CEC">
        <w:t xml:space="preserve">However, due to building renovations, </w:t>
      </w:r>
      <w:r w:rsidR="003E508A">
        <w:t xml:space="preserve">many staff are still on maximum telework. </w:t>
      </w:r>
      <w:r w:rsidR="002D292E">
        <w:t xml:space="preserve">NLM </w:t>
      </w:r>
      <w:r w:rsidR="00F31B2D">
        <w:t>remains closed</w:t>
      </w:r>
      <w:r w:rsidR="002D292E">
        <w:t xml:space="preserve"> to public visits</w:t>
      </w:r>
      <w:r>
        <w:t xml:space="preserve"> at this time.</w:t>
      </w:r>
    </w:p>
    <w:p w14:paraId="6525146D" w14:textId="1B489101" w:rsidR="006C141F" w:rsidRDefault="006C141F" w:rsidP="006C141F">
      <w:pPr>
        <w:pStyle w:val="Heading2"/>
      </w:pPr>
      <w:r>
        <w:t>Personnel</w:t>
      </w:r>
    </w:p>
    <w:p w14:paraId="49EF8F4E" w14:textId="5878939D" w:rsidR="006C141F" w:rsidRPr="006C141F" w:rsidRDefault="006C141F" w:rsidP="00347A1C">
      <w:r>
        <w:t>Tina Shrader was appointed</w:t>
      </w:r>
      <w:r w:rsidR="00885C65">
        <w:t xml:space="preserve"> </w:t>
      </w:r>
      <w:r>
        <w:t>Head</w:t>
      </w:r>
      <w:r w:rsidR="00DF4B9C">
        <w:t xml:space="preserve"> of the </w:t>
      </w:r>
      <w:r>
        <w:t>Cataloging &amp; Metadata Management Section</w:t>
      </w:r>
      <w:r w:rsidR="009C621B">
        <w:t xml:space="preserve"> and began her new role on April 10, 2022</w:t>
      </w:r>
      <w:r w:rsidR="00EF0957">
        <w:t>.  Tina had been serving as a Unit Head in the section since 2013</w:t>
      </w:r>
      <w:r w:rsidR="00347A1C">
        <w:t>.</w:t>
      </w:r>
    </w:p>
    <w:p w14:paraId="58496EC5" w14:textId="77777777" w:rsidR="003F529F" w:rsidRDefault="003F529F" w:rsidP="003F529F">
      <w:pPr>
        <w:pStyle w:val="Heading2"/>
      </w:pPr>
      <w:r>
        <w:t>MeSH Update</w:t>
      </w:r>
    </w:p>
    <w:p w14:paraId="62754CC6" w14:textId="7F932067" w:rsidR="00150F1D" w:rsidRDefault="003F529F" w:rsidP="00150F1D">
      <w:pPr>
        <w:shd w:val="clear" w:color="auto" w:fill="FFFFFF"/>
        <w:spacing w:after="0" w:line="240" w:lineRule="auto"/>
        <w:rPr>
          <w:rFonts w:ascii="Verdana" w:hAnsi="Verdana"/>
          <w:color w:val="000000"/>
          <w:sz w:val="18"/>
          <w:szCs w:val="18"/>
        </w:rPr>
      </w:pPr>
      <w:r>
        <w:rPr>
          <w:rFonts w:ascii="Verdana" w:hAnsi="Verdana"/>
          <w:color w:val="000000"/>
          <w:sz w:val="18"/>
          <w:szCs w:val="18"/>
        </w:rPr>
        <w:t xml:space="preserve">No </w:t>
      </w:r>
      <w:r w:rsidR="003F5B39">
        <w:rPr>
          <w:rFonts w:ascii="Verdana" w:hAnsi="Verdana"/>
          <w:color w:val="000000"/>
          <w:sz w:val="18"/>
          <w:szCs w:val="18"/>
        </w:rPr>
        <w:t>Update</w:t>
      </w:r>
    </w:p>
    <w:p w14:paraId="02B22994" w14:textId="77777777" w:rsidR="003F529F" w:rsidRPr="00FD05FF" w:rsidRDefault="003F529F" w:rsidP="00150F1D">
      <w:pPr>
        <w:shd w:val="clear" w:color="auto" w:fill="FFFFFF"/>
        <w:spacing w:after="0" w:line="240" w:lineRule="auto"/>
        <w:rPr>
          <w:rFonts w:ascii="Verdana" w:hAnsi="Verdana"/>
          <w:color w:val="000000"/>
          <w:sz w:val="18"/>
          <w:szCs w:val="18"/>
        </w:rPr>
      </w:pPr>
    </w:p>
    <w:p w14:paraId="4E5E4A05" w14:textId="6352F144" w:rsidR="00F07EF5" w:rsidRDefault="00F61FC8" w:rsidP="00BD77AA">
      <w:pPr>
        <w:pStyle w:val="Heading2"/>
      </w:pPr>
      <w:r>
        <w:t>NLM Classification</w:t>
      </w:r>
      <w:r w:rsidR="00765C62">
        <w:t xml:space="preserve"> Update</w:t>
      </w:r>
    </w:p>
    <w:p w14:paraId="3622EDFB" w14:textId="2487C654" w:rsidR="00FA36CC" w:rsidRPr="00F1625F" w:rsidRDefault="00B04C37" w:rsidP="00F1625F">
      <w:pPr>
        <w:pStyle w:val="Heading3"/>
      </w:pPr>
      <w:r>
        <w:t>Scope of Revision of the 202</w:t>
      </w:r>
      <w:r w:rsidR="00C17061">
        <w:t>2</w:t>
      </w:r>
      <w:r>
        <w:t xml:space="preserve"> </w:t>
      </w:r>
      <w:r w:rsidR="00C17061">
        <w:t xml:space="preserve">Winter </w:t>
      </w:r>
      <w:r>
        <w:t>Edition</w:t>
      </w:r>
    </w:p>
    <w:p w14:paraId="2B410840" w14:textId="14B422D2" w:rsidR="00FA36CC" w:rsidRPr="00FA36CC" w:rsidRDefault="00F1625F" w:rsidP="00FA36CC">
      <w:pPr>
        <w:pStyle w:val="Heading2"/>
        <w:rPr>
          <w:sz w:val="22"/>
          <w:szCs w:val="22"/>
        </w:rPr>
      </w:pPr>
      <w:r>
        <w:rPr>
          <w:sz w:val="22"/>
          <w:szCs w:val="22"/>
        </w:rPr>
        <w:t xml:space="preserve">Scope of the </w:t>
      </w:r>
      <w:r w:rsidR="00892671">
        <w:rPr>
          <w:sz w:val="22"/>
          <w:szCs w:val="22"/>
        </w:rPr>
        <w:t>2022 Winter Edition</w:t>
      </w:r>
    </w:p>
    <w:p w14:paraId="0F4C0EC5" w14:textId="4649973F" w:rsidR="003C7B4B" w:rsidRDefault="00892671">
      <w:pPr>
        <w:rPr>
          <w:rFonts w:eastAsia="Times New Roman" w:cstheme="minorHAnsi"/>
          <w:color w:val="000000"/>
        </w:rPr>
      </w:pPr>
      <w:r>
        <w:rPr>
          <w:rFonts w:ascii="Verdana" w:hAnsi="Verdana"/>
          <w:color w:val="000000"/>
          <w:sz w:val="18"/>
          <w:szCs w:val="18"/>
          <w:shd w:val="clear" w:color="auto" w:fill="FFFFFF"/>
        </w:rPr>
        <w:t>The major focus of the 2022 winter edition of the </w:t>
      </w:r>
      <w:hyperlink r:id="rId8" w:history="1">
        <w:r>
          <w:rPr>
            <w:rStyle w:val="Hyperlink"/>
            <w:rFonts w:ascii="Verdana" w:hAnsi="Verdana"/>
            <w:i/>
            <w:iCs/>
            <w:color w:val="000000"/>
            <w:sz w:val="18"/>
            <w:szCs w:val="18"/>
            <w:bdr w:val="none" w:sz="0" w:space="0" w:color="auto" w:frame="1"/>
          </w:rPr>
          <w:t>NLM Classification</w:t>
        </w:r>
      </w:hyperlink>
      <w:r>
        <w:rPr>
          <w:rFonts w:ascii="Verdana" w:hAnsi="Verdana"/>
          <w:color w:val="000000"/>
          <w:sz w:val="18"/>
          <w:szCs w:val="18"/>
          <w:shd w:val="clear" w:color="auto" w:fill="FFFFFF"/>
        </w:rPr>
        <w:t xml:space="preserve"> was the evaluation of the 2022 MeSH (Medical Subject Headings) vocabulary for inclusion in the Classification index. Several additions and changes were made to the Index and Schedules based on this review. All main index headings are linked to the 2022 vocabulary in the MeSH Browser. Additional minor updates were made to the Index and Schedules.  See the NLM Technical Bulletin </w:t>
      </w:r>
      <w:r w:rsidR="00D44167">
        <w:rPr>
          <w:rFonts w:ascii="Verdana" w:hAnsi="Verdana"/>
          <w:color w:val="000000"/>
          <w:sz w:val="18"/>
          <w:szCs w:val="18"/>
          <w:shd w:val="clear" w:color="auto" w:fill="FFFFFF"/>
        </w:rPr>
        <w:t xml:space="preserve">for additional details at </w:t>
      </w:r>
      <w:hyperlink r:id="rId9" w:history="1">
        <w:r w:rsidR="00D44167" w:rsidRPr="00632D02">
          <w:rPr>
            <w:rStyle w:val="Hyperlink"/>
            <w:rFonts w:ascii="Verdana" w:hAnsi="Verdana"/>
            <w:sz w:val="18"/>
            <w:szCs w:val="18"/>
            <w:shd w:val="clear" w:color="auto" w:fill="FFFFFF"/>
          </w:rPr>
          <w:t>https://www.nlm.nih.gov/pubs/techbull/jf22/jf22_nlm_classification_winter_2022.html</w:t>
        </w:r>
      </w:hyperlink>
      <w:r>
        <w:rPr>
          <w:rFonts w:ascii="Verdana" w:hAnsi="Verdana"/>
          <w:color w:val="000000"/>
          <w:sz w:val="18"/>
          <w:szCs w:val="18"/>
          <w:shd w:val="clear" w:color="auto" w:fill="FFFFFF"/>
        </w:rPr>
        <w:t xml:space="preserve"> </w:t>
      </w:r>
    </w:p>
    <w:p w14:paraId="78112EFA" w14:textId="77777777" w:rsidR="00252691" w:rsidRPr="00252691" w:rsidRDefault="00252691" w:rsidP="00252691">
      <w:pPr>
        <w:pStyle w:val="NormalWeb"/>
        <w:shd w:val="clear" w:color="auto" w:fill="FFFFFF"/>
        <w:spacing w:before="0" w:beforeAutospacing="0" w:after="0" w:afterAutospacing="0"/>
        <w:textAlignment w:val="baseline"/>
        <w:rPr>
          <w:rFonts w:asciiTheme="minorHAnsi" w:hAnsiTheme="minorHAnsi" w:cstheme="minorHAnsi"/>
          <w:color w:val="000000"/>
          <w:sz w:val="22"/>
          <w:szCs w:val="22"/>
        </w:rPr>
      </w:pPr>
    </w:p>
    <w:p w14:paraId="4B656D22" w14:textId="759B73D2" w:rsidR="001A3F17" w:rsidRDefault="00D44167" w:rsidP="001A3F17">
      <w:pPr>
        <w:pStyle w:val="Heading2"/>
        <w:rPr>
          <w:sz w:val="22"/>
          <w:szCs w:val="22"/>
        </w:rPr>
      </w:pPr>
      <w:r>
        <w:rPr>
          <w:sz w:val="22"/>
          <w:szCs w:val="22"/>
        </w:rPr>
        <w:t xml:space="preserve">Summary </w:t>
      </w:r>
      <w:r w:rsidR="001A3F17" w:rsidRPr="001A3F17">
        <w:rPr>
          <w:sz w:val="22"/>
          <w:szCs w:val="22"/>
        </w:rPr>
        <w:t xml:space="preserve">Statistics </w:t>
      </w:r>
      <w:r>
        <w:rPr>
          <w:sz w:val="22"/>
          <w:szCs w:val="22"/>
        </w:rPr>
        <w:t>for the 2022 Winter Edition</w:t>
      </w:r>
    </w:p>
    <w:p w14:paraId="3FB0AB7B" w14:textId="77777777" w:rsidR="00A7777B" w:rsidRPr="00A7777B" w:rsidRDefault="00A7777B" w:rsidP="00530EAC">
      <w:pPr>
        <w:numPr>
          <w:ilvl w:val="0"/>
          <w:numId w:val="1"/>
        </w:numPr>
        <w:shd w:val="clear" w:color="auto" w:fill="FFFFFF"/>
        <w:spacing w:before="48" w:after="120" w:line="240" w:lineRule="auto"/>
        <w:ind w:left="1245"/>
        <w:rPr>
          <w:rFonts w:ascii="Verdana" w:eastAsia="Times New Roman" w:hAnsi="Verdana" w:cs="Times New Roman"/>
          <w:color w:val="000000"/>
          <w:sz w:val="18"/>
          <w:szCs w:val="18"/>
        </w:rPr>
      </w:pPr>
      <w:r w:rsidRPr="00A7777B">
        <w:rPr>
          <w:rFonts w:ascii="Verdana" w:eastAsia="Times New Roman" w:hAnsi="Verdana" w:cs="Times New Roman"/>
          <w:color w:val="000000"/>
          <w:sz w:val="18"/>
          <w:szCs w:val="18"/>
        </w:rPr>
        <w:t>14 New Class Numbers</w:t>
      </w:r>
    </w:p>
    <w:p w14:paraId="77AF73BC" w14:textId="77777777" w:rsidR="00A7777B" w:rsidRPr="00A7777B" w:rsidRDefault="00A7777B" w:rsidP="00530EAC">
      <w:pPr>
        <w:numPr>
          <w:ilvl w:val="0"/>
          <w:numId w:val="1"/>
        </w:numPr>
        <w:shd w:val="clear" w:color="auto" w:fill="FFFFFF"/>
        <w:spacing w:before="48" w:after="120" w:line="240" w:lineRule="auto"/>
        <w:ind w:left="1245"/>
        <w:rPr>
          <w:rFonts w:ascii="Verdana" w:eastAsia="Times New Roman" w:hAnsi="Verdana" w:cs="Times New Roman"/>
          <w:color w:val="000000"/>
          <w:sz w:val="18"/>
          <w:szCs w:val="18"/>
        </w:rPr>
      </w:pPr>
      <w:r w:rsidRPr="00A7777B">
        <w:rPr>
          <w:rFonts w:ascii="Verdana" w:eastAsia="Times New Roman" w:hAnsi="Verdana" w:cs="Times New Roman"/>
          <w:color w:val="000000"/>
          <w:sz w:val="18"/>
          <w:szCs w:val="18"/>
        </w:rPr>
        <w:t>32 Modified Class Numbers</w:t>
      </w:r>
    </w:p>
    <w:p w14:paraId="20F7DC46" w14:textId="77777777" w:rsidR="00A7777B" w:rsidRPr="00A7777B" w:rsidRDefault="00A7777B" w:rsidP="00530EAC">
      <w:pPr>
        <w:numPr>
          <w:ilvl w:val="0"/>
          <w:numId w:val="1"/>
        </w:numPr>
        <w:shd w:val="clear" w:color="auto" w:fill="FFFFFF"/>
        <w:spacing w:before="48" w:after="120" w:line="240" w:lineRule="auto"/>
        <w:ind w:left="1245"/>
        <w:rPr>
          <w:rFonts w:ascii="Verdana" w:eastAsia="Times New Roman" w:hAnsi="Verdana" w:cs="Times New Roman"/>
          <w:color w:val="000000"/>
          <w:sz w:val="18"/>
          <w:szCs w:val="18"/>
        </w:rPr>
      </w:pPr>
      <w:r w:rsidRPr="00A7777B">
        <w:rPr>
          <w:rFonts w:ascii="Verdana" w:eastAsia="Times New Roman" w:hAnsi="Verdana" w:cs="Times New Roman"/>
          <w:color w:val="000000"/>
          <w:sz w:val="18"/>
          <w:szCs w:val="18"/>
        </w:rPr>
        <w:t>3 Canceled Class Numbers</w:t>
      </w:r>
    </w:p>
    <w:p w14:paraId="5FCA2F56" w14:textId="77777777" w:rsidR="00A7777B" w:rsidRPr="00A7777B" w:rsidRDefault="00A7777B" w:rsidP="00530EAC">
      <w:pPr>
        <w:numPr>
          <w:ilvl w:val="0"/>
          <w:numId w:val="1"/>
        </w:numPr>
        <w:shd w:val="clear" w:color="auto" w:fill="FFFFFF"/>
        <w:spacing w:before="48" w:after="120" w:line="240" w:lineRule="auto"/>
        <w:ind w:left="1245"/>
        <w:rPr>
          <w:rFonts w:ascii="Verdana" w:eastAsia="Times New Roman" w:hAnsi="Verdana" w:cs="Times New Roman"/>
          <w:color w:val="000000"/>
          <w:sz w:val="18"/>
          <w:szCs w:val="18"/>
        </w:rPr>
      </w:pPr>
      <w:r w:rsidRPr="00A7777B">
        <w:rPr>
          <w:rFonts w:ascii="Verdana" w:eastAsia="Times New Roman" w:hAnsi="Verdana" w:cs="Times New Roman"/>
          <w:color w:val="000000"/>
          <w:sz w:val="18"/>
          <w:szCs w:val="18"/>
        </w:rPr>
        <w:t>1 New Schedule Header</w:t>
      </w:r>
    </w:p>
    <w:p w14:paraId="6A86E223" w14:textId="77777777" w:rsidR="00A7777B" w:rsidRPr="00A7777B" w:rsidRDefault="00A7777B" w:rsidP="00530EAC">
      <w:pPr>
        <w:numPr>
          <w:ilvl w:val="0"/>
          <w:numId w:val="1"/>
        </w:numPr>
        <w:shd w:val="clear" w:color="auto" w:fill="FFFFFF"/>
        <w:spacing w:before="48" w:after="120" w:line="240" w:lineRule="auto"/>
        <w:ind w:left="1245"/>
        <w:rPr>
          <w:rFonts w:ascii="Verdana" w:eastAsia="Times New Roman" w:hAnsi="Verdana" w:cs="Times New Roman"/>
          <w:color w:val="000000"/>
          <w:sz w:val="18"/>
          <w:szCs w:val="18"/>
        </w:rPr>
      </w:pPr>
      <w:r w:rsidRPr="00A7777B">
        <w:rPr>
          <w:rFonts w:ascii="Verdana" w:eastAsia="Times New Roman" w:hAnsi="Verdana" w:cs="Times New Roman"/>
          <w:color w:val="000000"/>
          <w:sz w:val="18"/>
          <w:szCs w:val="18"/>
        </w:rPr>
        <w:t>2 Modified Schedule Headers</w:t>
      </w:r>
    </w:p>
    <w:p w14:paraId="539E4822" w14:textId="77777777" w:rsidR="00A7777B" w:rsidRPr="00A7777B" w:rsidRDefault="00A7777B" w:rsidP="00530EAC">
      <w:pPr>
        <w:numPr>
          <w:ilvl w:val="0"/>
          <w:numId w:val="1"/>
        </w:numPr>
        <w:shd w:val="clear" w:color="auto" w:fill="FFFFFF"/>
        <w:spacing w:before="48" w:after="120" w:line="240" w:lineRule="auto"/>
        <w:ind w:left="1245"/>
        <w:rPr>
          <w:rFonts w:ascii="Verdana" w:eastAsia="Times New Roman" w:hAnsi="Verdana" w:cs="Times New Roman"/>
          <w:color w:val="000000"/>
          <w:sz w:val="18"/>
          <w:szCs w:val="18"/>
        </w:rPr>
      </w:pPr>
      <w:r w:rsidRPr="00A7777B">
        <w:rPr>
          <w:rFonts w:ascii="Verdana" w:eastAsia="Times New Roman" w:hAnsi="Verdana" w:cs="Times New Roman"/>
          <w:color w:val="000000"/>
          <w:sz w:val="18"/>
          <w:szCs w:val="18"/>
        </w:rPr>
        <w:t>2 Deleted Schedule Headers</w:t>
      </w:r>
    </w:p>
    <w:p w14:paraId="7A421E02" w14:textId="77777777" w:rsidR="00A7777B" w:rsidRPr="00A7777B" w:rsidRDefault="00A7777B" w:rsidP="00530EAC">
      <w:pPr>
        <w:numPr>
          <w:ilvl w:val="0"/>
          <w:numId w:val="1"/>
        </w:numPr>
        <w:shd w:val="clear" w:color="auto" w:fill="FFFFFF"/>
        <w:spacing w:before="48" w:after="120" w:line="240" w:lineRule="auto"/>
        <w:ind w:left="1245"/>
        <w:rPr>
          <w:rFonts w:ascii="Verdana" w:eastAsia="Times New Roman" w:hAnsi="Verdana" w:cs="Times New Roman"/>
          <w:color w:val="000000"/>
          <w:sz w:val="18"/>
          <w:szCs w:val="18"/>
        </w:rPr>
      </w:pPr>
      <w:r w:rsidRPr="00A7777B">
        <w:rPr>
          <w:rFonts w:ascii="Verdana" w:eastAsia="Times New Roman" w:hAnsi="Verdana" w:cs="Times New Roman"/>
          <w:color w:val="000000"/>
          <w:sz w:val="18"/>
          <w:szCs w:val="18"/>
        </w:rPr>
        <w:t>37 New Index Headings (33 from 2022 MeSH)</w:t>
      </w:r>
    </w:p>
    <w:p w14:paraId="558634E0" w14:textId="77777777" w:rsidR="00A7777B" w:rsidRPr="00A7777B" w:rsidRDefault="00A7777B" w:rsidP="00530EAC">
      <w:pPr>
        <w:numPr>
          <w:ilvl w:val="0"/>
          <w:numId w:val="1"/>
        </w:numPr>
        <w:shd w:val="clear" w:color="auto" w:fill="FFFFFF"/>
        <w:spacing w:before="48" w:after="120" w:line="240" w:lineRule="auto"/>
        <w:ind w:left="1245"/>
        <w:rPr>
          <w:rFonts w:ascii="Verdana" w:eastAsia="Times New Roman" w:hAnsi="Verdana" w:cs="Times New Roman"/>
          <w:color w:val="000000"/>
          <w:sz w:val="18"/>
          <w:szCs w:val="18"/>
        </w:rPr>
      </w:pPr>
      <w:r w:rsidRPr="00A7777B">
        <w:rPr>
          <w:rFonts w:ascii="Verdana" w:eastAsia="Times New Roman" w:hAnsi="Verdana" w:cs="Times New Roman"/>
          <w:color w:val="000000"/>
          <w:sz w:val="18"/>
          <w:szCs w:val="18"/>
        </w:rPr>
        <w:t>80 Modified Index Headings</w:t>
      </w:r>
    </w:p>
    <w:p w14:paraId="18A762D9" w14:textId="77B8AF11" w:rsidR="00A7777B" w:rsidRDefault="00A7777B" w:rsidP="00530EAC">
      <w:pPr>
        <w:numPr>
          <w:ilvl w:val="0"/>
          <w:numId w:val="1"/>
        </w:numPr>
        <w:shd w:val="clear" w:color="auto" w:fill="FFFFFF"/>
        <w:spacing w:before="48" w:after="120" w:line="240" w:lineRule="auto"/>
        <w:ind w:left="1245"/>
        <w:rPr>
          <w:rFonts w:ascii="Verdana" w:eastAsia="Times New Roman" w:hAnsi="Verdana" w:cs="Times New Roman"/>
          <w:color w:val="000000"/>
          <w:sz w:val="18"/>
          <w:szCs w:val="18"/>
        </w:rPr>
      </w:pPr>
      <w:r w:rsidRPr="00A7777B">
        <w:rPr>
          <w:rFonts w:ascii="Verdana" w:eastAsia="Times New Roman" w:hAnsi="Verdana" w:cs="Times New Roman"/>
          <w:color w:val="000000"/>
          <w:sz w:val="18"/>
          <w:szCs w:val="18"/>
        </w:rPr>
        <w:t>1 Deleted Index Heading</w:t>
      </w:r>
    </w:p>
    <w:p w14:paraId="032114BE" w14:textId="77777777" w:rsidR="005F3E38" w:rsidRPr="00A7777B" w:rsidRDefault="005F3E38" w:rsidP="005F3E38">
      <w:pPr>
        <w:shd w:val="clear" w:color="auto" w:fill="FFFFFF"/>
        <w:spacing w:before="48" w:after="120" w:line="240" w:lineRule="auto"/>
        <w:ind w:left="1245"/>
        <w:rPr>
          <w:rFonts w:ascii="Verdana" w:eastAsia="Times New Roman" w:hAnsi="Verdana" w:cs="Times New Roman"/>
          <w:color w:val="000000"/>
          <w:sz w:val="18"/>
          <w:szCs w:val="18"/>
        </w:rPr>
      </w:pPr>
    </w:p>
    <w:p w14:paraId="67B727A9" w14:textId="36668C64" w:rsidR="00A7777B" w:rsidRDefault="005F3E38" w:rsidP="005F3E38">
      <w:pPr>
        <w:pStyle w:val="Heading2"/>
        <w:rPr>
          <w:sz w:val="22"/>
          <w:szCs w:val="22"/>
        </w:rPr>
      </w:pPr>
      <w:r w:rsidRPr="005F3E38">
        <w:rPr>
          <w:sz w:val="22"/>
          <w:szCs w:val="22"/>
        </w:rPr>
        <w:t>Examples of Additions and Changes Based on MeSH 2022</w:t>
      </w:r>
    </w:p>
    <w:p w14:paraId="23DAC437" w14:textId="77777777" w:rsidR="00B001B9" w:rsidRPr="000558B8" w:rsidRDefault="00B001B9" w:rsidP="00B001B9">
      <w:pPr>
        <w:pStyle w:val="Heading3"/>
        <w:rPr>
          <w:sz w:val="22"/>
          <w:szCs w:val="22"/>
        </w:rPr>
      </w:pPr>
      <w:r w:rsidRPr="000558B8">
        <w:rPr>
          <w:sz w:val="22"/>
          <w:szCs w:val="22"/>
        </w:rPr>
        <w:t>New 2022 Headings Added to Index by Tree (and Related Maintenance)</w:t>
      </w:r>
    </w:p>
    <w:p w14:paraId="1AA6471A" w14:textId="0D414676" w:rsidR="00B001B9" w:rsidRDefault="00B001B9" w:rsidP="00B001B9">
      <w:pPr>
        <w:pStyle w:val="NormalWeb"/>
        <w:shd w:val="clear" w:color="auto" w:fill="FFFFFF"/>
        <w:spacing w:before="0" w:beforeAutospacing="0" w:after="0" w:afterAutospacing="0"/>
        <w:textAlignment w:val="baseline"/>
        <w:rPr>
          <w:rFonts w:ascii="Verdana" w:hAnsi="Verdana"/>
          <w:color w:val="000000"/>
          <w:sz w:val="18"/>
          <w:szCs w:val="18"/>
          <w:shd w:val="clear" w:color="auto" w:fill="FFFFFF"/>
        </w:rPr>
      </w:pPr>
      <w:r>
        <w:rPr>
          <w:rFonts w:ascii="Verdana" w:hAnsi="Verdana"/>
          <w:color w:val="000000"/>
          <w:sz w:val="18"/>
          <w:szCs w:val="18"/>
        </w:rPr>
        <w:lastRenderedPageBreak/>
        <w:t>Of the 277 new 2022 MeSH descriptors, only 33 were added to the </w:t>
      </w:r>
      <w:r>
        <w:rPr>
          <w:rStyle w:val="Emphasis"/>
          <w:rFonts w:ascii="Verdana" w:hAnsi="Verdana"/>
          <w:color w:val="000000"/>
          <w:sz w:val="18"/>
          <w:szCs w:val="18"/>
          <w:bdr w:val="none" w:sz="0" w:space="0" w:color="auto" w:frame="1"/>
        </w:rPr>
        <w:t>NLM Classification</w:t>
      </w:r>
      <w:r>
        <w:rPr>
          <w:rFonts w:ascii="Verdana" w:hAnsi="Verdana"/>
          <w:color w:val="000000"/>
          <w:sz w:val="18"/>
          <w:szCs w:val="18"/>
        </w:rPr>
        <w:t xml:space="preserve"> index. Below is a </w:t>
      </w:r>
      <w:r w:rsidR="000558B8">
        <w:rPr>
          <w:rFonts w:ascii="Verdana" w:hAnsi="Verdana"/>
          <w:color w:val="000000"/>
          <w:sz w:val="18"/>
          <w:szCs w:val="18"/>
        </w:rPr>
        <w:t xml:space="preserve">selected </w:t>
      </w:r>
      <w:r>
        <w:rPr>
          <w:rFonts w:ascii="Verdana" w:hAnsi="Verdana"/>
          <w:color w:val="000000"/>
          <w:sz w:val="18"/>
          <w:szCs w:val="18"/>
        </w:rPr>
        <w:t>list by MeSH tree category in addition to any other classification maintenance done.</w:t>
      </w:r>
      <w:r w:rsidR="00D31C71">
        <w:rPr>
          <w:rFonts w:ascii="Verdana" w:hAnsi="Verdana"/>
          <w:color w:val="000000"/>
          <w:sz w:val="18"/>
          <w:szCs w:val="18"/>
        </w:rPr>
        <w:t xml:space="preserve">  See </w:t>
      </w:r>
      <w:hyperlink r:id="rId10" w:history="1">
        <w:r w:rsidR="00D31C71" w:rsidRPr="00632D02">
          <w:rPr>
            <w:rStyle w:val="Hyperlink"/>
            <w:rFonts w:ascii="Verdana" w:hAnsi="Verdana"/>
            <w:sz w:val="18"/>
            <w:szCs w:val="18"/>
            <w:shd w:val="clear" w:color="auto" w:fill="FFFFFF"/>
          </w:rPr>
          <w:t>https://www.nlm.nih.gov/pubs/techbull/jf22/jf22_nlm_classification_winter_2022.html</w:t>
        </w:r>
      </w:hyperlink>
      <w:r w:rsidR="00D31C71">
        <w:rPr>
          <w:rFonts w:ascii="Verdana" w:hAnsi="Verdana"/>
          <w:color w:val="000000"/>
          <w:sz w:val="18"/>
          <w:szCs w:val="18"/>
          <w:shd w:val="clear" w:color="auto" w:fill="FFFFFF"/>
        </w:rPr>
        <w:t xml:space="preserve"> for the complete list.</w:t>
      </w:r>
    </w:p>
    <w:p w14:paraId="1C38C9D4" w14:textId="7FA6CBAD" w:rsidR="00D31C71" w:rsidRDefault="00D31C71" w:rsidP="00B001B9">
      <w:pPr>
        <w:pStyle w:val="NormalWeb"/>
        <w:shd w:val="clear" w:color="auto" w:fill="FFFFFF"/>
        <w:spacing w:before="0" w:beforeAutospacing="0" w:after="0" w:afterAutospacing="0"/>
        <w:textAlignment w:val="baseline"/>
        <w:rPr>
          <w:rFonts w:ascii="Verdana" w:hAnsi="Verdana"/>
          <w:color w:val="000000"/>
          <w:sz w:val="18"/>
          <w:szCs w:val="18"/>
          <w:shd w:val="clear" w:color="auto" w:fill="FFFFFF"/>
        </w:rPr>
      </w:pPr>
    </w:p>
    <w:p w14:paraId="3CE09D71" w14:textId="77777777" w:rsidR="00D31C71" w:rsidRDefault="00D31C71" w:rsidP="00B001B9">
      <w:pPr>
        <w:pStyle w:val="NormalWeb"/>
        <w:shd w:val="clear" w:color="auto" w:fill="FFFFFF"/>
        <w:spacing w:before="0" w:beforeAutospacing="0" w:after="0" w:afterAutospacing="0"/>
        <w:textAlignment w:val="baseline"/>
        <w:rPr>
          <w:rFonts w:ascii="Verdana" w:hAnsi="Verdana"/>
          <w:color w:val="000000"/>
          <w:sz w:val="18"/>
          <w:szCs w:val="18"/>
        </w:rPr>
      </w:pPr>
    </w:p>
    <w:p w14:paraId="04D1E027" w14:textId="77777777" w:rsidR="00243CF2" w:rsidRPr="00243CF2" w:rsidRDefault="00243CF2" w:rsidP="00243CF2">
      <w:pPr>
        <w:shd w:val="clear" w:color="auto" w:fill="FFFFFF"/>
        <w:spacing w:before="150" w:after="0" w:line="240" w:lineRule="auto"/>
        <w:textAlignment w:val="baseline"/>
        <w:rPr>
          <w:rFonts w:ascii="Verdana" w:eastAsia="Times New Roman" w:hAnsi="Verdana" w:cs="Times New Roman"/>
          <w:color w:val="000000"/>
          <w:sz w:val="18"/>
          <w:szCs w:val="18"/>
        </w:rPr>
      </w:pPr>
      <w:r w:rsidRPr="00243CF2">
        <w:rPr>
          <w:rFonts w:ascii="Verdana" w:eastAsia="Times New Roman" w:hAnsi="Verdana" w:cs="Times New Roman"/>
          <w:color w:val="000000"/>
          <w:sz w:val="18"/>
          <w:szCs w:val="18"/>
        </w:rPr>
        <w:t>Anatomy [A]</w:t>
      </w:r>
    </w:p>
    <w:p w14:paraId="1041D0C4" w14:textId="2C83D5CB" w:rsidR="00A34905" w:rsidRDefault="00243CF2" w:rsidP="00530EAC">
      <w:pPr>
        <w:numPr>
          <w:ilvl w:val="0"/>
          <w:numId w:val="2"/>
        </w:numPr>
        <w:shd w:val="clear" w:color="auto" w:fill="FFFFFF"/>
        <w:spacing w:before="48" w:after="120" w:line="240" w:lineRule="auto"/>
        <w:ind w:left="1245"/>
        <w:rPr>
          <w:rFonts w:ascii="Verdana" w:eastAsia="Times New Roman" w:hAnsi="Verdana" w:cs="Times New Roman"/>
          <w:color w:val="000000"/>
          <w:sz w:val="18"/>
          <w:szCs w:val="18"/>
        </w:rPr>
      </w:pPr>
      <w:r w:rsidRPr="00243CF2">
        <w:rPr>
          <w:rFonts w:ascii="Verdana" w:eastAsia="Times New Roman" w:hAnsi="Verdana" w:cs="Times New Roman"/>
          <w:color w:val="000000"/>
          <w:sz w:val="18"/>
          <w:szCs w:val="18"/>
        </w:rPr>
        <w:t>Vestibular System – new class number created: WL 701 Vestibular system</w:t>
      </w:r>
    </w:p>
    <w:p w14:paraId="58AD8744" w14:textId="77777777" w:rsidR="00A34905" w:rsidRPr="00243CF2" w:rsidRDefault="00A34905" w:rsidP="00A34905">
      <w:pPr>
        <w:shd w:val="clear" w:color="auto" w:fill="FFFFFF"/>
        <w:spacing w:before="48" w:after="120" w:line="240" w:lineRule="auto"/>
        <w:rPr>
          <w:rFonts w:ascii="Verdana" w:eastAsia="Times New Roman" w:hAnsi="Verdana" w:cs="Times New Roman"/>
          <w:color w:val="000000"/>
          <w:sz w:val="18"/>
          <w:szCs w:val="18"/>
        </w:rPr>
      </w:pPr>
    </w:p>
    <w:p w14:paraId="67DEF89E" w14:textId="77777777" w:rsidR="00243CF2" w:rsidRPr="00243CF2" w:rsidRDefault="00243CF2" w:rsidP="00243CF2">
      <w:pPr>
        <w:shd w:val="clear" w:color="auto" w:fill="FFFFFF"/>
        <w:spacing w:before="150" w:after="0" w:line="240" w:lineRule="auto"/>
        <w:textAlignment w:val="baseline"/>
        <w:rPr>
          <w:rFonts w:ascii="Verdana" w:eastAsia="Times New Roman" w:hAnsi="Verdana" w:cs="Times New Roman"/>
          <w:color w:val="000000"/>
          <w:sz w:val="18"/>
          <w:szCs w:val="18"/>
        </w:rPr>
      </w:pPr>
      <w:r w:rsidRPr="00243CF2">
        <w:rPr>
          <w:rFonts w:ascii="Verdana" w:eastAsia="Times New Roman" w:hAnsi="Verdana" w:cs="Times New Roman"/>
          <w:color w:val="000000"/>
          <w:sz w:val="18"/>
          <w:szCs w:val="18"/>
        </w:rPr>
        <w:t>Analytical, Diagnostic and Therapeutic Techniques, and Equipment [E]</w:t>
      </w:r>
    </w:p>
    <w:p w14:paraId="6FF4B81C" w14:textId="77777777" w:rsidR="00243CF2" w:rsidRPr="00243CF2" w:rsidRDefault="00243CF2" w:rsidP="00530EAC">
      <w:pPr>
        <w:numPr>
          <w:ilvl w:val="0"/>
          <w:numId w:val="3"/>
        </w:numPr>
        <w:shd w:val="clear" w:color="auto" w:fill="FFFFFF"/>
        <w:spacing w:before="48" w:after="120" w:line="240" w:lineRule="auto"/>
        <w:ind w:left="1245"/>
        <w:rPr>
          <w:rFonts w:ascii="Verdana" w:eastAsia="Times New Roman" w:hAnsi="Verdana" w:cs="Times New Roman"/>
          <w:color w:val="000000"/>
          <w:sz w:val="18"/>
          <w:szCs w:val="18"/>
        </w:rPr>
      </w:pPr>
      <w:r w:rsidRPr="00243CF2">
        <w:rPr>
          <w:rFonts w:ascii="Verdana" w:eastAsia="Times New Roman" w:hAnsi="Verdana" w:cs="Times New Roman"/>
          <w:color w:val="000000"/>
          <w:sz w:val="18"/>
          <w:szCs w:val="18"/>
        </w:rPr>
        <w:t>Cellular Automata</w:t>
      </w:r>
    </w:p>
    <w:p w14:paraId="1A480DE6" w14:textId="77777777" w:rsidR="00243CF2" w:rsidRPr="00243CF2" w:rsidRDefault="00243CF2" w:rsidP="00530EAC">
      <w:pPr>
        <w:numPr>
          <w:ilvl w:val="0"/>
          <w:numId w:val="3"/>
        </w:numPr>
        <w:shd w:val="clear" w:color="auto" w:fill="FFFFFF"/>
        <w:spacing w:before="48" w:after="120" w:line="240" w:lineRule="auto"/>
        <w:ind w:left="1245"/>
        <w:rPr>
          <w:rFonts w:ascii="Verdana" w:eastAsia="Times New Roman" w:hAnsi="Verdana" w:cs="Times New Roman"/>
          <w:color w:val="000000"/>
          <w:sz w:val="18"/>
          <w:szCs w:val="18"/>
        </w:rPr>
      </w:pPr>
      <w:r w:rsidRPr="00243CF2">
        <w:rPr>
          <w:rFonts w:ascii="Verdana" w:eastAsia="Times New Roman" w:hAnsi="Verdana" w:cs="Times New Roman"/>
          <w:color w:val="000000"/>
          <w:sz w:val="18"/>
          <w:szCs w:val="18"/>
        </w:rPr>
        <w:t>Hospital to Home Transition</w:t>
      </w:r>
    </w:p>
    <w:p w14:paraId="5949F09E" w14:textId="77777777" w:rsidR="00243CF2" w:rsidRPr="00243CF2" w:rsidRDefault="00243CF2" w:rsidP="00530EAC">
      <w:pPr>
        <w:numPr>
          <w:ilvl w:val="0"/>
          <w:numId w:val="3"/>
        </w:numPr>
        <w:shd w:val="clear" w:color="auto" w:fill="FFFFFF"/>
        <w:spacing w:before="48" w:after="120" w:line="240" w:lineRule="auto"/>
        <w:ind w:left="1245"/>
        <w:rPr>
          <w:rFonts w:ascii="Verdana" w:eastAsia="Times New Roman" w:hAnsi="Verdana" w:cs="Times New Roman"/>
          <w:color w:val="000000"/>
          <w:sz w:val="18"/>
          <w:szCs w:val="18"/>
        </w:rPr>
      </w:pPr>
      <w:r w:rsidRPr="00243CF2">
        <w:rPr>
          <w:rFonts w:ascii="Verdana" w:eastAsia="Times New Roman" w:hAnsi="Verdana" w:cs="Times New Roman"/>
          <w:color w:val="000000"/>
          <w:sz w:val="18"/>
          <w:szCs w:val="18"/>
        </w:rPr>
        <w:t>Medicine, Persian – new class number created: WB 55.P4 Persian medicine</w:t>
      </w:r>
    </w:p>
    <w:p w14:paraId="04A0C2DB" w14:textId="77777777" w:rsidR="00243CF2" w:rsidRPr="00243CF2" w:rsidRDefault="00243CF2" w:rsidP="00530EAC">
      <w:pPr>
        <w:numPr>
          <w:ilvl w:val="0"/>
          <w:numId w:val="3"/>
        </w:numPr>
        <w:shd w:val="clear" w:color="auto" w:fill="FFFFFF"/>
        <w:spacing w:before="48" w:after="120" w:line="240" w:lineRule="auto"/>
        <w:ind w:left="1245"/>
        <w:rPr>
          <w:rFonts w:ascii="Verdana" w:eastAsia="Times New Roman" w:hAnsi="Verdana" w:cs="Times New Roman"/>
          <w:color w:val="000000"/>
          <w:sz w:val="18"/>
          <w:szCs w:val="18"/>
        </w:rPr>
      </w:pPr>
      <w:r w:rsidRPr="00243CF2">
        <w:rPr>
          <w:rFonts w:ascii="Verdana" w:eastAsia="Times New Roman" w:hAnsi="Verdana" w:cs="Times New Roman"/>
          <w:color w:val="000000"/>
          <w:sz w:val="18"/>
          <w:szCs w:val="18"/>
        </w:rPr>
        <w:t>Myofascial Release Therapy</w:t>
      </w:r>
    </w:p>
    <w:p w14:paraId="265FFCCA" w14:textId="142B103A" w:rsidR="00243CF2" w:rsidRDefault="00243CF2" w:rsidP="00530EAC">
      <w:pPr>
        <w:numPr>
          <w:ilvl w:val="0"/>
          <w:numId w:val="3"/>
        </w:numPr>
        <w:shd w:val="clear" w:color="auto" w:fill="FFFFFF"/>
        <w:spacing w:before="48" w:after="120" w:line="240" w:lineRule="auto"/>
        <w:ind w:left="1245"/>
        <w:rPr>
          <w:rFonts w:ascii="Verdana" w:eastAsia="Times New Roman" w:hAnsi="Verdana" w:cs="Times New Roman"/>
          <w:color w:val="000000"/>
          <w:sz w:val="18"/>
          <w:szCs w:val="18"/>
        </w:rPr>
      </w:pPr>
      <w:r w:rsidRPr="00243CF2">
        <w:rPr>
          <w:rFonts w:ascii="Verdana" w:eastAsia="Times New Roman" w:hAnsi="Verdana" w:cs="Times New Roman"/>
          <w:color w:val="000000"/>
          <w:sz w:val="18"/>
          <w:szCs w:val="18"/>
        </w:rPr>
        <w:t>Vaccine Development – new class number created: QW 810 Vaccine development</w:t>
      </w:r>
    </w:p>
    <w:p w14:paraId="531A3059" w14:textId="77777777" w:rsidR="00A34905" w:rsidRPr="00243CF2" w:rsidRDefault="00A34905" w:rsidP="00A34905">
      <w:pPr>
        <w:shd w:val="clear" w:color="auto" w:fill="FFFFFF"/>
        <w:spacing w:before="48" w:after="120" w:line="240" w:lineRule="auto"/>
        <w:ind w:left="885"/>
        <w:rPr>
          <w:rFonts w:ascii="Verdana" w:eastAsia="Times New Roman" w:hAnsi="Verdana" w:cs="Times New Roman"/>
          <w:color w:val="000000"/>
          <w:sz w:val="18"/>
          <w:szCs w:val="18"/>
        </w:rPr>
      </w:pPr>
    </w:p>
    <w:p w14:paraId="15F24C2B" w14:textId="2EBDB7C6" w:rsidR="00A34905" w:rsidRPr="00A34905" w:rsidRDefault="00A34905" w:rsidP="00A34905">
      <w:pPr>
        <w:spacing w:after="0" w:line="240" w:lineRule="auto"/>
        <w:rPr>
          <w:rFonts w:ascii="Times New Roman" w:eastAsia="Times New Roman" w:hAnsi="Times New Roman" w:cs="Times New Roman"/>
          <w:sz w:val="24"/>
          <w:szCs w:val="24"/>
        </w:rPr>
      </w:pPr>
      <w:r w:rsidRPr="00A34905">
        <w:rPr>
          <w:rFonts w:ascii="Verdana" w:eastAsia="Times New Roman" w:hAnsi="Verdana" w:cs="Times New Roman"/>
          <w:color w:val="000000"/>
          <w:sz w:val="18"/>
          <w:szCs w:val="18"/>
          <w:shd w:val="clear" w:color="auto" w:fill="FFFFFF"/>
        </w:rPr>
        <w:t>Psychiatry and Psychology [F]</w:t>
      </w:r>
    </w:p>
    <w:p w14:paraId="0B60CB97" w14:textId="77777777" w:rsidR="00A34905" w:rsidRPr="00A34905" w:rsidRDefault="00A34905" w:rsidP="00530EAC">
      <w:pPr>
        <w:numPr>
          <w:ilvl w:val="0"/>
          <w:numId w:val="4"/>
        </w:numPr>
        <w:shd w:val="clear" w:color="auto" w:fill="FFFFFF"/>
        <w:spacing w:before="48" w:after="120" w:line="240" w:lineRule="auto"/>
        <w:ind w:left="1245"/>
        <w:rPr>
          <w:rFonts w:ascii="Verdana" w:eastAsia="Times New Roman" w:hAnsi="Verdana" w:cs="Times New Roman"/>
          <w:color w:val="000000"/>
          <w:sz w:val="18"/>
          <w:szCs w:val="18"/>
        </w:rPr>
      </w:pPr>
      <w:r w:rsidRPr="00A34905">
        <w:rPr>
          <w:rFonts w:ascii="Verdana" w:eastAsia="Times New Roman" w:hAnsi="Verdana" w:cs="Times New Roman"/>
          <w:color w:val="000000"/>
          <w:sz w:val="18"/>
          <w:szCs w:val="18"/>
        </w:rPr>
        <w:t>Cognitive Psychology</w:t>
      </w:r>
    </w:p>
    <w:p w14:paraId="1B6F1BA7" w14:textId="77777777" w:rsidR="00A34905" w:rsidRPr="00A34905" w:rsidRDefault="00A34905" w:rsidP="00530EAC">
      <w:pPr>
        <w:numPr>
          <w:ilvl w:val="0"/>
          <w:numId w:val="4"/>
        </w:numPr>
        <w:shd w:val="clear" w:color="auto" w:fill="FFFFFF"/>
        <w:spacing w:before="48" w:after="120" w:line="240" w:lineRule="auto"/>
        <w:ind w:left="1245"/>
        <w:rPr>
          <w:rFonts w:ascii="Verdana" w:eastAsia="Times New Roman" w:hAnsi="Verdana" w:cs="Times New Roman"/>
          <w:color w:val="000000"/>
          <w:sz w:val="18"/>
          <w:szCs w:val="18"/>
        </w:rPr>
      </w:pPr>
      <w:r w:rsidRPr="00A34905">
        <w:rPr>
          <w:rFonts w:ascii="Verdana" w:eastAsia="Times New Roman" w:hAnsi="Verdana" w:cs="Times New Roman"/>
          <w:color w:val="000000"/>
          <w:sz w:val="18"/>
          <w:szCs w:val="18"/>
        </w:rPr>
        <w:t>Mentalization-Based Therapy – new class number created: WM 420.5.M5 Mentalization-based therapy</w:t>
      </w:r>
    </w:p>
    <w:p w14:paraId="10848733" w14:textId="4E2E5EDF" w:rsidR="00A34905" w:rsidRDefault="00A34905" w:rsidP="00530EAC">
      <w:pPr>
        <w:numPr>
          <w:ilvl w:val="0"/>
          <w:numId w:val="4"/>
        </w:numPr>
        <w:shd w:val="clear" w:color="auto" w:fill="FFFFFF"/>
        <w:spacing w:before="48" w:after="120" w:line="240" w:lineRule="auto"/>
        <w:ind w:left="1245"/>
        <w:rPr>
          <w:rFonts w:ascii="Verdana" w:eastAsia="Times New Roman" w:hAnsi="Verdana" w:cs="Times New Roman"/>
          <w:color w:val="000000"/>
          <w:sz w:val="18"/>
          <w:szCs w:val="18"/>
        </w:rPr>
      </w:pPr>
      <w:r w:rsidRPr="00A34905">
        <w:rPr>
          <w:rFonts w:ascii="Verdana" w:eastAsia="Times New Roman" w:hAnsi="Verdana" w:cs="Times New Roman"/>
          <w:color w:val="000000"/>
          <w:sz w:val="18"/>
          <w:szCs w:val="18"/>
        </w:rPr>
        <w:t>Vaccination Hesitancy</w:t>
      </w:r>
    </w:p>
    <w:p w14:paraId="63FA702B" w14:textId="19AE15B0" w:rsidR="00D31C71" w:rsidRDefault="00D31C71" w:rsidP="00D31C71">
      <w:pPr>
        <w:shd w:val="clear" w:color="auto" w:fill="FFFFFF"/>
        <w:spacing w:before="48" w:after="120" w:line="240" w:lineRule="auto"/>
        <w:rPr>
          <w:rFonts w:ascii="Verdana" w:eastAsia="Times New Roman" w:hAnsi="Verdana" w:cs="Times New Roman"/>
          <w:color w:val="000000"/>
          <w:sz w:val="18"/>
          <w:szCs w:val="18"/>
        </w:rPr>
      </w:pPr>
    </w:p>
    <w:p w14:paraId="423CF125" w14:textId="77777777" w:rsidR="00D31C71" w:rsidRPr="00D31C71" w:rsidRDefault="00D31C71" w:rsidP="00D31C71">
      <w:pPr>
        <w:shd w:val="clear" w:color="auto" w:fill="FFFFFF"/>
        <w:spacing w:before="150" w:after="0" w:line="240" w:lineRule="auto"/>
        <w:textAlignment w:val="baseline"/>
        <w:rPr>
          <w:rFonts w:ascii="Verdana" w:eastAsia="Times New Roman" w:hAnsi="Verdana" w:cs="Times New Roman"/>
          <w:color w:val="000000"/>
          <w:sz w:val="18"/>
          <w:szCs w:val="18"/>
        </w:rPr>
      </w:pPr>
      <w:r w:rsidRPr="00D31C71">
        <w:rPr>
          <w:rFonts w:ascii="Verdana" w:eastAsia="Times New Roman" w:hAnsi="Verdana" w:cs="Times New Roman"/>
          <w:color w:val="000000"/>
          <w:sz w:val="18"/>
          <w:szCs w:val="18"/>
        </w:rPr>
        <w:t>Disciplines and Occupations [H]</w:t>
      </w:r>
    </w:p>
    <w:p w14:paraId="36FBED90" w14:textId="77777777" w:rsidR="00D31C71" w:rsidRPr="00D31C71" w:rsidRDefault="00D31C71" w:rsidP="00530EAC">
      <w:pPr>
        <w:numPr>
          <w:ilvl w:val="0"/>
          <w:numId w:val="5"/>
        </w:numPr>
        <w:shd w:val="clear" w:color="auto" w:fill="FFFFFF"/>
        <w:spacing w:before="48" w:after="120" w:line="240" w:lineRule="auto"/>
        <w:ind w:left="1245"/>
        <w:rPr>
          <w:rFonts w:ascii="Verdana" w:eastAsia="Times New Roman" w:hAnsi="Verdana" w:cs="Times New Roman"/>
          <w:color w:val="000000"/>
          <w:sz w:val="18"/>
          <w:szCs w:val="18"/>
        </w:rPr>
      </w:pPr>
      <w:r w:rsidRPr="00D31C71">
        <w:rPr>
          <w:rFonts w:ascii="Verdana" w:eastAsia="Times New Roman" w:hAnsi="Verdana" w:cs="Times New Roman"/>
          <w:color w:val="000000"/>
          <w:sz w:val="18"/>
          <w:szCs w:val="18"/>
        </w:rPr>
        <w:t>Genomic Medicine - Genomic medicine added to caption at WB 102.7</w:t>
      </w:r>
    </w:p>
    <w:p w14:paraId="79D56DF9" w14:textId="77777777" w:rsidR="00D31C71" w:rsidRPr="00D31C71" w:rsidRDefault="00D31C71" w:rsidP="00530EAC">
      <w:pPr>
        <w:numPr>
          <w:ilvl w:val="0"/>
          <w:numId w:val="5"/>
        </w:numPr>
        <w:shd w:val="clear" w:color="auto" w:fill="FFFFFF"/>
        <w:spacing w:before="48" w:after="120" w:line="240" w:lineRule="auto"/>
        <w:ind w:left="1245"/>
        <w:rPr>
          <w:rFonts w:ascii="Verdana" w:eastAsia="Times New Roman" w:hAnsi="Verdana" w:cs="Times New Roman"/>
          <w:color w:val="000000"/>
          <w:sz w:val="18"/>
          <w:szCs w:val="18"/>
        </w:rPr>
      </w:pPr>
      <w:r w:rsidRPr="00D31C71">
        <w:rPr>
          <w:rFonts w:ascii="Verdana" w:eastAsia="Times New Roman" w:hAnsi="Verdana" w:cs="Times New Roman"/>
          <w:color w:val="000000"/>
          <w:sz w:val="18"/>
          <w:szCs w:val="18"/>
        </w:rPr>
        <w:t>Geroscience</w:t>
      </w:r>
    </w:p>
    <w:p w14:paraId="0BE8E04C" w14:textId="77777777" w:rsidR="00D31C71" w:rsidRPr="00D31C71" w:rsidRDefault="00D31C71" w:rsidP="00530EAC">
      <w:pPr>
        <w:numPr>
          <w:ilvl w:val="0"/>
          <w:numId w:val="5"/>
        </w:numPr>
        <w:shd w:val="clear" w:color="auto" w:fill="FFFFFF"/>
        <w:spacing w:before="48" w:after="120" w:line="240" w:lineRule="auto"/>
        <w:ind w:left="1245"/>
        <w:rPr>
          <w:rFonts w:ascii="Verdana" w:eastAsia="Times New Roman" w:hAnsi="Verdana" w:cs="Times New Roman"/>
          <w:color w:val="000000"/>
          <w:sz w:val="18"/>
          <w:szCs w:val="18"/>
        </w:rPr>
      </w:pPr>
      <w:r w:rsidRPr="00D31C71">
        <w:rPr>
          <w:rFonts w:ascii="Verdana" w:eastAsia="Times New Roman" w:hAnsi="Verdana" w:cs="Times New Roman"/>
          <w:color w:val="000000"/>
          <w:sz w:val="18"/>
          <w:szCs w:val="18"/>
        </w:rPr>
        <w:t>Translational Science, Biomedical</w:t>
      </w:r>
    </w:p>
    <w:p w14:paraId="4682C246" w14:textId="0CEC302D" w:rsidR="00D31C71" w:rsidRDefault="00D31C71" w:rsidP="00D31C71">
      <w:pPr>
        <w:shd w:val="clear" w:color="auto" w:fill="FFFFFF"/>
        <w:spacing w:before="48" w:after="120" w:line="240" w:lineRule="auto"/>
        <w:rPr>
          <w:rFonts w:ascii="Verdana" w:eastAsia="Times New Roman" w:hAnsi="Verdana" w:cs="Times New Roman"/>
          <w:color w:val="000000"/>
          <w:sz w:val="18"/>
          <w:szCs w:val="18"/>
        </w:rPr>
      </w:pPr>
    </w:p>
    <w:p w14:paraId="7A3C24B9" w14:textId="77777777" w:rsidR="00D31C71" w:rsidRPr="00D31C71" w:rsidRDefault="00D31C71" w:rsidP="00D31C71">
      <w:pPr>
        <w:shd w:val="clear" w:color="auto" w:fill="FFFFFF"/>
        <w:spacing w:before="150" w:after="0" w:line="240" w:lineRule="auto"/>
        <w:textAlignment w:val="baseline"/>
        <w:rPr>
          <w:rFonts w:ascii="Verdana" w:eastAsia="Times New Roman" w:hAnsi="Verdana" w:cs="Times New Roman"/>
          <w:color w:val="000000"/>
          <w:sz w:val="18"/>
          <w:szCs w:val="18"/>
        </w:rPr>
      </w:pPr>
      <w:r w:rsidRPr="00D31C71">
        <w:rPr>
          <w:rFonts w:ascii="Verdana" w:eastAsia="Times New Roman" w:hAnsi="Verdana" w:cs="Times New Roman"/>
          <w:color w:val="000000"/>
          <w:sz w:val="18"/>
          <w:szCs w:val="18"/>
        </w:rPr>
        <w:t>Anthropology, Education, Sociology, and Social Phenomena [I]</w:t>
      </w:r>
    </w:p>
    <w:p w14:paraId="7059C5C4" w14:textId="77777777" w:rsidR="00D31C71" w:rsidRPr="00D31C71" w:rsidRDefault="00D31C71" w:rsidP="00530EAC">
      <w:pPr>
        <w:numPr>
          <w:ilvl w:val="0"/>
          <w:numId w:val="6"/>
        </w:numPr>
        <w:shd w:val="clear" w:color="auto" w:fill="FFFFFF"/>
        <w:spacing w:before="48" w:after="120" w:line="240" w:lineRule="auto"/>
        <w:ind w:left="1245"/>
        <w:rPr>
          <w:rFonts w:ascii="Verdana" w:eastAsia="Times New Roman" w:hAnsi="Verdana" w:cs="Times New Roman"/>
          <w:color w:val="000000"/>
          <w:sz w:val="18"/>
          <w:szCs w:val="18"/>
        </w:rPr>
      </w:pPr>
      <w:r w:rsidRPr="00D31C71">
        <w:rPr>
          <w:rFonts w:ascii="Verdana" w:eastAsia="Times New Roman" w:hAnsi="Verdana" w:cs="Times New Roman"/>
          <w:color w:val="000000"/>
          <w:sz w:val="18"/>
          <w:szCs w:val="18"/>
        </w:rPr>
        <w:t>Child Poverty</w:t>
      </w:r>
    </w:p>
    <w:p w14:paraId="3F04D415" w14:textId="77777777" w:rsidR="00D31C71" w:rsidRPr="00D31C71" w:rsidRDefault="00D31C71" w:rsidP="00530EAC">
      <w:pPr>
        <w:numPr>
          <w:ilvl w:val="0"/>
          <w:numId w:val="6"/>
        </w:numPr>
        <w:shd w:val="clear" w:color="auto" w:fill="FFFFFF"/>
        <w:spacing w:before="48" w:after="120" w:line="240" w:lineRule="auto"/>
        <w:ind w:left="1245"/>
        <w:rPr>
          <w:rFonts w:ascii="Verdana" w:eastAsia="Times New Roman" w:hAnsi="Verdana" w:cs="Times New Roman"/>
          <w:color w:val="000000"/>
          <w:sz w:val="18"/>
          <w:szCs w:val="18"/>
        </w:rPr>
      </w:pPr>
      <w:r w:rsidRPr="00D31C71">
        <w:rPr>
          <w:rFonts w:ascii="Verdana" w:eastAsia="Times New Roman" w:hAnsi="Verdana" w:cs="Times New Roman"/>
          <w:color w:val="000000"/>
          <w:sz w:val="18"/>
          <w:szCs w:val="18"/>
        </w:rPr>
        <w:t>Community Resources</w:t>
      </w:r>
    </w:p>
    <w:p w14:paraId="3749086A" w14:textId="77777777" w:rsidR="00D31C71" w:rsidRPr="00D31C71" w:rsidRDefault="00D31C71" w:rsidP="00530EAC">
      <w:pPr>
        <w:numPr>
          <w:ilvl w:val="0"/>
          <w:numId w:val="6"/>
        </w:numPr>
        <w:shd w:val="clear" w:color="auto" w:fill="FFFFFF"/>
        <w:spacing w:before="48" w:after="120" w:line="240" w:lineRule="auto"/>
        <w:ind w:left="1245"/>
        <w:rPr>
          <w:rFonts w:ascii="Verdana" w:eastAsia="Times New Roman" w:hAnsi="Verdana" w:cs="Times New Roman"/>
          <w:color w:val="000000"/>
          <w:sz w:val="18"/>
          <w:szCs w:val="18"/>
        </w:rPr>
      </w:pPr>
      <w:r w:rsidRPr="00D31C71">
        <w:rPr>
          <w:rFonts w:ascii="Verdana" w:eastAsia="Times New Roman" w:hAnsi="Verdana" w:cs="Times New Roman"/>
          <w:color w:val="000000"/>
          <w:sz w:val="18"/>
          <w:szCs w:val="18"/>
        </w:rPr>
        <w:t>Environmental Justice</w:t>
      </w:r>
    </w:p>
    <w:p w14:paraId="07D49BBC" w14:textId="77777777" w:rsidR="00D31C71" w:rsidRPr="00D31C71" w:rsidRDefault="00D31C71" w:rsidP="00530EAC">
      <w:pPr>
        <w:numPr>
          <w:ilvl w:val="0"/>
          <w:numId w:val="6"/>
        </w:numPr>
        <w:shd w:val="clear" w:color="auto" w:fill="FFFFFF"/>
        <w:spacing w:before="48" w:after="120" w:line="240" w:lineRule="auto"/>
        <w:ind w:left="1245"/>
        <w:rPr>
          <w:rFonts w:ascii="Verdana" w:eastAsia="Times New Roman" w:hAnsi="Verdana" w:cs="Times New Roman"/>
          <w:color w:val="000000"/>
          <w:sz w:val="18"/>
          <w:szCs w:val="18"/>
        </w:rPr>
      </w:pPr>
      <w:r w:rsidRPr="00D31C71">
        <w:rPr>
          <w:rFonts w:ascii="Verdana" w:eastAsia="Times New Roman" w:hAnsi="Verdana" w:cs="Times New Roman"/>
          <w:color w:val="000000"/>
          <w:sz w:val="18"/>
          <w:szCs w:val="18"/>
        </w:rPr>
        <w:t>Ethnic and Racial Minorities</w:t>
      </w:r>
    </w:p>
    <w:p w14:paraId="02672AE1" w14:textId="77777777" w:rsidR="00D31C71" w:rsidRPr="00D31C71" w:rsidRDefault="00D31C71" w:rsidP="00530EAC">
      <w:pPr>
        <w:numPr>
          <w:ilvl w:val="0"/>
          <w:numId w:val="6"/>
        </w:numPr>
        <w:shd w:val="clear" w:color="auto" w:fill="FFFFFF"/>
        <w:spacing w:before="48" w:after="120" w:line="240" w:lineRule="auto"/>
        <w:ind w:left="1245"/>
        <w:rPr>
          <w:rFonts w:ascii="Verdana" w:eastAsia="Times New Roman" w:hAnsi="Verdana" w:cs="Times New Roman"/>
          <w:color w:val="000000"/>
          <w:sz w:val="18"/>
          <w:szCs w:val="18"/>
        </w:rPr>
      </w:pPr>
      <w:r w:rsidRPr="00D31C71">
        <w:rPr>
          <w:rFonts w:ascii="Verdana" w:eastAsia="Times New Roman" w:hAnsi="Verdana" w:cs="Times New Roman"/>
          <w:color w:val="000000"/>
          <w:sz w:val="18"/>
          <w:szCs w:val="18"/>
        </w:rPr>
        <w:t>Health Inequities</w:t>
      </w:r>
    </w:p>
    <w:p w14:paraId="4AE4BA53" w14:textId="77777777" w:rsidR="00D31C71" w:rsidRPr="00D31C71" w:rsidRDefault="00D31C71" w:rsidP="00530EAC">
      <w:pPr>
        <w:numPr>
          <w:ilvl w:val="0"/>
          <w:numId w:val="6"/>
        </w:numPr>
        <w:shd w:val="clear" w:color="auto" w:fill="FFFFFF"/>
        <w:spacing w:before="48" w:after="120" w:line="240" w:lineRule="auto"/>
        <w:ind w:left="1245"/>
        <w:rPr>
          <w:rFonts w:ascii="Verdana" w:eastAsia="Times New Roman" w:hAnsi="Verdana" w:cs="Times New Roman"/>
          <w:color w:val="000000"/>
          <w:sz w:val="18"/>
          <w:szCs w:val="18"/>
        </w:rPr>
      </w:pPr>
      <w:r w:rsidRPr="00D31C71">
        <w:rPr>
          <w:rFonts w:ascii="Verdana" w:eastAsia="Times New Roman" w:hAnsi="Verdana" w:cs="Times New Roman"/>
          <w:color w:val="000000"/>
          <w:sz w:val="18"/>
          <w:szCs w:val="18"/>
        </w:rPr>
        <w:t>Home Environment</w:t>
      </w:r>
    </w:p>
    <w:p w14:paraId="43CCF206" w14:textId="77777777" w:rsidR="00D31C71" w:rsidRPr="00D31C71" w:rsidRDefault="00D31C71" w:rsidP="00530EAC">
      <w:pPr>
        <w:numPr>
          <w:ilvl w:val="0"/>
          <w:numId w:val="6"/>
        </w:numPr>
        <w:shd w:val="clear" w:color="auto" w:fill="FFFFFF"/>
        <w:spacing w:before="48" w:after="120" w:line="240" w:lineRule="auto"/>
        <w:ind w:left="1245"/>
        <w:rPr>
          <w:rFonts w:ascii="Verdana" w:eastAsia="Times New Roman" w:hAnsi="Verdana" w:cs="Times New Roman"/>
          <w:color w:val="000000"/>
          <w:sz w:val="18"/>
          <w:szCs w:val="18"/>
        </w:rPr>
      </w:pPr>
      <w:r w:rsidRPr="00D31C71">
        <w:rPr>
          <w:rFonts w:ascii="Verdana" w:eastAsia="Times New Roman" w:hAnsi="Verdana" w:cs="Times New Roman"/>
          <w:color w:val="000000"/>
          <w:sz w:val="18"/>
          <w:szCs w:val="18"/>
        </w:rPr>
        <w:t>Hunting – new class number created: QT 260.5.H9</w:t>
      </w:r>
    </w:p>
    <w:p w14:paraId="286DA1EE" w14:textId="77777777" w:rsidR="00D31C71" w:rsidRPr="00D31C71" w:rsidRDefault="00D31C71" w:rsidP="00530EAC">
      <w:pPr>
        <w:numPr>
          <w:ilvl w:val="0"/>
          <w:numId w:val="6"/>
        </w:numPr>
        <w:shd w:val="clear" w:color="auto" w:fill="FFFFFF"/>
        <w:spacing w:before="48" w:after="120" w:line="240" w:lineRule="auto"/>
        <w:ind w:left="1245"/>
        <w:rPr>
          <w:rFonts w:ascii="Verdana" w:eastAsia="Times New Roman" w:hAnsi="Verdana" w:cs="Times New Roman"/>
          <w:color w:val="000000"/>
          <w:sz w:val="18"/>
          <w:szCs w:val="18"/>
        </w:rPr>
      </w:pPr>
      <w:r w:rsidRPr="00D31C71">
        <w:rPr>
          <w:rFonts w:ascii="Verdana" w:eastAsia="Times New Roman" w:hAnsi="Verdana" w:cs="Times New Roman"/>
          <w:color w:val="000000"/>
          <w:sz w:val="18"/>
          <w:szCs w:val="18"/>
        </w:rPr>
        <w:t>Rugby – new class number created: QT 260.5.R7</w:t>
      </w:r>
    </w:p>
    <w:p w14:paraId="10E9E175" w14:textId="77777777" w:rsidR="00D31C71" w:rsidRPr="00D31C71" w:rsidRDefault="00D31C71" w:rsidP="00530EAC">
      <w:pPr>
        <w:numPr>
          <w:ilvl w:val="0"/>
          <w:numId w:val="6"/>
        </w:numPr>
        <w:shd w:val="clear" w:color="auto" w:fill="FFFFFF"/>
        <w:spacing w:before="48" w:after="120" w:line="240" w:lineRule="auto"/>
        <w:ind w:left="1245"/>
        <w:rPr>
          <w:rFonts w:ascii="Verdana" w:eastAsia="Times New Roman" w:hAnsi="Verdana" w:cs="Times New Roman"/>
          <w:color w:val="000000"/>
          <w:sz w:val="18"/>
          <w:szCs w:val="18"/>
        </w:rPr>
      </w:pPr>
      <w:r w:rsidRPr="00D31C71">
        <w:rPr>
          <w:rFonts w:ascii="Verdana" w:eastAsia="Times New Roman" w:hAnsi="Verdana" w:cs="Times New Roman"/>
          <w:color w:val="000000"/>
          <w:sz w:val="18"/>
          <w:szCs w:val="18"/>
        </w:rPr>
        <w:t>Social Structure</w:t>
      </w:r>
    </w:p>
    <w:p w14:paraId="259EAD8E" w14:textId="3BA28C99" w:rsidR="00014B19" w:rsidRDefault="00014B19">
      <w:pPr>
        <w:rPr>
          <w:rFonts w:ascii="Verdana" w:eastAsia="Times New Roman" w:hAnsi="Verdana" w:cs="Times New Roman"/>
          <w:color w:val="000000"/>
          <w:sz w:val="18"/>
          <w:szCs w:val="18"/>
        </w:rPr>
      </w:pPr>
      <w:r>
        <w:rPr>
          <w:rFonts w:ascii="Verdana" w:hAnsi="Verdana"/>
          <w:color w:val="000000"/>
          <w:sz w:val="18"/>
          <w:szCs w:val="18"/>
        </w:rPr>
        <w:br w:type="page"/>
      </w:r>
    </w:p>
    <w:p w14:paraId="65F8ACA3" w14:textId="77777777" w:rsidR="00243CF2" w:rsidRDefault="00243CF2" w:rsidP="00B001B9">
      <w:pPr>
        <w:pStyle w:val="NormalWeb"/>
        <w:shd w:val="clear" w:color="auto" w:fill="FFFFFF"/>
        <w:spacing w:before="0" w:beforeAutospacing="0" w:after="0" w:afterAutospacing="0"/>
        <w:textAlignment w:val="baseline"/>
        <w:rPr>
          <w:rFonts w:ascii="Verdana" w:hAnsi="Verdana"/>
          <w:color w:val="000000"/>
          <w:sz w:val="18"/>
          <w:szCs w:val="18"/>
        </w:rPr>
      </w:pPr>
    </w:p>
    <w:p w14:paraId="1DD5F477" w14:textId="77777777" w:rsidR="00792279" w:rsidRPr="00792279" w:rsidRDefault="00792279" w:rsidP="00792279">
      <w:pPr>
        <w:pStyle w:val="Heading3"/>
        <w:rPr>
          <w:sz w:val="22"/>
          <w:szCs w:val="22"/>
        </w:rPr>
      </w:pPr>
      <w:r w:rsidRPr="00792279">
        <w:rPr>
          <w:sz w:val="22"/>
          <w:szCs w:val="22"/>
        </w:rPr>
        <w:t>Main Index Headings Changes Based on MeSH 2022</w:t>
      </w:r>
    </w:p>
    <w:p w14:paraId="34103600" w14:textId="77777777" w:rsidR="00792279" w:rsidRDefault="00792279" w:rsidP="00792279">
      <w:pPr>
        <w:pStyle w:val="NormalWeb"/>
        <w:shd w:val="clear" w:color="auto" w:fill="FFFFFF"/>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Of the 22 MeSH headings that were changed only 13 affected the </w:t>
      </w:r>
      <w:r>
        <w:rPr>
          <w:rStyle w:val="Emphasis"/>
          <w:rFonts w:ascii="Verdana" w:hAnsi="Verdana"/>
          <w:color w:val="000000"/>
          <w:sz w:val="18"/>
          <w:szCs w:val="18"/>
          <w:bdr w:val="none" w:sz="0" w:space="0" w:color="auto" w:frame="1"/>
        </w:rPr>
        <w:t>NLM Classification</w:t>
      </w:r>
      <w:r>
        <w:rPr>
          <w:rFonts w:ascii="Verdana" w:hAnsi="Verdana"/>
          <w:color w:val="000000"/>
          <w:sz w:val="18"/>
          <w:szCs w:val="18"/>
        </w:rPr>
        <w:t>.</w:t>
      </w:r>
    </w:p>
    <w:tbl>
      <w:tblPr>
        <w:tblW w:w="4281" w:type="pct"/>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3775"/>
        <w:gridCol w:w="4230"/>
      </w:tblGrid>
      <w:tr w:rsidR="00792279" w14:paraId="6B915C5A" w14:textId="77777777" w:rsidTr="00B02F38">
        <w:trPr>
          <w:tblCellSpacing w:w="15" w:type="dxa"/>
        </w:trPr>
        <w:tc>
          <w:tcPr>
            <w:tcW w:w="2330" w:type="pct"/>
            <w:shd w:val="clear" w:color="auto" w:fill="FFFFFF"/>
            <w:vAlign w:val="center"/>
            <w:hideMark/>
          </w:tcPr>
          <w:p w14:paraId="6CF45D63" w14:textId="77777777" w:rsidR="00792279" w:rsidRDefault="00792279">
            <w:pPr>
              <w:pStyle w:val="NormalWeb"/>
              <w:spacing w:before="0" w:beforeAutospacing="0" w:after="0" w:afterAutospacing="0"/>
              <w:textAlignment w:val="baseline"/>
              <w:rPr>
                <w:rFonts w:ascii="Verdana" w:hAnsi="Verdana"/>
                <w:color w:val="000000"/>
                <w:sz w:val="18"/>
                <w:szCs w:val="18"/>
              </w:rPr>
            </w:pPr>
            <w:r>
              <w:rPr>
                <w:rStyle w:val="Strong"/>
                <w:rFonts w:ascii="Verdana" w:hAnsi="Verdana"/>
                <w:color w:val="000000"/>
                <w:sz w:val="18"/>
                <w:szCs w:val="18"/>
                <w:bdr w:val="none" w:sz="0" w:space="0" w:color="auto" w:frame="1"/>
              </w:rPr>
              <w:t>2021 MESH</w:t>
            </w:r>
          </w:p>
        </w:tc>
        <w:tc>
          <w:tcPr>
            <w:tcW w:w="2614" w:type="pct"/>
            <w:shd w:val="clear" w:color="auto" w:fill="FFFFFF"/>
            <w:vAlign w:val="center"/>
            <w:hideMark/>
          </w:tcPr>
          <w:p w14:paraId="75AF926D" w14:textId="77777777" w:rsidR="00792279" w:rsidRDefault="00792279">
            <w:pPr>
              <w:pStyle w:val="NormalWeb"/>
              <w:spacing w:before="0" w:beforeAutospacing="0" w:after="0" w:afterAutospacing="0"/>
              <w:textAlignment w:val="baseline"/>
              <w:rPr>
                <w:rFonts w:ascii="Verdana" w:hAnsi="Verdana"/>
                <w:color w:val="000000"/>
                <w:sz w:val="18"/>
                <w:szCs w:val="18"/>
              </w:rPr>
            </w:pPr>
            <w:r>
              <w:rPr>
                <w:rStyle w:val="Strong"/>
                <w:rFonts w:ascii="Verdana" w:hAnsi="Verdana"/>
                <w:color w:val="000000"/>
                <w:sz w:val="18"/>
                <w:szCs w:val="18"/>
                <w:bdr w:val="none" w:sz="0" w:space="0" w:color="auto" w:frame="1"/>
              </w:rPr>
              <w:t>2022 MESH</w:t>
            </w:r>
          </w:p>
        </w:tc>
      </w:tr>
      <w:tr w:rsidR="00792279" w14:paraId="6B662309" w14:textId="77777777" w:rsidTr="00B02F38">
        <w:trPr>
          <w:tblCellSpacing w:w="15" w:type="dxa"/>
        </w:trPr>
        <w:tc>
          <w:tcPr>
            <w:tcW w:w="2330" w:type="pct"/>
            <w:shd w:val="clear" w:color="auto" w:fill="FFFFFF"/>
            <w:vAlign w:val="center"/>
            <w:hideMark/>
          </w:tcPr>
          <w:p w14:paraId="4290D32B" w14:textId="77777777" w:rsidR="00792279" w:rsidRDefault="00792279" w:rsidP="00823E91">
            <w:pPr>
              <w:pStyle w:val="NoSpacing"/>
            </w:pPr>
            <w:r>
              <w:t>African Continental Ancestry Group</w:t>
            </w:r>
          </w:p>
        </w:tc>
        <w:tc>
          <w:tcPr>
            <w:tcW w:w="2614" w:type="pct"/>
            <w:shd w:val="clear" w:color="auto" w:fill="FFFFFF"/>
            <w:vAlign w:val="center"/>
            <w:hideMark/>
          </w:tcPr>
          <w:p w14:paraId="4901F6CE" w14:textId="77777777" w:rsidR="00792279" w:rsidRDefault="00792279" w:rsidP="00823E91">
            <w:pPr>
              <w:pStyle w:val="NoSpacing"/>
            </w:pPr>
            <w:r>
              <w:t>Blacks</w:t>
            </w:r>
          </w:p>
        </w:tc>
      </w:tr>
      <w:tr w:rsidR="00792279" w14:paraId="1DAC664F" w14:textId="77777777" w:rsidTr="00B02F38">
        <w:trPr>
          <w:tblCellSpacing w:w="15" w:type="dxa"/>
        </w:trPr>
        <w:tc>
          <w:tcPr>
            <w:tcW w:w="2330" w:type="pct"/>
            <w:shd w:val="clear" w:color="auto" w:fill="FFFFFF"/>
            <w:vAlign w:val="center"/>
            <w:hideMark/>
          </w:tcPr>
          <w:p w14:paraId="485B072E" w14:textId="77777777" w:rsidR="00792279" w:rsidRDefault="00792279" w:rsidP="00823E91">
            <w:pPr>
              <w:pStyle w:val="NoSpacing"/>
            </w:pPr>
            <w:r>
              <w:t>Asian Continental Ancestry Group </w:t>
            </w:r>
          </w:p>
        </w:tc>
        <w:tc>
          <w:tcPr>
            <w:tcW w:w="2614" w:type="pct"/>
            <w:shd w:val="clear" w:color="auto" w:fill="FFFFFF"/>
            <w:vAlign w:val="center"/>
            <w:hideMark/>
          </w:tcPr>
          <w:p w14:paraId="672F53BD" w14:textId="77777777" w:rsidR="00792279" w:rsidRDefault="00792279" w:rsidP="00823E91">
            <w:pPr>
              <w:pStyle w:val="NoSpacing"/>
            </w:pPr>
            <w:r>
              <w:t>Asians</w:t>
            </w:r>
          </w:p>
        </w:tc>
      </w:tr>
      <w:tr w:rsidR="00792279" w14:paraId="1A197FFF" w14:textId="77777777" w:rsidTr="00B02F38">
        <w:trPr>
          <w:tblCellSpacing w:w="15" w:type="dxa"/>
        </w:trPr>
        <w:tc>
          <w:tcPr>
            <w:tcW w:w="2330" w:type="pct"/>
            <w:shd w:val="clear" w:color="auto" w:fill="FFFFFF"/>
            <w:vAlign w:val="center"/>
            <w:hideMark/>
          </w:tcPr>
          <w:p w14:paraId="79DDA6B5" w14:textId="77777777" w:rsidR="00792279" w:rsidRDefault="00792279" w:rsidP="00823E91">
            <w:pPr>
              <w:pStyle w:val="NoSpacing"/>
            </w:pPr>
            <w:r>
              <w:t>Cingulata</w:t>
            </w:r>
          </w:p>
        </w:tc>
        <w:tc>
          <w:tcPr>
            <w:tcW w:w="2614" w:type="pct"/>
            <w:shd w:val="clear" w:color="auto" w:fill="FFFFFF"/>
            <w:vAlign w:val="center"/>
            <w:hideMark/>
          </w:tcPr>
          <w:p w14:paraId="47516EEE" w14:textId="77777777" w:rsidR="00792279" w:rsidRDefault="00792279" w:rsidP="00823E91">
            <w:pPr>
              <w:pStyle w:val="NoSpacing"/>
            </w:pPr>
            <w:r>
              <w:t>Xenarthra</w:t>
            </w:r>
          </w:p>
        </w:tc>
      </w:tr>
      <w:tr w:rsidR="00792279" w14:paraId="24579684" w14:textId="77777777" w:rsidTr="00B02F38">
        <w:trPr>
          <w:tblCellSpacing w:w="15" w:type="dxa"/>
        </w:trPr>
        <w:tc>
          <w:tcPr>
            <w:tcW w:w="2330" w:type="pct"/>
            <w:shd w:val="clear" w:color="auto" w:fill="FFFFFF"/>
            <w:vAlign w:val="center"/>
            <w:hideMark/>
          </w:tcPr>
          <w:p w14:paraId="5F5023D0" w14:textId="77777777" w:rsidR="00792279" w:rsidRDefault="00792279" w:rsidP="00823E91">
            <w:pPr>
              <w:pStyle w:val="NoSpacing"/>
            </w:pPr>
            <w:r>
              <w:t>Continental Population Groups</w:t>
            </w:r>
          </w:p>
        </w:tc>
        <w:tc>
          <w:tcPr>
            <w:tcW w:w="2614" w:type="pct"/>
            <w:shd w:val="clear" w:color="auto" w:fill="FFFFFF"/>
            <w:vAlign w:val="center"/>
            <w:hideMark/>
          </w:tcPr>
          <w:p w14:paraId="207ADC06" w14:textId="77777777" w:rsidR="00792279" w:rsidRDefault="00792279" w:rsidP="00823E91">
            <w:pPr>
              <w:pStyle w:val="NoSpacing"/>
            </w:pPr>
            <w:r>
              <w:t>Racial Groups</w:t>
            </w:r>
          </w:p>
        </w:tc>
      </w:tr>
      <w:tr w:rsidR="00792279" w14:paraId="5BD89581" w14:textId="77777777" w:rsidTr="00B02F38">
        <w:trPr>
          <w:tblCellSpacing w:w="15" w:type="dxa"/>
        </w:trPr>
        <w:tc>
          <w:tcPr>
            <w:tcW w:w="2330" w:type="pct"/>
            <w:shd w:val="clear" w:color="auto" w:fill="FFFFFF"/>
            <w:vAlign w:val="center"/>
            <w:hideMark/>
          </w:tcPr>
          <w:p w14:paraId="4F36129B" w14:textId="77777777" w:rsidR="00792279" w:rsidRDefault="00792279" w:rsidP="00823E91">
            <w:pPr>
              <w:pStyle w:val="NoSpacing"/>
            </w:pPr>
            <w:r>
              <w:t>Dental Models </w:t>
            </w:r>
          </w:p>
        </w:tc>
        <w:tc>
          <w:tcPr>
            <w:tcW w:w="2614" w:type="pct"/>
            <w:shd w:val="clear" w:color="auto" w:fill="FFFFFF"/>
            <w:vAlign w:val="center"/>
            <w:hideMark/>
          </w:tcPr>
          <w:p w14:paraId="6874972D" w14:textId="77777777" w:rsidR="00792279" w:rsidRDefault="00792279" w:rsidP="00823E91">
            <w:pPr>
              <w:pStyle w:val="NoSpacing"/>
            </w:pPr>
            <w:r>
              <w:t>Models, Dental</w:t>
            </w:r>
          </w:p>
        </w:tc>
      </w:tr>
      <w:tr w:rsidR="00792279" w14:paraId="527C7867" w14:textId="77777777" w:rsidTr="00B02F38">
        <w:trPr>
          <w:tblCellSpacing w:w="15" w:type="dxa"/>
        </w:trPr>
        <w:tc>
          <w:tcPr>
            <w:tcW w:w="2330" w:type="pct"/>
            <w:shd w:val="clear" w:color="auto" w:fill="FFFFFF"/>
            <w:vAlign w:val="center"/>
            <w:hideMark/>
          </w:tcPr>
          <w:p w14:paraId="1EEC4EE1" w14:textId="77777777" w:rsidR="00792279" w:rsidRDefault="00792279" w:rsidP="00823E91">
            <w:pPr>
              <w:pStyle w:val="NoSpacing"/>
            </w:pPr>
            <w:r>
              <w:t>*Ethnic Groups</w:t>
            </w:r>
          </w:p>
        </w:tc>
        <w:tc>
          <w:tcPr>
            <w:tcW w:w="2614" w:type="pct"/>
            <w:shd w:val="clear" w:color="auto" w:fill="FFFFFF"/>
            <w:vAlign w:val="center"/>
            <w:hideMark/>
          </w:tcPr>
          <w:p w14:paraId="6A9ADF7C" w14:textId="77777777" w:rsidR="00792279" w:rsidRDefault="00792279" w:rsidP="00823E91">
            <w:pPr>
              <w:pStyle w:val="NoSpacing"/>
            </w:pPr>
            <w:r>
              <w:t>Ethnicity</w:t>
            </w:r>
          </w:p>
        </w:tc>
      </w:tr>
      <w:tr w:rsidR="00792279" w14:paraId="4C9D0EAD" w14:textId="77777777" w:rsidTr="00B02F38">
        <w:trPr>
          <w:tblCellSpacing w:w="15" w:type="dxa"/>
        </w:trPr>
        <w:tc>
          <w:tcPr>
            <w:tcW w:w="2330" w:type="pct"/>
            <w:shd w:val="clear" w:color="auto" w:fill="FFFFFF"/>
            <w:vAlign w:val="center"/>
            <w:hideMark/>
          </w:tcPr>
          <w:p w14:paraId="0C23F7E4" w14:textId="77777777" w:rsidR="00792279" w:rsidRDefault="00792279" w:rsidP="00823E91">
            <w:pPr>
              <w:pStyle w:val="NoSpacing"/>
            </w:pPr>
            <w:r>
              <w:t>European Continental Ancestry Group</w:t>
            </w:r>
          </w:p>
        </w:tc>
        <w:tc>
          <w:tcPr>
            <w:tcW w:w="2614" w:type="pct"/>
            <w:shd w:val="clear" w:color="auto" w:fill="FFFFFF"/>
            <w:vAlign w:val="center"/>
            <w:hideMark/>
          </w:tcPr>
          <w:p w14:paraId="5AE98B97" w14:textId="77777777" w:rsidR="00792279" w:rsidRDefault="00792279" w:rsidP="00823E91">
            <w:pPr>
              <w:pStyle w:val="NoSpacing"/>
            </w:pPr>
            <w:r>
              <w:t>Whites</w:t>
            </w:r>
          </w:p>
        </w:tc>
      </w:tr>
      <w:tr w:rsidR="00792279" w14:paraId="397EE4DA" w14:textId="77777777" w:rsidTr="00B02F38">
        <w:trPr>
          <w:tblCellSpacing w:w="15" w:type="dxa"/>
        </w:trPr>
        <w:tc>
          <w:tcPr>
            <w:tcW w:w="2330" w:type="pct"/>
            <w:shd w:val="clear" w:color="auto" w:fill="FFFFFF"/>
            <w:vAlign w:val="center"/>
            <w:hideMark/>
          </w:tcPr>
          <w:p w14:paraId="4048CF20" w14:textId="77777777" w:rsidR="00792279" w:rsidRDefault="00792279" w:rsidP="00823E91">
            <w:pPr>
              <w:pStyle w:val="NoSpacing"/>
            </w:pPr>
            <w:r>
              <w:t>Fermented Foods and Beverages</w:t>
            </w:r>
          </w:p>
        </w:tc>
        <w:tc>
          <w:tcPr>
            <w:tcW w:w="2614" w:type="pct"/>
            <w:shd w:val="clear" w:color="auto" w:fill="FFFFFF"/>
            <w:vAlign w:val="center"/>
            <w:hideMark/>
          </w:tcPr>
          <w:p w14:paraId="443ED504" w14:textId="77777777" w:rsidR="00792279" w:rsidRDefault="00792279" w:rsidP="00823E91">
            <w:pPr>
              <w:pStyle w:val="NoSpacing"/>
            </w:pPr>
            <w:r>
              <w:t>Fermented Foods</w:t>
            </w:r>
          </w:p>
        </w:tc>
      </w:tr>
      <w:tr w:rsidR="00792279" w14:paraId="623435E0" w14:textId="77777777" w:rsidTr="00B02F38">
        <w:trPr>
          <w:tblCellSpacing w:w="15" w:type="dxa"/>
        </w:trPr>
        <w:tc>
          <w:tcPr>
            <w:tcW w:w="2330" w:type="pct"/>
            <w:shd w:val="clear" w:color="auto" w:fill="FFFFFF"/>
            <w:vAlign w:val="center"/>
            <w:hideMark/>
          </w:tcPr>
          <w:p w14:paraId="541E5656" w14:textId="77777777" w:rsidR="00792279" w:rsidRDefault="00792279" w:rsidP="00823E91">
            <w:pPr>
              <w:pStyle w:val="NoSpacing"/>
            </w:pPr>
            <w:r>
              <w:t>Hispanic Americans </w:t>
            </w:r>
          </w:p>
        </w:tc>
        <w:tc>
          <w:tcPr>
            <w:tcW w:w="2614" w:type="pct"/>
            <w:shd w:val="clear" w:color="auto" w:fill="FFFFFF"/>
            <w:vAlign w:val="center"/>
            <w:hideMark/>
          </w:tcPr>
          <w:p w14:paraId="2AE30499" w14:textId="77777777" w:rsidR="00792279" w:rsidRDefault="00792279" w:rsidP="00823E91">
            <w:pPr>
              <w:pStyle w:val="NoSpacing"/>
            </w:pPr>
            <w:r>
              <w:t>Hispanic or Latino</w:t>
            </w:r>
          </w:p>
        </w:tc>
      </w:tr>
      <w:tr w:rsidR="00792279" w14:paraId="259395B5" w14:textId="77777777" w:rsidTr="00B02F38">
        <w:trPr>
          <w:tblCellSpacing w:w="15" w:type="dxa"/>
        </w:trPr>
        <w:tc>
          <w:tcPr>
            <w:tcW w:w="2330" w:type="pct"/>
            <w:shd w:val="clear" w:color="auto" w:fill="FFFFFF"/>
            <w:vAlign w:val="center"/>
            <w:hideMark/>
          </w:tcPr>
          <w:p w14:paraId="0803B97B" w14:textId="77777777" w:rsidR="00792279" w:rsidRDefault="00792279" w:rsidP="00823E91">
            <w:pPr>
              <w:pStyle w:val="NoSpacing"/>
            </w:pPr>
            <w:r>
              <w:t>Immunosuppression</w:t>
            </w:r>
          </w:p>
        </w:tc>
        <w:tc>
          <w:tcPr>
            <w:tcW w:w="2614" w:type="pct"/>
            <w:shd w:val="clear" w:color="auto" w:fill="FFFFFF"/>
            <w:vAlign w:val="center"/>
            <w:hideMark/>
          </w:tcPr>
          <w:p w14:paraId="11EF54C4" w14:textId="77777777" w:rsidR="00792279" w:rsidRDefault="00792279" w:rsidP="00823E91">
            <w:pPr>
              <w:pStyle w:val="NoSpacing"/>
            </w:pPr>
            <w:r>
              <w:t>Immunosuppression Therapy</w:t>
            </w:r>
          </w:p>
        </w:tc>
      </w:tr>
      <w:tr w:rsidR="00792279" w14:paraId="0E510A5E" w14:textId="77777777" w:rsidTr="00B02F38">
        <w:trPr>
          <w:tblCellSpacing w:w="15" w:type="dxa"/>
        </w:trPr>
        <w:tc>
          <w:tcPr>
            <w:tcW w:w="2330" w:type="pct"/>
            <w:shd w:val="clear" w:color="auto" w:fill="FFFFFF"/>
            <w:vAlign w:val="center"/>
            <w:hideMark/>
          </w:tcPr>
          <w:p w14:paraId="29E30491" w14:textId="6BD0ECAF" w:rsidR="00792279" w:rsidRDefault="00792279" w:rsidP="00823E91">
            <w:pPr>
              <w:pStyle w:val="NoSpacing"/>
            </w:pPr>
            <w:r>
              <w:t>Insectivora</w:t>
            </w:r>
          </w:p>
        </w:tc>
        <w:tc>
          <w:tcPr>
            <w:tcW w:w="2614" w:type="pct"/>
            <w:shd w:val="clear" w:color="auto" w:fill="FFFFFF"/>
            <w:vAlign w:val="center"/>
            <w:hideMark/>
          </w:tcPr>
          <w:p w14:paraId="0532F0EB" w14:textId="77777777" w:rsidR="00792279" w:rsidRDefault="00792279" w:rsidP="00823E91">
            <w:pPr>
              <w:pStyle w:val="NoSpacing"/>
            </w:pPr>
            <w:r>
              <w:t>Eulipotyphla</w:t>
            </w:r>
          </w:p>
        </w:tc>
      </w:tr>
      <w:tr w:rsidR="00792279" w14:paraId="72025D3A" w14:textId="77777777" w:rsidTr="00B02F38">
        <w:trPr>
          <w:tblCellSpacing w:w="15" w:type="dxa"/>
        </w:trPr>
        <w:tc>
          <w:tcPr>
            <w:tcW w:w="2330" w:type="pct"/>
            <w:shd w:val="clear" w:color="auto" w:fill="FFFFFF"/>
            <w:vAlign w:val="center"/>
            <w:hideMark/>
          </w:tcPr>
          <w:p w14:paraId="560764F4" w14:textId="77777777" w:rsidR="00792279" w:rsidRDefault="00792279" w:rsidP="00823E91">
            <w:pPr>
              <w:pStyle w:val="NoSpacing"/>
            </w:pPr>
            <w:r>
              <w:t>Oceanic Ancestry Group</w:t>
            </w:r>
          </w:p>
        </w:tc>
        <w:tc>
          <w:tcPr>
            <w:tcW w:w="2614" w:type="pct"/>
            <w:shd w:val="clear" w:color="auto" w:fill="FFFFFF"/>
            <w:vAlign w:val="center"/>
            <w:hideMark/>
          </w:tcPr>
          <w:p w14:paraId="74B8D64E" w14:textId="77777777" w:rsidR="00792279" w:rsidRDefault="00792279" w:rsidP="00823E91">
            <w:pPr>
              <w:pStyle w:val="NoSpacing"/>
            </w:pPr>
            <w:r>
              <w:t>Native Hawaiian or Other Pacific Islander</w:t>
            </w:r>
          </w:p>
        </w:tc>
      </w:tr>
      <w:tr w:rsidR="00792279" w14:paraId="1079B555" w14:textId="77777777" w:rsidTr="00B02F38">
        <w:trPr>
          <w:tblCellSpacing w:w="15" w:type="dxa"/>
        </w:trPr>
        <w:tc>
          <w:tcPr>
            <w:tcW w:w="2330" w:type="pct"/>
            <w:shd w:val="clear" w:color="auto" w:fill="FFFFFF"/>
            <w:vAlign w:val="center"/>
            <w:hideMark/>
          </w:tcPr>
          <w:p w14:paraId="5FBF73AD" w14:textId="77777777" w:rsidR="00792279" w:rsidRDefault="00792279" w:rsidP="00823E91">
            <w:pPr>
              <w:pStyle w:val="NoSpacing"/>
            </w:pPr>
            <w:r>
              <w:t>Translational Medical Research </w:t>
            </w:r>
          </w:p>
        </w:tc>
        <w:tc>
          <w:tcPr>
            <w:tcW w:w="2614" w:type="pct"/>
            <w:shd w:val="clear" w:color="auto" w:fill="FFFFFF"/>
            <w:vAlign w:val="center"/>
            <w:hideMark/>
          </w:tcPr>
          <w:p w14:paraId="4EC5AC8E" w14:textId="77777777" w:rsidR="00792279" w:rsidRDefault="00792279" w:rsidP="00823E91">
            <w:pPr>
              <w:pStyle w:val="NoSpacing"/>
            </w:pPr>
            <w:r>
              <w:t>Translational Research, Biomedical</w:t>
            </w:r>
          </w:p>
        </w:tc>
      </w:tr>
    </w:tbl>
    <w:p w14:paraId="282E2704" w14:textId="77777777" w:rsidR="00792279" w:rsidRDefault="00792279" w:rsidP="00792279">
      <w:pPr>
        <w:pStyle w:val="NormalWeb"/>
        <w:shd w:val="clear" w:color="auto" w:fill="FFFFFF"/>
        <w:spacing w:before="150" w:beforeAutospacing="0" w:after="0" w:afterAutospacing="0"/>
        <w:textAlignment w:val="baseline"/>
        <w:rPr>
          <w:rFonts w:ascii="Verdana" w:hAnsi="Verdana"/>
          <w:color w:val="000000"/>
          <w:sz w:val="18"/>
          <w:szCs w:val="18"/>
        </w:rPr>
      </w:pPr>
      <w:r>
        <w:rPr>
          <w:rFonts w:ascii="Verdana" w:hAnsi="Verdana"/>
          <w:color w:val="000000"/>
          <w:sz w:val="18"/>
          <w:szCs w:val="18"/>
        </w:rPr>
        <w:t>*Note: Ethnic Groups was deleted from the Classification index rather than changed to Ethnicity.</w:t>
      </w:r>
    </w:p>
    <w:p w14:paraId="1724A1B0" w14:textId="42ED9C97" w:rsidR="00B001B9" w:rsidRDefault="00B001B9" w:rsidP="00B001B9"/>
    <w:p w14:paraId="2D9C03EC" w14:textId="77777777" w:rsidR="0006417E" w:rsidRPr="0006417E" w:rsidRDefault="0006417E" w:rsidP="0006417E">
      <w:pPr>
        <w:pStyle w:val="Heading3"/>
        <w:rPr>
          <w:sz w:val="22"/>
          <w:szCs w:val="22"/>
        </w:rPr>
      </w:pPr>
      <w:r w:rsidRPr="0006417E">
        <w:rPr>
          <w:sz w:val="22"/>
          <w:szCs w:val="22"/>
        </w:rPr>
        <w:t>List of All Class Numbers Canceled for the 2022 Winter Edition</w:t>
      </w:r>
    </w:p>
    <w:tbl>
      <w:tblPr>
        <w:tblW w:w="5000" w:type="pct"/>
        <w:tblCellSpacing w:w="15" w:type="dxa"/>
        <w:shd w:val="clear" w:color="auto" w:fill="FFFFFF"/>
        <w:tblCellMar>
          <w:left w:w="0" w:type="dxa"/>
          <w:right w:w="0" w:type="dxa"/>
        </w:tblCellMar>
        <w:tblLook w:val="04A0" w:firstRow="1" w:lastRow="0" w:firstColumn="1" w:lastColumn="0" w:noHBand="0" w:noVBand="1"/>
      </w:tblPr>
      <w:tblGrid>
        <w:gridCol w:w="2012"/>
        <w:gridCol w:w="7348"/>
      </w:tblGrid>
      <w:tr w:rsidR="0006417E" w14:paraId="4392BC09" w14:textId="77777777" w:rsidTr="0006417E">
        <w:trPr>
          <w:tblCellSpacing w:w="15" w:type="dxa"/>
        </w:trPr>
        <w:tc>
          <w:tcPr>
            <w:tcW w:w="1050" w:type="pct"/>
            <w:tcBorders>
              <w:top w:val="nil"/>
              <w:left w:val="nil"/>
              <w:bottom w:val="nil"/>
              <w:right w:val="nil"/>
            </w:tcBorders>
            <w:shd w:val="clear" w:color="auto" w:fill="FFFFFF"/>
            <w:vAlign w:val="center"/>
            <w:hideMark/>
          </w:tcPr>
          <w:p w14:paraId="554F3EFD" w14:textId="77777777" w:rsidR="0006417E" w:rsidRDefault="0006417E">
            <w:pPr>
              <w:pStyle w:val="NormalWeb"/>
              <w:spacing w:before="0" w:beforeAutospacing="0" w:after="0" w:afterAutospacing="0"/>
              <w:textAlignment w:val="baseline"/>
              <w:rPr>
                <w:rFonts w:ascii="Verdana" w:hAnsi="Verdana"/>
                <w:color w:val="000000"/>
                <w:sz w:val="18"/>
                <w:szCs w:val="18"/>
              </w:rPr>
            </w:pPr>
            <w:r>
              <w:rPr>
                <w:rStyle w:val="Strong"/>
                <w:rFonts w:ascii="Verdana" w:hAnsi="Verdana"/>
                <w:color w:val="000000"/>
                <w:sz w:val="18"/>
                <w:szCs w:val="18"/>
                <w:bdr w:val="none" w:sz="0" w:space="0" w:color="auto" w:frame="1"/>
              </w:rPr>
              <w:t>Canceled Number</w:t>
            </w:r>
          </w:p>
        </w:tc>
        <w:tc>
          <w:tcPr>
            <w:tcW w:w="3900" w:type="pct"/>
            <w:tcBorders>
              <w:top w:val="nil"/>
              <w:left w:val="nil"/>
              <w:bottom w:val="nil"/>
              <w:right w:val="nil"/>
            </w:tcBorders>
            <w:shd w:val="clear" w:color="auto" w:fill="FFFFFF"/>
            <w:vAlign w:val="center"/>
            <w:hideMark/>
          </w:tcPr>
          <w:p w14:paraId="5C3049F9" w14:textId="77777777" w:rsidR="0006417E" w:rsidRDefault="0006417E">
            <w:pPr>
              <w:pStyle w:val="NormalWeb"/>
              <w:spacing w:before="0" w:beforeAutospacing="0" w:after="0" w:afterAutospacing="0"/>
              <w:textAlignment w:val="baseline"/>
              <w:rPr>
                <w:rFonts w:ascii="Verdana" w:hAnsi="Verdana"/>
                <w:color w:val="000000"/>
                <w:sz w:val="18"/>
                <w:szCs w:val="18"/>
              </w:rPr>
            </w:pPr>
            <w:r>
              <w:rPr>
                <w:rStyle w:val="Strong"/>
                <w:rFonts w:ascii="Verdana" w:hAnsi="Verdana"/>
                <w:color w:val="000000"/>
                <w:sz w:val="18"/>
                <w:szCs w:val="18"/>
                <w:bdr w:val="none" w:sz="0" w:space="0" w:color="auto" w:frame="1"/>
              </w:rPr>
              <w:t>Class Name</w:t>
            </w:r>
          </w:p>
        </w:tc>
      </w:tr>
      <w:tr w:rsidR="0006417E" w14:paraId="7D4F4AA0" w14:textId="77777777" w:rsidTr="0006417E">
        <w:trPr>
          <w:tblCellSpacing w:w="15" w:type="dxa"/>
        </w:trPr>
        <w:tc>
          <w:tcPr>
            <w:tcW w:w="1050" w:type="pct"/>
            <w:tcBorders>
              <w:top w:val="nil"/>
              <w:left w:val="nil"/>
              <w:bottom w:val="nil"/>
              <w:right w:val="nil"/>
            </w:tcBorders>
            <w:shd w:val="clear" w:color="auto" w:fill="FFFFFF"/>
            <w:vAlign w:val="center"/>
            <w:hideMark/>
          </w:tcPr>
          <w:p w14:paraId="6F44724B" w14:textId="77777777" w:rsidR="0006417E" w:rsidRDefault="0006417E">
            <w:pPr>
              <w:pStyle w:val="NormalWeb"/>
              <w:spacing w:before="150" w:beforeAutospacing="0" w:after="0" w:afterAutospacing="0"/>
              <w:textAlignment w:val="baseline"/>
              <w:rPr>
                <w:rFonts w:ascii="Verdana" w:hAnsi="Verdana"/>
                <w:color w:val="000000"/>
                <w:sz w:val="18"/>
                <w:szCs w:val="18"/>
              </w:rPr>
            </w:pPr>
            <w:r>
              <w:rPr>
                <w:rFonts w:ascii="Verdana" w:hAnsi="Verdana"/>
                <w:color w:val="000000"/>
                <w:sz w:val="18"/>
                <w:szCs w:val="18"/>
              </w:rPr>
              <w:t>WB 700</w:t>
            </w:r>
          </w:p>
        </w:tc>
        <w:tc>
          <w:tcPr>
            <w:tcW w:w="3900" w:type="pct"/>
            <w:tcBorders>
              <w:top w:val="nil"/>
              <w:left w:val="nil"/>
              <w:bottom w:val="nil"/>
              <w:right w:val="nil"/>
            </w:tcBorders>
            <w:shd w:val="clear" w:color="auto" w:fill="FFFFFF"/>
            <w:vAlign w:val="center"/>
            <w:hideMark/>
          </w:tcPr>
          <w:p w14:paraId="2FE19CF6" w14:textId="77777777" w:rsidR="0006417E" w:rsidRDefault="0006417E">
            <w:pPr>
              <w:pStyle w:val="NormalWeb"/>
              <w:spacing w:before="150" w:beforeAutospacing="0" w:after="0" w:afterAutospacing="0"/>
              <w:textAlignment w:val="baseline"/>
              <w:rPr>
                <w:rFonts w:ascii="Verdana" w:hAnsi="Verdana"/>
                <w:color w:val="000000"/>
                <w:sz w:val="18"/>
                <w:szCs w:val="18"/>
              </w:rPr>
            </w:pPr>
            <w:r>
              <w:rPr>
                <w:rFonts w:ascii="Verdana" w:hAnsi="Verdana"/>
                <w:color w:val="000000"/>
                <w:sz w:val="18"/>
                <w:szCs w:val="18"/>
              </w:rPr>
              <w:t>Medical geography. Geography of disease (General)</w:t>
            </w:r>
          </w:p>
        </w:tc>
      </w:tr>
      <w:tr w:rsidR="0006417E" w14:paraId="552990DE" w14:textId="77777777" w:rsidTr="0006417E">
        <w:trPr>
          <w:tblCellSpacing w:w="15" w:type="dxa"/>
        </w:trPr>
        <w:tc>
          <w:tcPr>
            <w:tcW w:w="1050" w:type="pct"/>
            <w:tcBorders>
              <w:top w:val="nil"/>
              <w:left w:val="nil"/>
              <w:bottom w:val="nil"/>
              <w:right w:val="nil"/>
            </w:tcBorders>
            <w:shd w:val="clear" w:color="auto" w:fill="FFFFFF"/>
            <w:vAlign w:val="center"/>
            <w:hideMark/>
          </w:tcPr>
          <w:p w14:paraId="65EEE458" w14:textId="77777777" w:rsidR="0006417E" w:rsidRDefault="0006417E">
            <w:pPr>
              <w:pStyle w:val="NormalWeb"/>
              <w:spacing w:before="150" w:beforeAutospacing="0" w:after="0" w:afterAutospacing="0"/>
              <w:textAlignment w:val="baseline"/>
              <w:rPr>
                <w:rFonts w:ascii="Verdana" w:hAnsi="Verdana"/>
                <w:color w:val="000000"/>
                <w:sz w:val="18"/>
                <w:szCs w:val="18"/>
              </w:rPr>
            </w:pPr>
            <w:r>
              <w:rPr>
                <w:rFonts w:ascii="Verdana" w:hAnsi="Verdana"/>
                <w:color w:val="000000"/>
                <w:sz w:val="18"/>
                <w:szCs w:val="18"/>
              </w:rPr>
              <w:t>WB 710</w:t>
            </w:r>
          </w:p>
        </w:tc>
        <w:tc>
          <w:tcPr>
            <w:tcW w:w="3900" w:type="pct"/>
            <w:tcBorders>
              <w:top w:val="nil"/>
              <w:left w:val="nil"/>
              <w:bottom w:val="nil"/>
              <w:right w:val="nil"/>
            </w:tcBorders>
            <w:shd w:val="clear" w:color="auto" w:fill="FFFFFF"/>
            <w:vAlign w:val="center"/>
            <w:hideMark/>
          </w:tcPr>
          <w:p w14:paraId="18BAE681" w14:textId="77777777" w:rsidR="0006417E" w:rsidRDefault="0006417E">
            <w:pPr>
              <w:pStyle w:val="NormalWeb"/>
              <w:spacing w:before="0" w:beforeAutospacing="0" w:after="0" w:afterAutospacing="0"/>
              <w:textAlignment w:val="baseline"/>
              <w:rPr>
                <w:rFonts w:ascii="Verdana" w:hAnsi="Verdana"/>
                <w:color w:val="000000"/>
                <w:sz w:val="18"/>
                <w:szCs w:val="18"/>
              </w:rPr>
            </w:pPr>
            <w:r>
              <w:rPr>
                <w:rFonts w:ascii="Verdana" w:hAnsi="Verdana"/>
                <w:color w:val="000000"/>
                <w:sz w:val="18"/>
                <w:szCs w:val="18"/>
              </w:rPr>
              <w:t>Diseases of geographic areas (</w:t>
            </w:r>
            <w:hyperlink r:id="rId11" w:history="1">
              <w:r>
                <w:rPr>
                  <w:rStyle w:val="Hyperlink"/>
                  <w:rFonts w:ascii="Verdana" w:hAnsi="Verdana"/>
                  <w:color w:val="000000"/>
                  <w:sz w:val="18"/>
                  <w:szCs w:val="18"/>
                  <w:bdr w:val="none" w:sz="0" w:space="0" w:color="auto" w:frame="1"/>
                </w:rPr>
                <w:t>Table G</w:t>
              </w:r>
            </w:hyperlink>
            <w:r>
              <w:rPr>
                <w:rFonts w:ascii="Verdana" w:hAnsi="Verdana"/>
                <w:color w:val="000000"/>
                <w:sz w:val="18"/>
                <w:szCs w:val="18"/>
              </w:rPr>
              <w:t>)</w:t>
            </w:r>
          </w:p>
        </w:tc>
      </w:tr>
      <w:tr w:rsidR="0006417E" w14:paraId="0A634480" w14:textId="77777777" w:rsidTr="0006417E">
        <w:trPr>
          <w:tblCellSpacing w:w="15" w:type="dxa"/>
        </w:trPr>
        <w:tc>
          <w:tcPr>
            <w:tcW w:w="1050" w:type="pct"/>
            <w:tcBorders>
              <w:top w:val="nil"/>
              <w:left w:val="nil"/>
              <w:bottom w:val="nil"/>
              <w:right w:val="nil"/>
            </w:tcBorders>
            <w:shd w:val="clear" w:color="auto" w:fill="FFFFFF"/>
            <w:vAlign w:val="center"/>
            <w:hideMark/>
          </w:tcPr>
          <w:p w14:paraId="36A782B8" w14:textId="77777777" w:rsidR="0006417E" w:rsidRDefault="0006417E">
            <w:pPr>
              <w:pStyle w:val="NormalWeb"/>
              <w:spacing w:before="150" w:beforeAutospacing="0" w:after="0" w:afterAutospacing="0"/>
              <w:textAlignment w:val="baseline"/>
              <w:rPr>
                <w:rFonts w:ascii="Verdana" w:hAnsi="Verdana"/>
                <w:color w:val="000000"/>
                <w:sz w:val="18"/>
                <w:szCs w:val="18"/>
              </w:rPr>
            </w:pPr>
            <w:r>
              <w:rPr>
                <w:rFonts w:ascii="Verdana" w:hAnsi="Verdana"/>
                <w:color w:val="000000"/>
                <w:sz w:val="18"/>
                <w:szCs w:val="18"/>
              </w:rPr>
              <w:t>WB 720</w:t>
            </w:r>
          </w:p>
        </w:tc>
        <w:tc>
          <w:tcPr>
            <w:tcW w:w="3900" w:type="pct"/>
            <w:tcBorders>
              <w:top w:val="nil"/>
              <w:left w:val="nil"/>
              <w:bottom w:val="nil"/>
              <w:right w:val="nil"/>
            </w:tcBorders>
            <w:shd w:val="clear" w:color="auto" w:fill="FFFFFF"/>
            <w:vAlign w:val="center"/>
            <w:hideMark/>
          </w:tcPr>
          <w:p w14:paraId="534EA02A" w14:textId="77777777" w:rsidR="0006417E" w:rsidRDefault="0006417E">
            <w:pPr>
              <w:pStyle w:val="NormalWeb"/>
              <w:spacing w:before="150" w:beforeAutospacing="0" w:after="0" w:afterAutospacing="0"/>
              <w:textAlignment w:val="baseline"/>
              <w:rPr>
                <w:rFonts w:ascii="Verdana" w:hAnsi="Verdana"/>
                <w:color w:val="000000"/>
                <w:sz w:val="18"/>
                <w:szCs w:val="18"/>
              </w:rPr>
            </w:pPr>
            <w:r>
              <w:rPr>
                <w:rFonts w:ascii="Verdana" w:hAnsi="Verdana"/>
                <w:color w:val="000000"/>
                <w:sz w:val="18"/>
                <w:szCs w:val="18"/>
              </w:rPr>
              <w:t>Diseases of ethnic groups (General or not elsewhere classified)</w:t>
            </w:r>
          </w:p>
        </w:tc>
      </w:tr>
    </w:tbl>
    <w:p w14:paraId="309D226D" w14:textId="54EAB1E9" w:rsidR="0006417E" w:rsidRDefault="0006417E" w:rsidP="00B001B9"/>
    <w:p w14:paraId="4AB82B69" w14:textId="78007B85" w:rsidR="00F57F09" w:rsidRDefault="00F57F09" w:rsidP="00F57F09">
      <w:pPr>
        <w:pStyle w:val="Heading2"/>
      </w:pPr>
      <w:r>
        <w:t>2022 Summer Edition</w:t>
      </w:r>
    </w:p>
    <w:p w14:paraId="458F9221" w14:textId="05BC78BB" w:rsidR="00F57F09" w:rsidRPr="00F57F09" w:rsidRDefault="002D1D3E" w:rsidP="00F57F09">
      <w:r>
        <w:rPr>
          <w:rFonts w:ascii="Verdana" w:hAnsi="Verdana"/>
          <w:color w:val="000000"/>
          <w:sz w:val="18"/>
          <w:szCs w:val="18"/>
          <w:shd w:val="clear" w:color="auto" w:fill="FFFFFF"/>
        </w:rPr>
        <w:t>The 2022 summer version will be published in late August 2022. It will encompass the systematic review of WF (Respiratory System) and WH (Hemic and Lymphatic Systems) schedules.</w:t>
      </w:r>
    </w:p>
    <w:sectPr w:rsidR="00F57F09" w:rsidRPr="00F57F09">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EFF4F1" w14:textId="77777777" w:rsidR="003E0265" w:rsidRDefault="003E0265" w:rsidP="00597A6D">
      <w:pPr>
        <w:spacing w:after="0" w:line="240" w:lineRule="auto"/>
      </w:pPr>
      <w:r>
        <w:separator/>
      </w:r>
    </w:p>
  </w:endnote>
  <w:endnote w:type="continuationSeparator" w:id="0">
    <w:p w14:paraId="25ADE6FA" w14:textId="77777777" w:rsidR="003E0265" w:rsidRDefault="003E0265" w:rsidP="00597A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9453152"/>
      <w:docPartObj>
        <w:docPartGallery w:val="Page Numbers (Bottom of Page)"/>
        <w:docPartUnique/>
      </w:docPartObj>
    </w:sdtPr>
    <w:sdtEndPr>
      <w:rPr>
        <w:noProof/>
      </w:rPr>
    </w:sdtEndPr>
    <w:sdtContent>
      <w:p w14:paraId="14B60651" w14:textId="28314A29" w:rsidR="002D1D3E" w:rsidRDefault="002D1D3E">
        <w:pPr>
          <w:pStyle w:val="Footer"/>
          <w:jc w:val="right"/>
        </w:pPr>
        <w:r>
          <w:fldChar w:fldCharType="begin"/>
        </w:r>
        <w:r>
          <w:instrText xml:space="preserve"> PAGE   \* MERGEFORMAT </w:instrText>
        </w:r>
        <w:r>
          <w:fldChar w:fldCharType="separate"/>
        </w:r>
        <w:r w:rsidR="006267DD">
          <w:rPr>
            <w:noProof/>
          </w:rPr>
          <w:t>1</w:t>
        </w:r>
        <w:r>
          <w:rPr>
            <w:noProof/>
          </w:rPr>
          <w:fldChar w:fldCharType="end"/>
        </w:r>
      </w:p>
    </w:sdtContent>
  </w:sdt>
  <w:p w14:paraId="5A31AF13" w14:textId="77777777" w:rsidR="002D1D3E" w:rsidRDefault="002D1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C4DA90" w14:textId="77777777" w:rsidR="003E0265" w:rsidRDefault="003E0265" w:rsidP="00597A6D">
      <w:pPr>
        <w:spacing w:after="0" w:line="240" w:lineRule="auto"/>
      </w:pPr>
      <w:r>
        <w:separator/>
      </w:r>
    </w:p>
  </w:footnote>
  <w:footnote w:type="continuationSeparator" w:id="0">
    <w:p w14:paraId="2242A7B6" w14:textId="77777777" w:rsidR="003E0265" w:rsidRDefault="003E0265" w:rsidP="00597A6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F54917" w14:textId="04BA97CC" w:rsidR="00597A6D" w:rsidRDefault="00DF4B3A" w:rsidP="00DF4B3A">
    <w:pPr>
      <w:pStyle w:val="Header"/>
      <w:jc w:val="right"/>
    </w:pPr>
    <w:r>
      <w:t>SAC22-AN-NLM</w:t>
    </w:r>
  </w:p>
  <w:p w14:paraId="3D97B086" w14:textId="77777777" w:rsidR="00597A6D" w:rsidRDefault="00597A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B04DBB"/>
    <w:multiLevelType w:val="multilevel"/>
    <w:tmpl w:val="63BEF2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A1A716F"/>
    <w:multiLevelType w:val="multilevel"/>
    <w:tmpl w:val="F32A5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29C58AF"/>
    <w:multiLevelType w:val="multilevel"/>
    <w:tmpl w:val="ED5A3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68B417F"/>
    <w:multiLevelType w:val="multilevel"/>
    <w:tmpl w:val="D8DC0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D8B7FE6"/>
    <w:multiLevelType w:val="multilevel"/>
    <w:tmpl w:val="C276D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130441B"/>
    <w:multiLevelType w:val="multilevel"/>
    <w:tmpl w:val="F998C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4"/>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09D"/>
    <w:rsid w:val="00000BA7"/>
    <w:rsid w:val="00014B19"/>
    <w:rsid w:val="00033BB9"/>
    <w:rsid w:val="0004135D"/>
    <w:rsid w:val="000439F7"/>
    <w:rsid w:val="00045810"/>
    <w:rsid w:val="000558B8"/>
    <w:rsid w:val="0006417E"/>
    <w:rsid w:val="000C347E"/>
    <w:rsid w:val="000D4031"/>
    <w:rsid w:val="00112977"/>
    <w:rsid w:val="00116C83"/>
    <w:rsid w:val="00150F1D"/>
    <w:rsid w:val="0015103A"/>
    <w:rsid w:val="001A350B"/>
    <w:rsid w:val="001A3F17"/>
    <w:rsid w:val="001B38B3"/>
    <w:rsid w:val="001D265D"/>
    <w:rsid w:val="001F712A"/>
    <w:rsid w:val="002014E1"/>
    <w:rsid w:val="00243CF2"/>
    <w:rsid w:val="00252691"/>
    <w:rsid w:val="00257CEC"/>
    <w:rsid w:val="002A6F17"/>
    <w:rsid w:val="002D1D3E"/>
    <w:rsid w:val="002D292E"/>
    <w:rsid w:val="002E0A73"/>
    <w:rsid w:val="002E468F"/>
    <w:rsid w:val="003371FE"/>
    <w:rsid w:val="00347A1C"/>
    <w:rsid w:val="00381DD5"/>
    <w:rsid w:val="0039167D"/>
    <w:rsid w:val="003C579C"/>
    <w:rsid w:val="003C7B4B"/>
    <w:rsid w:val="003E0265"/>
    <w:rsid w:val="003E508A"/>
    <w:rsid w:val="003F529F"/>
    <w:rsid w:val="003F5B39"/>
    <w:rsid w:val="004001AB"/>
    <w:rsid w:val="004134A9"/>
    <w:rsid w:val="004842B8"/>
    <w:rsid w:val="004961F4"/>
    <w:rsid w:val="004D11AE"/>
    <w:rsid w:val="004F5D2F"/>
    <w:rsid w:val="00530EAC"/>
    <w:rsid w:val="0054450D"/>
    <w:rsid w:val="005510E2"/>
    <w:rsid w:val="00577313"/>
    <w:rsid w:val="00577331"/>
    <w:rsid w:val="00594705"/>
    <w:rsid w:val="00597A6D"/>
    <w:rsid w:val="005A1727"/>
    <w:rsid w:val="005A4B20"/>
    <w:rsid w:val="005B44BA"/>
    <w:rsid w:val="005D625D"/>
    <w:rsid w:val="005F3B65"/>
    <w:rsid w:val="005F3E38"/>
    <w:rsid w:val="006267DD"/>
    <w:rsid w:val="00631509"/>
    <w:rsid w:val="006745F9"/>
    <w:rsid w:val="00680691"/>
    <w:rsid w:val="006C141F"/>
    <w:rsid w:val="006D252D"/>
    <w:rsid w:val="006F1874"/>
    <w:rsid w:val="007172AC"/>
    <w:rsid w:val="0073409C"/>
    <w:rsid w:val="00741B99"/>
    <w:rsid w:val="007532B8"/>
    <w:rsid w:val="0076286D"/>
    <w:rsid w:val="00765C62"/>
    <w:rsid w:val="007857D6"/>
    <w:rsid w:val="00792279"/>
    <w:rsid w:val="007A68B1"/>
    <w:rsid w:val="007B1CBD"/>
    <w:rsid w:val="007C73C3"/>
    <w:rsid w:val="007E0C72"/>
    <w:rsid w:val="008159BC"/>
    <w:rsid w:val="00816A28"/>
    <w:rsid w:val="00823E91"/>
    <w:rsid w:val="00830AEC"/>
    <w:rsid w:val="008357D1"/>
    <w:rsid w:val="00885C65"/>
    <w:rsid w:val="00887FDD"/>
    <w:rsid w:val="00892671"/>
    <w:rsid w:val="008E08EC"/>
    <w:rsid w:val="008E7B88"/>
    <w:rsid w:val="00937533"/>
    <w:rsid w:val="009C2106"/>
    <w:rsid w:val="009C621B"/>
    <w:rsid w:val="009D47CC"/>
    <w:rsid w:val="009E4CF8"/>
    <w:rsid w:val="00A34905"/>
    <w:rsid w:val="00A628AE"/>
    <w:rsid w:val="00A67CD5"/>
    <w:rsid w:val="00A7777B"/>
    <w:rsid w:val="00AF75AE"/>
    <w:rsid w:val="00B001B9"/>
    <w:rsid w:val="00B02F38"/>
    <w:rsid w:val="00B04C37"/>
    <w:rsid w:val="00B161C7"/>
    <w:rsid w:val="00B56F33"/>
    <w:rsid w:val="00B601AB"/>
    <w:rsid w:val="00B718C4"/>
    <w:rsid w:val="00B8405E"/>
    <w:rsid w:val="00BB5C3B"/>
    <w:rsid w:val="00BC793F"/>
    <w:rsid w:val="00BD77AA"/>
    <w:rsid w:val="00BE7C22"/>
    <w:rsid w:val="00BF27C6"/>
    <w:rsid w:val="00C15C08"/>
    <w:rsid w:val="00C17061"/>
    <w:rsid w:val="00C33BAC"/>
    <w:rsid w:val="00C342BC"/>
    <w:rsid w:val="00C502C5"/>
    <w:rsid w:val="00CA0891"/>
    <w:rsid w:val="00CB47AD"/>
    <w:rsid w:val="00D131FA"/>
    <w:rsid w:val="00D31C71"/>
    <w:rsid w:val="00D44167"/>
    <w:rsid w:val="00D70FCD"/>
    <w:rsid w:val="00D7709D"/>
    <w:rsid w:val="00DB47CF"/>
    <w:rsid w:val="00DC535B"/>
    <w:rsid w:val="00DD083B"/>
    <w:rsid w:val="00DF4B3A"/>
    <w:rsid w:val="00DF4B9C"/>
    <w:rsid w:val="00E15667"/>
    <w:rsid w:val="00E20663"/>
    <w:rsid w:val="00EE4168"/>
    <w:rsid w:val="00EF0957"/>
    <w:rsid w:val="00F07EF5"/>
    <w:rsid w:val="00F1625F"/>
    <w:rsid w:val="00F31B2D"/>
    <w:rsid w:val="00F342ED"/>
    <w:rsid w:val="00F56B75"/>
    <w:rsid w:val="00F57EF3"/>
    <w:rsid w:val="00F57F09"/>
    <w:rsid w:val="00F61FC8"/>
    <w:rsid w:val="00F96288"/>
    <w:rsid w:val="00FA1AEA"/>
    <w:rsid w:val="00FA36CC"/>
    <w:rsid w:val="00FB0174"/>
    <w:rsid w:val="00FD05F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4969"/>
  <w15:chartTrackingRefBased/>
  <w15:docId w15:val="{E3227DD4-4530-4CAD-812D-950BFCDFD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4C3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07EF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D770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B04C3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42B8"/>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709D"/>
    <w:rPr>
      <w:color w:val="0563C1" w:themeColor="hyperlink"/>
      <w:u w:val="single"/>
    </w:rPr>
  </w:style>
  <w:style w:type="character" w:customStyle="1" w:styleId="UnresolvedMention">
    <w:name w:val="Unresolved Mention"/>
    <w:basedOn w:val="DefaultParagraphFont"/>
    <w:uiPriority w:val="99"/>
    <w:semiHidden/>
    <w:unhideWhenUsed/>
    <w:rsid w:val="00D7709D"/>
    <w:rPr>
      <w:color w:val="605E5C"/>
      <w:shd w:val="clear" w:color="auto" w:fill="E1DFDD"/>
    </w:rPr>
  </w:style>
  <w:style w:type="paragraph" w:styleId="ListParagraph">
    <w:name w:val="List Paragraph"/>
    <w:basedOn w:val="Normal"/>
    <w:uiPriority w:val="34"/>
    <w:qFormat/>
    <w:rsid w:val="00D7709D"/>
    <w:pPr>
      <w:ind w:left="720"/>
      <w:contextualSpacing/>
    </w:pPr>
  </w:style>
  <w:style w:type="character" w:customStyle="1" w:styleId="Heading3Char">
    <w:name w:val="Heading 3 Char"/>
    <w:basedOn w:val="DefaultParagraphFont"/>
    <w:link w:val="Heading3"/>
    <w:uiPriority w:val="9"/>
    <w:rsid w:val="00D7709D"/>
    <w:rPr>
      <w:rFonts w:ascii="Times New Roman" w:eastAsia="Times New Roman" w:hAnsi="Times New Roman" w:cs="Times New Roman"/>
      <w:b/>
      <w:bCs/>
      <w:sz w:val="27"/>
      <w:szCs w:val="27"/>
    </w:rPr>
  </w:style>
  <w:style w:type="paragraph" w:styleId="NormalWeb">
    <w:name w:val="Normal (Web)"/>
    <w:basedOn w:val="Normal"/>
    <w:uiPriority w:val="99"/>
    <w:unhideWhenUsed/>
    <w:rsid w:val="00D770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7709D"/>
    <w:rPr>
      <w:b/>
      <w:bCs/>
    </w:rPr>
  </w:style>
  <w:style w:type="character" w:styleId="Emphasis">
    <w:name w:val="Emphasis"/>
    <w:basedOn w:val="DefaultParagraphFont"/>
    <w:uiPriority w:val="20"/>
    <w:qFormat/>
    <w:rsid w:val="00D7709D"/>
    <w:rPr>
      <w:i/>
      <w:iCs/>
    </w:rPr>
  </w:style>
  <w:style w:type="character" w:customStyle="1" w:styleId="Heading2Char">
    <w:name w:val="Heading 2 Char"/>
    <w:basedOn w:val="DefaultParagraphFont"/>
    <w:link w:val="Heading2"/>
    <w:uiPriority w:val="9"/>
    <w:rsid w:val="00F07EF5"/>
    <w:rPr>
      <w:rFonts w:asciiTheme="majorHAnsi" w:eastAsiaTheme="majorEastAsia" w:hAnsiTheme="majorHAnsi" w:cstheme="majorBidi"/>
      <w:color w:val="2F5496" w:themeColor="accent1" w:themeShade="BF"/>
      <w:sz w:val="26"/>
      <w:szCs w:val="26"/>
    </w:rPr>
  </w:style>
  <w:style w:type="character" w:styleId="CommentReference">
    <w:name w:val="annotation reference"/>
    <w:basedOn w:val="DefaultParagraphFont"/>
    <w:uiPriority w:val="99"/>
    <w:semiHidden/>
    <w:unhideWhenUsed/>
    <w:rsid w:val="00937533"/>
    <w:rPr>
      <w:sz w:val="16"/>
      <w:szCs w:val="16"/>
    </w:rPr>
  </w:style>
  <w:style w:type="paragraph" w:styleId="CommentText">
    <w:name w:val="annotation text"/>
    <w:basedOn w:val="Normal"/>
    <w:link w:val="CommentTextChar"/>
    <w:uiPriority w:val="99"/>
    <w:semiHidden/>
    <w:unhideWhenUsed/>
    <w:rsid w:val="00937533"/>
    <w:pPr>
      <w:spacing w:line="240" w:lineRule="auto"/>
    </w:pPr>
    <w:rPr>
      <w:sz w:val="20"/>
      <w:szCs w:val="20"/>
    </w:rPr>
  </w:style>
  <w:style w:type="character" w:customStyle="1" w:styleId="CommentTextChar">
    <w:name w:val="Comment Text Char"/>
    <w:basedOn w:val="DefaultParagraphFont"/>
    <w:link w:val="CommentText"/>
    <w:uiPriority w:val="99"/>
    <w:semiHidden/>
    <w:rsid w:val="00937533"/>
    <w:rPr>
      <w:sz w:val="20"/>
      <w:szCs w:val="20"/>
    </w:rPr>
  </w:style>
  <w:style w:type="paragraph" w:styleId="CommentSubject">
    <w:name w:val="annotation subject"/>
    <w:basedOn w:val="CommentText"/>
    <w:next w:val="CommentText"/>
    <w:link w:val="CommentSubjectChar"/>
    <w:uiPriority w:val="99"/>
    <w:semiHidden/>
    <w:unhideWhenUsed/>
    <w:rsid w:val="00937533"/>
    <w:rPr>
      <w:b/>
      <w:bCs/>
    </w:rPr>
  </w:style>
  <w:style w:type="character" w:customStyle="1" w:styleId="CommentSubjectChar">
    <w:name w:val="Comment Subject Char"/>
    <w:basedOn w:val="CommentTextChar"/>
    <w:link w:val="CommentSubject"/>
    <w:uiPriority w:val="99"/>
    <w:semiHidden/>
    <w:rsid w:val="00937533"/>
    <w:rPr>
      <w:b/>
      <w:bCs/>
      <w:sz w:val="20"/>
      <w:szCs w:val="20"/>
    </w:rPr>
  </w:style>
  <w:style w:type="paragraph" w:styleId="BalloonText">
    <w:name w:val="Balloon Text"/>
    <w:basedOn w:val="Normal"/>
    <w:link w:val="BalloonTextChar"/>
    <w:uiPriority w:val="99"/>
    <w:semiHidden/>
    <w:unhideWhenUsed/>
    <w:rsid w:val="009375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7533"/>
    <w:rPr>
      <w:rFonts w:ascii="Segoe UI" w:hAnsi="Segoe UI" w:cs="Segoe UI"/>
      <w:sz w:val="18"/>
      <w:szCs w:val="18"/>
    </w:rPr>
  </w:style>
  <w:style w:type="character" w:customStyle="1" w:styleId="Heading1Char">
    <w:name w:val="Heading 1 Char"/>
    <w:basedOn w:val="DefaultParagraphFont"/>
    <w:link w:val="Heading1"/>
    <w:uiPriority w:val="9"/>
    <w:rsid w:val="00B04C37"/>
    <w:rPr>
      <w:rFonts w:asciiTheme="majorHAnsi" w:eastAsiaTheme="majorEastAsia" w:hAnsiTheme="majorHAnsi" w:cstheme="majorBidi"/>
      <w:color w:val="2F5496" w:themeColor="accent1" w:themeShade="BF"/>
      <w:sz w:val="32"/>
      <w:szCs w:val="32"/>
    </w:rPr>
  </w:style>
  <w:style w:type="character" w:customStyle="1" w:styleId="Heading4Char">
    <w:name w:val="Heading 4 Char"/>
    <w:basedOn w:val="DefaultParagraphFont"/>
    <w:link w:val="Heading4"/>
    <w:uiPriority w:val="9"/>
    <w:rsid w:val="00B04C3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42B8"/>
    <w:rPr>
      <w:rFonts w:asciiTheme="majorHAnsi" w:eastAsiaTheme="majorEastAsia" w:hAnsiTheme="majorHAnsi" w:cstheme="majorBidi"/>
      <w:color w:val="2F5496" w:themeColor="accent1" w:themeShade="BF"/>
    </w:rPr>
  </w:style>
  <w:style w:type="paragraph" w:styleId="NoSpacing">
    <w:name w:val="No Spacing"/>
    <w:uiPriority w:val="1"/>
    <w:qFormat/>
    <w:rsid w:val="00D70FCD"/>
    <w:pPr>
      <w:spacing w:after="0" w:line="240" w:lineRule="auto"/>
    </w:pPr>
  </w:style>
  <w:style w:type="character" w:customStyle="1" w:styleId="font-weight-bold">
    <w:name w:val="font-weight-bold"/>
    <w:basedOn w:val="DefaultParagraphFont"/>
    <w:rsid w:val="00F56B75"/>
  </w:style>
  <w:style w:type="paragraph" w:styleId="Header">
    <w:name w:val="header"/>
    <w:basedOn w:val="Normal"/>
    <w:link w:val="HeaderChar"/>
    <w:uiPriority w:val="99"/>
    <w:unhideWhenUsed/>
    <w:rsid w:val="00597A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7A6D"/>
  </w:style>
  <w:style w:type="paragraph" w:styleId="Footer">
    <w:name w:val="footer"/>
    <w:basedOn w:val="Normal"/>
    <w:link w:val="FooterChar"/>
    <w:uiPriority w:val="99"/>
    <w:unhideWhenUsed/>
    <w:rsid w:val="00597A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7A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249782">
      <w:bodyDiv w:val="1"/>
      <w:marLeft w:val="0"/>
      <w:marRight w:val="0"/>
      <w:marTop w:val="0"/>
      <w:marBottom w:val="0"/>
      <w:divBdr>
        <w:top w:val="none" w:sz="0" w:space="0" w:color="auto"/>
        <w:left w:val="none" w:sz="0" w:space="0" w:color="auto"/>
        <w:bottom w:val="none" w:sz="0" w:space="0" w:color="auto"/>
        <w:right w:val="none" w:sz="0" w:space="0" w:color="auto"/>
      </w:divBdr>
    </w:div>
    <w:div w:id="308829085">
      <w:bodyDiv w:val="1"/>
      <w:marLeft w:val="0"/>
      <w:marRight w:val="0"/>
      <w:marTop w:val="0"/>
      <w:marBottom w:val="0"/>
      <w:divBdr>
        <w:top w:val="none" w:sz="0" w:space="0" w:color="auto"/>
        <w:left w:val="none" w:sz="0" w:space="0" w:color="auto"/>
        <w:bottom w:val="none" w:sz="0" w:space="0" w:color="auto"/>
        <w:right w:val="none" w:sz="0" w:space="0" w:color="auto"/>
      </w:divBdr>
    </w:div>
    <w:div w:id="321659476">
      <w:bodyDiv w:val="1"/>
      <w:marLeft w:val="0"/>
      <w:marRight w:val="0"/>
      <w:marTop w:val="0"/>
      <w:marBottom w:val="0"/>
      <w:divBdr>
        <w:top w:val="none" w:sz="0" w:space="0" w:color="auto"/>
        <w:left w:val="none" w:sz="0" w:space="0" w:color="auto"/>
        <w:bottom w:val="none" w:sz="0" w:space="0" w:color="auto"/>
        <w:right w:val="none" w:sz="0" w:space="0" w:color="auto"/>
      </w:divBdr>
    </w:div>
    <w:div w:id="335348310">
      <w:bodyDiv w:val="1"/>
      <w:marLeft w:val="0"/>
      <w:marRight w:val="0"/>
      <w:marTop w:val="0"/>
      <w:marBottom w:val="0"/>
      <w:divBdr>
        <w:top w:val="none" w:sz="0" w:space="0" w:color="auto"/>
        <w:left w:val="none" w:sz="0" w:space="0" w:color="auto"/>
        <w:bottom w:val="none" w:sz="0" w:space="0" w:color="auto"/>
        <w:right w:val="none" w:sz="0" w:space="0" w:color="auto"/>
      </w:divBdr>
    </w:div>
    <w:div w:id="415055622">
      <w:bodyDiv w:val="1"/>
      <w:marLeft w:val="0"/>
      <w:marRight w:val="0"/>
      <w:marTop w:val="0"/>
      <w:marBottom w:val="0"/>
      <w:divBdr>
        <w:top w:val="none" w:sz="0" w:space="0" w:color="auto"/>
        <w:left w:val="none" w:sz="0" w:space="0" w:color="auto"/>
        <w:bottom w:val="none" w:sz="0" w:space="0" w:color="auto"/>
        <w:right w:val="none" w:sz="0" w:space="0" w:color="auto"/>
      </w:divBdr>
    </w:div>
    <w:div w:id="638799918">
      <w:bodyDiv w:val="1"/>
      <w:marLeft w:val="0"/>
      <w:marRight w:val="0"/>
      <w:marTop w:val="0"/>
      <w:marBottom w:val="0"/>
      <w:divBdr>
        <w:top w:val="none" w:sz="0" w:space="0" w:color="auto"/>
        <w:left w:val="none" w:sz="0" w:space="0" w:color="auto"/>
        <w:bottom w:val="none" w:sz="0" w:space="0" w:color="auto"/>
        <w:right w:val="none" w:sz="0" w:space="0" w:color="auto"/>
      </w:divBdr>
    </w:div>
    <w:div w:id="671955512">
      <w:bodyDiv w:val="1"/>
      <w:marLeft w:val="0"/>
      <w:marRight w:val="0"/>
      <w:marTop w:val="0"/>
      <w:marBottom w:val="0"/>
      <w:divBdr>
        <w:top w:val="none" w:sz="0" w:space="0" w:color="auto"/>
        <w:left w:val="none" w:sz="0" w:space="0" w:color="auto"/>
        <w:bottom w:val="none" w:sz="0" w:space="0" w:color="auto"/>
        <w:right w:val="none" w:sz="0" w:space="0" w:color="auto"/>
      </w:divBdr>
    </w:div>
    <w:div w:id="719942685">
      <w:bodyDiv w:val="1"/>
      <w:marLeft w:val="0"/>
      <w:marRight w:val="0"/>
      <w:marTop w:val="0"/>
      <w:marBottom w:val="0"/>
      <w:divBdr>
        <w:top w:val="none" w:sz="0" w:space="0" w:color="auto"/>
        <w:left w:val="none" w:sz="0" w:space="0" w:color="auto"/>
        <w:bottom w:val="none" w:sz="0" w:space="0" w:color="auto"/>
        <w:right w:val="none" w:sz="0" w:space="0" w:color="auto"/>
      </w:divBdr>
    </w:div>
    <w:div w:id="748773816">
      <w:bodyDiv w:val="1"/>
      <w:marLeft w:val="0"/>
      <w:marRight w:val="0"/>
      <w:marTop w:val="0"/>
      <w:marBottom w:val="0"/>
      <w:divBdr>
        <w:top w:val="none" w:sz="0" w:space="0" w:color="auto"/>
        <w:left w:val="none" w:sz="0" w:space="0" w:color="auto"/>
        <w:bottom w:val="none" w:sz="0" w:space="0" w:color="auto"/>
        <w:right w:val="none" w:sz="0" w:space="0" w:color="auto"/>
      </w:divBdr>
    </w:div>
    <w:div w:id="756361447">
      <w:bodyDiv w:val="1"/>
      <w:marLeft w:val="0"/>
      <w:marRight w:val="0"/>
      <w:marTop w:val="0"/>
      <w:marBottom w:val="0"/>
      <w:divBdr>
        <w:top w:val="none" w:sz="0" w:space="0" w:color="auto"/>
        <w:left w:val="none" w:sz="0" w:space="0" w:color="auto"/>
        <w:bottom w:val="none" w:sz="0" w:space="0" w:color="auto"/>
        <w:right w:val="none" w:sz="0" w:space="0" w:color="auto"/>
      </w:divBdr>
    </w:div>
    <w:div w:id="788937749">
      <w:bodyDiv w:val="1"/>
      <w:marLeft w:val="0"/>
      <w:marRight w:val="0"/>
      <w:marTop w:val="0"/>
      <w:marBottom w:val="0"/>
      <w:divBdr>
        <w:top w:val="none" w:sz="0" w:space="0" w:color="auto"/>
        <w:left w:val="none" w:sz="0" w:space="0" w:color="auto"/>
        <w:bottom w:val="none" w:sz="0" w:space="0" w:color="auto"/>
        <w:right w:val="none" w:sz="0" w:space="0" w:color="auto"/>
      </w:divBdr>
    </w:div>
    <w:div w:id="808595274">
      <w:bodyDiv w:val="1"/>
      <w:marLeft w:val="0"/>
      <w:marRight w:val="0"/>
      <w:marTop w:val="0"/>
      <w:marBottom w:val="0"/>
      <w:divBdr>
        <w:top w:val="none" w:sz="0" w:space="0" w:color="auto"/>
        <w:left w:val="none" w:sz="0" w:space="0" w:color="auto"/>
        <w:bottom w:val="none" w:sz="0" w:space="0" w:color="auto"/>
        <w:right w:val="none" w:sz="0" w:space="0" w:color="auto"/>
      </w:divBdr>
    </w:div>
    <w:div w:id="873153866">
      <w:bodyDiv w:val="1"/>
      <w:marLeft w:val="0"/>
      <w:marRight w:val="0"/>
      <w:marTop w:val="0"/>
      <w:marBottom w:val="0"/>
      <w:divBdr>
        <w:top w:val="none" w:sz="0" w:space="0" w:color="auto"/>
        <w:left w:val="none" w:sz="0" w:space="0" w:color="auto"/>
        <w:bottom w:val="none" w:sz="0" w:space="0" w:color="auto"/>
        <w:right w:val="none" w:sz="0" w:space="0" w:color="auto"/>
      </w:divBdr>
    </w:div>
    <w:div w:id="914897009">
      <w:bodyDiv w:val="1"/>
      <w:marLeft w:val="0"/>
      <w:marRight w:val="0"/>
      <w:marTop w:val="0"/>
      <w:marBottom w:val="0"/>
      <w:divBdr>
        <w:top w:val="none" w:sz="0" w:space="0" w:color="auto"/>
        <w:left w:val="none" w:sz="0" w:space="0" w:color="auto"/>
        <w:bottom w:val="none" w:sz="0" w:space="0" w:color="auto"/>
        <w:right w:val="none" w:sz="0" w:space="0" w:color="auto"/>
      </w:divBdr>
    </w:div>
    <w:div w:id="916524729">
      <w:bodyDiv w:val="1"/>
      <w:marLeft w:val="0"/>
      <w:marRight w:val="0"/>
      <w:marTop w:val="0"/>
      <w:marBottom w:val="0"/>
      <w:divBdr>
        <w:top w:val="none" w:sz="0" w:space="0" w:color="auto"/>
        <w:left w:val="none" w:sz="0" w:space="0" w:color="auto"/>
        <w:bottom w:val="none" w:sz="0" w:space="0" w:color="auto"/>
        <w:right w:val="none" w:sz="0" w:space="0" w:color="auto"/>
      </w:divBdr>
    </w:div>
    <w:div w:id="951790231">
      <w:bodyDiv w:val="1"/>
      <w:marLeft w:val="0"/>
      <w:marRight w:val="0"/>
      <w:marTop w:val="0"/>
      <w:marBottom w:val="0"/>
      <w:divBdr>
        <w:top w:val="none" w:sz="0" w:space="0" w:color="auto"/>
        <w:left w:val="none" w:sz="0" w:space="0" w:color="auto"/>
        <w:bottom w:val="none" w:sz="0" w:space="0" w:color="auto"/>
        <w:right w:val="none" w:sz="0" w:space="0" w:color="auto"/>
      </w:divBdr>
    </w:div>
    <w:div w:id="964430207">
      <w:bodyDiv w:val="1"/>
      <w:marLeft w:val="0"/>
      <w:marRight w:val="0"/>
      <w:marTop w:val="0"/>
      <w:marBottom w:val="0"/>
      <w:divBdr>
        <w:top w:val="none" w:sz="0" w:space="0" w:color="auto"/>
        <w:left w:val="none" w:sz="0" w:space="0" w:color="auto"/>
        <w:bottom w:val="none" w:sz="0" w:space="0" w:color="auto"/>
        <w:right w:val="none" w:sz="0" w:space="0" w:color="auto"/>
      </w:divBdr>
      <w:divsChild>
        <w:div w:id="1938097341">
          <w:marLeft w:val="446"/>
          <w:marRight w:val="0"/>
          <w:marTop w:val="0"/>
          <w:marBottom w:val="0"/>
          <w:divBdr>
            <w:top w:val="none" w:sz="0" w:space="0" w:color="auto"/>
            <w:left w:val="none" w:sz="0" w:space="0" w:color="auto"/>
            <w:bottom w:val="none" w:sz="0" w:space="0" w:color="auto"/>
            <w:right w:val="none" w:sz="0" w:space="0" w:color="auto"/>
          </w:divBdr>
        </w:div>
        <w:div w:id="731469248">
          <w:marLeft w:val="446"/>
          <w:marRight w:val="0"/>
          <w:marTop w:val="0"/>
          <w:marBottom w:val="0"/>
          <w:divBdr>
            <w:top w:val="none" w:sz="0" w:space="0" w:color="auto"/>
            <w:left w:val="none" w:sz="0" w:space="0" w:color="auto"/>
            <w:bottom w:val="none" w:sz="0" w:space="0" w:color="auto"/>
            <w:right w:val="none" w:sz="0" w:space="0" w:color="auto"/>
          </w:divBdr>
        </w:div>
        <w:div w:id="691300175">
          <w:marLeft w:val="446"/>
          <w:marRight w:val="0"/>
          <w:marTop w:val="0"/>
          <w:marBottom w:val="0"/>
          <w:divBdr>
            <w:top w:val="none" w:sz="0" w:space="0" w:color="auto"/>
            <w:left w:val="none" w:sz="0" w:space="0" w:color="auto"/>
            <w:bottom w:val="none" w:sz="0" w:space="0" w:color="auto"/>
            <w:right w:val="none" w:sz="0" w:space="0" w:color="auto"/>
          </w:divBdr>
        </w:div>
        <w:div w:id="387536151">
          <w:marLeft w:val="446"/>
          <w:marRight w:val="0"/>
          <w:marTop w:val="0"/>
          <w:marBottom w:val="0"/>
          <w:divBdr>
            <w:top w:val="none" w:sz="0" w:space="0" w:color="auto"/>
            <w:left w:val="none" w:sz="0" w:space="0" w:color="auto"/>
            <w:bottom w:val="none" w:sz="0" w:space="0" w:color="auto"/>
            <w:right w:val="none" w:sz="0" w:space="0" w:color="auto"/>
          </w:divBdr>
        </w:div>
        <w:div w:id="407311700">
          <w:marLeft w:val="446"/>
          <w:marRight w:val="0"/>
          <w:marTop w:val="0"/>
          <w:marBottom w:val="0"/>
          <w:divBdr>
            <w:top w:val="none" w:sz="0" w:space="0" w:color="auto"/>
            <w:left w:val="none" w:sz="0" w:space="0" w:color="auto"/>
            <w:bottom w:val="none" w:sz="0" w:space="0" w:color="auto"/>
            <w:right w:val="none" w:sz="0" w:space="0" w:color="auto"/>
          </w:divBdr>
        </w:div>
      </w:divsChild>
    </w:div>
    <w:div w:id="984700139">
      <w:bodyDiv w:val="1"/>
      <w:marLeft w:val="0"/>
      <w:marRight w:val="0"/>
      <w:marTop w:val="0"/>
      <w:marBottom w:val="0"/>
      <w:divBdr>
        <w:top w:val="none" w:sz="0" w:space="0" w:color="auto"/>
        <w:left w:val="none" w:sz="0" w:space="0" w:color="auto"/>
        <w:bottom w:val="none" w:sz="0" w:space="0" w:color="auto"/>
        <w:right w:val="none" w:sz="0" w:space="0" w:color="auto"/>
      </w:divBdr>
    </w:div>
    <w:div w:id="996306468">
      <w:bodyDiv w:val="1"/>
      <w:marLeft w:val="0"/>
      <w:marRight w:val="0"/>
      <w:marTop w:val="0"/>
      <w:marBottom w:val="0"/>
      <w:divBdr>
        <w:top w:val="none" w:sz="0" w:space="0" w:color="auto"/>
        <w:left w:val="none" w:sz="0" w:space="0" w:color="auto"/>
        <w:bottom w:val="none" w:sz="0" w:space="0" w:color="auto"/>
        <w:right w:val="none" w:sz="0" w:space="0" w:color="auto"/>
      </w:divBdr>
    </w:div>
    <w:div w:id="1060372556">
      <w:bodyDiv w:val="1"/>
      <w:marLeft w:val="0"/>
      <w:marRight w:val="0"/>
      <w:marTop w:val="0"/>
      <w:marBottom w:val="0"/>
      <w:divBdr>
        <w:top w:val="none" w:sz="0" w:space="0" w:color="auto"/>
        <w:left w:val="none" w:sz="0" w:space="0" w:color="auto"/>
        <w:bottom w:val="none" w:sz="0" w:space="0" w:color="auto"/>
        <w:right w:val="none" w:sz="0" w:space="0" w:color="auto"/>
      </w:divBdr>
    </w:div>
    <w:div w:id="1066495762">
      <w:bodyDiv w:val="1"/>
      <w:marLeft w:val="0"/>
      <w:marRight w:val="0"/>
      <w:marTop w:val="0"/>
      <w:marBottom w:val="0"/>
      <w:divBdr>
        <w:top w:val="none" w:sz="0" w:space="0" w:color="auto"/>
        <w:left w:val="none" w:sz="0" w:space="0" w:color="auto"/>
        <w:bottom w:val="none" w:sz="0" w:space="0" w:color="auto"/>
        <w:right w:val="none" w:sz="0" w:space="0" w:color="auto"/>
      </w:divBdr>
    </w:div>
    <w:div w:id="1079785482">
      <w:bodyDiv w:val="1"/>
      <w:marLeft w:val="0"/>
      <w:marRight w:val="0"/>
      <w:marTop w:val="0"/>
      <w:marBottom w:val="0"/>
      <w:divBdr>
        <w:top w:val="none" w:sz="0" w:space="0" w:color="auto"/>
        <w:left w:val="none" w:sz="0" w:space="0" w:color="auto"/>
        <w:bottom w:val="none" w:sz="0" w:space="0" w:color="auto"/>
        <w:right w:val="none" w:sz="0" w:space="0" w:color="auto"/>
      </w:divBdr>
    </w:div>
    <w:div w:id="1136096735">
      <w:bodyDiv w:val="1"/>
      <w:marLeft w:val="0"/>
      <w:marRight w:val="0"/>
      <w:marTop w:val="0"/>
      <w:marBottom w:val="0"/>
      <w:divBdr>
        <w:top w:val="none" w:sz="0" w:space="0" w:color="auto"/>
        <w:left w:val="none" w:sz="0" w:space="0" w:color="auto"/>
        <w:bottom w:val="none" w:sz="0" w:space="0" w:color="auto"/>
        <w:right w:val="none" w:sz="0" w:space="0" w:color="auto"/>
      </w:divBdr>
    </w:div>
    <w:div w:id="1164737284">
      <w:bodyDiv w:val="1"/>
      <w:marLeft w:val="0"/>
      <w:marRight w:val="0"/>
      <w:marTop w:val="0"/>
      <w:marBottom w:val="0"/>
      <w:divBdr>
        <w:top w:val="none" w:sz="0" w:space="0" w:color="auto"/>
        <w:left w:val="none" w:sz="0" w:space="0" w:color="auto"/>
        <w:bottom w:val="none" w:sz="0" w:space="0" w:color="auto"/>
        <w:right w:val="none" w:sz="0" w:space="0" w:color="auto"/>
      </w:divBdr>
      <w:divsChild>
        <w:div w:id="1085609287">
          <w:marLeft w:val="1152"/>
          <w:marRight w:val="0"/>
          <w:marTop w:val="40"/>
          <w:marBottom w:val="80"/>
          <w:divBdr>
            <w:top w:val="none" w:sz="0" w:space="0" w:color="auto"/>
            <w:left w:val="none" w:sz="0" w:space="0" w:color="auto"/>
            <w:bottom w:val="none" w:sz="0" w:space="0" w:color="auto"/>
            <w:right w:val="none" w:sz="0" w:space="0" w:color="auto"/>
          </w:divBdr>
        </w:div>
        <w:div w:id="401872999">
          <w:marLeft w:val="1152"/>
          <w:marRight w:val="0"/>
          <w:marTop w:val="40"/>
          <w:marBottom w:val="80"/>
          <w:divBdr>
            <w:top w:val="none" w:sz="0" w:space="0" w:color="auto"/>
            <w:left w:val="none" w:sz="0" w:space="0" w:color="auto"/>
            <w:bottom w:val="none" w:sz="0" w:space="0" w:color="auto"/>
            <w:right w:val="none" w:sz="0" w:space="0" w:color="auto"/>
          </w:divBdr>
        </w:div>
        <w:div w:id="1144078521">
          <w:marLeft w:val="1152"/>
          <w:marRight w:val="0"/>
          <w:marTop w:val="40"/>
          <w:marBottom w:val="80"/>
          <w:divBdr>
            <w:top w:val="none" w:sz="0" w:space="0" w:color="auto"/>
            <w:left w:val="none" w:sz="0" w:space="0" w:color="auto"/>
            <w:bottom w:val="none" w:sz="0" w:space="0" w:color="auto"/>
            <w:right w:val="none" w:sz="0" w:space="0" w:color="auto"/>
          </w:divBdr>
        </w:div>
        <w:div w:id="1545216594">
          <w:marLeft w:val="1152"/>
          <w:marRight w:val="0"/>
          <w:marTop w:val="40"/>
          <w:marBottom w:val="80"/>
          <w:divBdr>
            <w:top w:val="none" w:sz="0" w:space="0" w:color="auto"/>
            <w:left w:val="none" w:sz="0" w:space="0" w:color="auto"/>
            <w:bottom w:val="none" w:sz="0" w:space="0" w:color="auto"/>
            <w:right w:val="none" w:sz="0" w:space="0" w:color="auto"/>
          </w:divBdr>
        </w:div>
      </w:divsChild>
    </w:div>
    <w:div w:id="1331175246">
      <w:bodyDiv w:val="1"/>
      <w:marLeft w:val="0"/>
      <w:marRight w:val="0"/>
      <w:marTop w:val="0"/>
      <w:marBottom w:val="0"/>
      <w:divBdr>
        <w:top w:val="none" w:sz="0" w:space="0" w:color="auto"/>
        <w:left w:val="none" w:sz="0" w:space="0" w:color="auto"/>
        <w:bottom w:val="none" w:sz="0" w:space="0" w:color="auto"/>
        <w:right w:val="none" w:sz="0" w:space="0" w:color="auto"/>
      </w:divBdr>
      <w:divsChild>
        <w:div w:id="2074616487">
          <w:marLeft w:val="446"/>
          <w:marRight w:val="0"/>
          <w:marTop w:val="280"/>
          <w:marBottom w:val="0"/>
          <w:divBdr>
            <w:top w:val="none" w:sz="0" w:space="0" w:color="auto"/>
            <w:left w:val="none" w:sz="0" w:space="0" w:color="auto"/>
            <w:bottom w:val="none" w:sz="0" w:space="0" w:color="auto"/>
            <w:right w:val="none" w:sz="0" w:space="0" w:color="auto"/>
          </w:divBdr>
        </w:div>
        <w:div w:id="1846092213">
          <w:marLeft w:val="446"/>
          <w:marRight w:val="0"/>
          <w:marTop w:val="280"/>
          <w:marBottom w:val="0"/>
          <w:divBdr>
            <w:top w:val="none" w:sz="0" w:space="0" w:color="auto"/>
            <w:left w:val="none" w:sz="0" w:space="0" w:color="auto"/>
            <w:bottom w:val="none" w:sz="0" w:space="0" w:color="auto"/>
            <w:right w:val="none" w:sz="0" w:space="0" w:color="auto"/>
          </w:divBdr>
        </w:div>
        <w:div w:id="1658415824">
          <w:marLeft w:val="446"/>
          <w:marRight w:val="0"/>
          <w:marTop w:val="280"/>
          <w:marBottom w:val="0"/>
          <w:divBdr>
            <w:top w:val="none" w:sz="0" w:space="0" w:color="auto"/>
            <w:left w:val="none" w:sz="0" w:space="0" w:color="auto"/>
            <w:bottom w:val="none" w:sz="0" w:space="0" w:color="auto"/>
            <w:right w:val="none" w:sz="0" w:space="0" w:color="auto"/>
          </w:divBdr>
        </w:div>
      </w:divsChild>
    </w:div>
    <w:div w:id="1387994479">
      <w:bodyDiv w:val="1"/>
      <w:marLeft w:val="0"/>
      <w:marRight w:val="0"/>
      <w:marTop w:val="0"/>
      <w:marBottom w:val="0"/>
      <w:divBdr>
        <w:top w:val="none" w:sz="0" w:space="0" w:color="auto"/>
        <w:left w:val="none" w:sz="0" w:space="0" w:color="auto"/>
        <w:bottom w:val="none" w:sz="0" w:space="0" w:color="auto"/>
        <w:right w:val="none" w:sz="0" w:space="0" w:color="auto"/>
      </w:divBdr>
    </w:div>
    <w:div w:id="1556626938">
      <w:bodyDiv w:val="1"/>
      <w:marLeft w:val="0"/>
      <w:marRight w:val="0"/>
      <w:marTop w:val="0"/>
      <w:marBottom w:val="0"/>
      <w:divBdr>
        <w:top w:val="none" w:sz="0" w:space="0" w:color="auto"/>
        <w:left w:val="none" w:sz="0" w:space="0" w:color="auto"/>
        <w:bottom w:val="none" w:sz="0" w:space="0" w:color="auto"/>
        <w:right w:val="none" w:sz="0" w:space="0" w:color="auto"/>
      </w:divBdr>
    </w:div>
    <w:div w:id="1566798376">
      <w:bodyDiv w:val="1"/>
      <w:marLeft w:val="0"/>
      <w:marRight w:val="0"/>
      <w:marTop w:val="0"/>
      <w:marBottom w:val="0"/>
      <w:divBdr>
        <w:top w:val="none" w:sz="0" w:space="0" w:color="auto"/>
        <w:left w:val="none" w:sz="0" w:space="0" w:color="auto"/>
        <w:bottom w:val="none" w:sz="0" w:space="0" w:color="auto"/>
        <w:right w:val="none" w:sz="0" w:space="0" w:color="auto"/>
      </w:divBdr>
    </w:div>
    <w:div w:id="1702432941">
      <w:bodyDiv w:val="1"/>
      <w:marLeft w:val="0"/>
      <w:marRight w:val="0"/>
      <w:marTop w:val="0"/>
      <w:marBottom w:val="0"/>
      <w:divBdr>
        <w:top w:val="none" w:sz="0" w:space="0" w:color="auto"/>
        <w:left w:val="none" w:sz="0" w:space="0" w:color="auto"/>
        <w:bottom w:val="none" w:sz="0" w:space="0" w:color="auto"/>
        <w:right w:val="none" w:sz="0" w:space="0" w:color="auto"/>
      </w:divBdr>
      <w:divsChild>
        <w:div w:id="864827874">
          <w:marLeft w:val="0"/>
          <w:marRight w:val="0"/>
          <w:marTop w:val="240"/>
          <w:marBottom w:val="360"/>
          <w:divBdr>
            <w:top w:val="none" w:sz="0" w:space="0" w:color="auto"/>
            <w:left w:val="none" w:sz="0" w:space="0" w:color="auto"/>
            <w:bottom w:val="none" w:sz="0" w:space="0" w:color="auto"/>
            <w:right w:val="none" w:sz="0" w:space="0" w:color="auto"/>
          </w:divBdr>
        </w:div>
      </w:divsChild>
    </w:div>
    <w:div w:id="1705523322">
      <w:bodyDiv w:val="1"/>
      <w:marLeft w:val="0"/>
      <w:marRight w:val="0"/>
      <w:marTop w:val="0"/>
      <w:marBottom w:val="0"/>
      <w:divBdr>
        <w:top w:val="none" w:sz="0" w:space="0" w:color="auto"/>
        <w:left w:val="none" w:sz="0" w:space="0" w:color="auto"/>
        <w:bottom w:val="none" w:sz="0" w:space="0" w:color="auto"/>
        <w:right w:val="none" w:sz="0" w:space="0" w:color="auto"/>
      </w:divBdr>
    </w:div>
    <w:div w:id="1710838573">
      <w:bodyDiv w:val="1"/>
      <w:marLeft w:val="0"/>
      <w:marRight w:val="0"/>
      <w:marTop w:val="0"/>
      <w:marBottom w:val="0"/>
      <w:divBdr>
        <w:top w:val="none" w:sz="0" w:space="0" w:color="auto"/>
        <w:left w:val="none" w:sz="0" w:space="0" w:color="auto"/>
        <w:bottom w:val="none" w:sz="0" w:space="0" w:color="auto"/>
        <w:right w:val="none" w:sz="0" w:space="0" w:color="auto"/>
      </w:divBdr>
    </w:div>
    <w:div w:id="1725711265">
      <w:bodyDiv w:val="1"/>
      <w:marLeft w:val="0"/>
      <w:marRight w:val="0"/>
      <w:marTop w:val="0"/>
      <w:marBottom w:val="0"/>
      <w:divBdr>
        <w:top w:val="none" w:sz="0" w:space="0" w:color="auto"/>
        <w:left w:val="none" w:sz="0" w:space="0" w:color="auto"/>
        <w:bottom w:val="none" w:sz="0" w:space="0" w:color="auto"/>
        <w:right w:val="none" w:sz="0" w:space="0" w:color="auto"/>
      </w:divBdr>
    </w:div>
    <w:div w:id="1760714095">
      <w:bodyDiv w:val="1"/>
      <w:marLeft w:val="0"/>
      <w:marRight w:val="0"/>
      <w:marTop w:val="0"/>
      <w:marBottom w:val="0"/>
      <w:divBdr>
        <w:top w:val="none" w:sz="0" w:space="0" w:color="auto"/>
        <w:left w:val="none" w:sz="0" w:space="0" w:color="auto"/>
        <w:bottom w:val="none" w:sz="0" w:space="0" w:color="auto"/>
        <w:right w:val="none" w:sz="0" w:space="0" w:color="auto"/>
      </w:divBdr>
    </w:div>
    <w:div w:id="1804230410">
      <w:bodyDiv w:val="1"/>
      <w:marLeft w:val="0"/>
      <w:marRight w:val="0"/>
      <w:marTop w:val="0"/>
      <w:marBottom w:val="0"/>
      <w:divBdr>
        <w:top w:val="none" w:sz="0" w:space="0" w:color="auto"/>
        <w:left w:val="none" w:sz="0" w:space="0" w:color="auto"/>
        <w:bottom w:val="none" w:sz="0" w:space="0" w:color="auto"/>
        <w:right w:val="none" w:sz="0" w:space="0" w:color="auto"/>
      </w:divBdr>
    </w:div>
    <w:div w:id="1826388406">
      <w:bodyDiv w:val="1"/>
      <w:marLeft w:val="0"/>
      <w:marRight w:val="0"/>
      <w:marTop w:val="0"/>
      <w:marBottom w:val="0"/>
      <w:divBdr>
        <w:top w:val="none" w:sz="0" w:space="0" w:color="auto"/>
        <w:left w:val="none" w:sz="0" w:space="0" w:color="auto"/>
        <w:bottom w:val="none" w:sz="0" w:space="0" w:color="auto"/>
        <w:right w:val="none" w:sz="0" w:space="0" w:color="auto"/>
      </w:divBdr>
    </w:div>
    <w:div w:id="1861775189">
      <w:bodyDiv w:val="1"/>
      <w:marLeft w:val="0"/>
      <w:marRight w:val="0"/>
      <w:marTop w:val="0"/>
      <w:marBottom w:val="0"/>
      <w:divBdr>
        <w:top w:val="none" w:sz="0" w:space="0" w:color="auto"/>
        <w:left w:val="none" w:sz="0" w:space="0" w:color="auto"/>
        <w:bottom w:val="none" w:sz="0" w:space="0" w:color="auto"/>
        <w:right w:val="none" w:sz="0" w:space="0" w:color="auto"/>
      </w:divBdr>
    </w:div>
    <w:div w:id="1899970397">
      <w:bodyDiv w:val="1"/>
      <w:marLeft w:val="0"/>
      <w:marRight w:val="0"/>
      <w:marTop w:val="0"/>
      <w:marBottom w:val="0"/>
      <w:divBdr>
        <w:top w:val="none" w:sz="0" w:space="0" w:color="auto"/>
        <w:left w:val="none" w:sz="0" w:space="0" w:color="auto"/>
        <w:bottom w:val="none" w:sz="0" w:space="0" w:color="auto"/>
        <w:right w:val="none" w:sz="0" w:space="0" w:color="auto"/>
      </w:divBdr>
    </w:div>
    <w:div w:id="1905599712">
      <w:bodyDiv w:val="1"/>
      <w:marLeft w:val="0"/>
      <w:marRight w:val="0"/>
      <w:marTop w:val="0"/>
      <w:marBottom w:val="0"/>
      <w:divBdr>
        <w:top w:val="none" w:sz="0" w:space="0" w:color="auto"/>
        <w:left w:val="none" w:sz="0" w:space="0" w:color="auto"/>
        <w:bottom w:val="none" w:sz="0" w:space="0" w:color="auto"/>
        <w:right w:val="none" w:sz="0" w:space="0" w:color="auto"/>
      </w:divBdr>
    </w:div>
    <w:div w:id="1972468924">
      <w:bodyDiv w:val="1"/>
      <w:marLeft w:val="0"/>
      <w:marRight w:val="0"/>
      <w:marTop w:val="0"/>
      <w:marBottom w:val="0"/>
      <w:divBdr>
        <w:top w:val="none" w:sz="0" w:space="0" w:color="auto"/>
        <w:left w:val="none" w:sz="0" w:space="0" w:color="auto"/>
        <w:bottom w:val="none" w:sz="0" w:space="0" w:color="auto"/>
        <w:right w:val="none" w:sz="0" w:space="0" w:color="auto"/>
      </w:divBdr>
    </w:div>
    <w:div w:id="1974214968">
      <w:bodyDiv w:val="1"/>
      <w:marLeft w:val="0"/>
      <w:marRight w:val="0"/>
      <w:marTop w:val="0"/>
      <w:marBottom w:val="0"/>
      <w:divBdr>
        <w:top w:val="none" w:sz="0" w:space="0" w:color="auto"/>
        <w:left w:val="none" w:sz="0" w:space="0" w:color="auto"/>
        <w:bottom w:val="none" w:sz="0" w:space="0" w:color="auto"/>
        <w:right w:val="none" w:sz="0" w:space="0" w:color="auto"/>
      </w:divBdr>
    </w:div>
    <w:div w:id="2000305535">
      <w:bodyDiv w:val="1"/>
      <w:marLeft w:val="0"/>
      <w:marRight w:val="0"/>
      <w:marTop w:val="0"/>
      <w:marBottom w:val="0"/>
      <w:divBdr>
        <w:top w:val="none" w:sz="0" w:space="0" w:color="auto"/>
        <w:left w:val="none" w:sz="0" w:space="0" w:color="auto"/>
        <w:bottom w:val="none" w:sz="0" w:space="0" w:color="auto"/>
        <w:right w:val="none" w:sz="0" w:space="0" w:color="auto"/>
      </w:divBdr>
    </w:div>
    <w:div w:id="2023390899">
      <w:bodyDiv w:val="1"/>
      <w:marLeft w:val="0"/>
      <w:marRight w:val="0"/>
      <w:marTop w:val="0"/>
      <w:marBottom w:val="0"/>
      <w:divBdr>
        <w:top w:val="none" w:sz="0" w:space="0" w:color="auto"/>
        <w:left w:val="none" w:sz="0" w:space="0" w:color="auto"/>
        <w:bottom w:val="none" w:sz="0" w:space="0" w:color="auto"/>
        <w:right w:val="none" w:sz="0" w:space="0" w:color="auto"/>
      </w:divBdr>
    </w:div>
    <w:div w:id="2027636324">
      <w:bodyDiv w:val="1"/>
      <w:marLeft w:val="0"/>
      <w:marRight w:val="0"/>
      <w:marTop w:val="0"/>
      <w:marBottom w:val="0"/>
      <w:divBdr>
        <w:top w:val="none" w:sz="0" w:space="0" w:color="auto"/>
        <w:left w:val="none" w:sz="0" w:space="0" w:color="auto"/>
        <w:bottom w:val="none" w:sz="0" w:space="0" w:color="auto"/>
        <w:right w:val="none" w:sz="0" w:space="0" w:color="auto"/>
      </w:divBdr>
    </w:div>
    <w:div w:id="2051611904">
      <w:bodyDiv w:val="1"/>
      <w:marLeft w:val="0"/>
      <w:marRight w:val="0"/>
      <w:marTop w:val="0"/>
      <w:marBottom w:val="0"/>
      <w:divBdr>
        <w:top w:val="none" w:sz="0" w:space="0" w:color="auto"/>
        <w:left w:val="none" w:sz="0" w:space="0" w:color="auto"/>
        <w:bottom w:val="none" w:sz="0" w:space="0" w:color="auto"/>
        <w:right w:val="none" w:sz="0" w:space="0" w:color="auto"/>
      </w:divBdr>
    </w:div>
    <w:div w:id="2056393945">
      <w:bodyDiv w:val="1"/>
      <w:marLeft w:val="0"/>
      <w:marRight w:val="0"/>
      <w:marTop w:val="0"/>
      <w:marBottom w:val="0"/>
      <w:divBdr>
        <w:top w:val="none" w:sz="0" w:space="0" w:color="auto"/>
        <w:left w:val="none" w:sz="0" w:space="0" w:color="auto"/>
        <w:bottom w:val="none" w:sz="0" w:space="0" w:color="auto"/>
        <w:right w:val="none" w:sz="0" w:space="0" w:color="auto"/>
      </w:divBdr>
      <w:divsChild>
        <w:div w:id="1467547689">
          <w:marLeft w:val="1152"/>
          <w:marRight w:val="0"/>
          <w:marTop w:val="40"/>
          <w:marBottom w:val="80"/>
          <w:divBdr>
            <w:top w:val="none" w:sz="0" w:space="0" w:color="auto"/>
            <w:left w:val="none" w:sz="0" w:space="0" w:color="auto"/>
            <w:bottom w:val="none" w:sz="0" w:space="0" w:color="auto"/>
            <w:right w:val="none" w:sz="0" w:space="0" w:color="auto"/>
          </w:divBdr>
        </w:div>
        <w:div w:id="1089540246">
          <w:marLeft w:val="1152"/>
          <w:marRight w:val="0"/>
          <w:marTop w:val="40"/>
          <w:marBottom w:val="80"/>
          <w:divBdr>
            <w:top w:val="none" w:sz="0" w:space="0" w:color="auto"/>
            <w:left w:val="none" w:sz="0" w:space="0" w:color="auto"/>
            <w:bottom w:val="none" w:sz="0" w:space="0" w:color="auto"/>
            <w:right w:val="none" w:sz="0" w:space="0" w:color="auto"/>
          </w:divBdr>
        </w:div>
        <w:div w:id="1767074820">
          <w:marLeft w:val="1152"/>
          <w:marRight w:val="0"/>
          <w:marTop w:val="40"/>
          <w:marBottom w:val="80"/>
          <w:divBdr>
            <w:top w:val="none" w:sz="0" w:space="0" w:color="auto"/>
            <w:left w:val="none" w:sz="0" w:space="0" w:color="auto"/>
            <w:bottom w:val="none" w:sz="0" w:space="0" w:color="auto"/>
            <w:right w:val="none" w:sz="0" w:space="0" w:color="auto"/>
          </w:divBdr>
        </w:div>
      </w:divsChild>
    </w:div>
    <w:div w:id="2057851970">
      <w:bodyDiv w:val="1"/>
      <w:marLeft w:val="0"/>
      <w:marRight w:val="0"/>
      <w:marTop w:val="0"/>
      <w:marBottom w:val="0"/>
      <w:divBdr>
        <w:top w:val="none" w:sz="0" w:space="0" w:color="auto"/>
        <w:left w:val="none" w:sz="0" w:space="0" w:color="auto"/>
        <w:bottom w:val="none" w:sz="0" w:space="0" w:color="auto"/>
        <w:right w:val="none" w:sz="0" w:space="0" w:color="auto"/>
      </w:divBdr>
    </w:div>
    <w:div w:id="2118527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assification.nlm.nih.gov/"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lassification.nlm.nih.gov/table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lm.nih.gov/pubs/techbull/jf22/jf22_nlm_classification_winter_2022.html" TargetMode="External"/><Relationship Id="rId4" Type="http://schemas.openxmlformats.org/officeDocument/2006/relationships/settings" Target="settings.xml"/><Relationship Id="rId9" Type="http://schemas.openxmlformats.org/officeDocument/2006/relationships/hyperlink" Target="https://www.nlm.nih.gov/pubs/techbull/jf22/jf22_nlm_classification_winter_2022.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1DDA77-5B75-4532-9310-FFE9EF1E9E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666</Words>
  <Characters>3798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Bushman, Barbara (NIH/NLM) [E]</dc:creator>
  <cp:keywords/>
  <dc:description/>
  <cp:lastModifiedBy>Candy Riley</cp:lastModifiedBy>
  <cp:revision>2</cp:revision>
  <cp:lastPrinted>2022-06-01T16:05:00Z</cp:lastPrinted>
  <dcterms:created xsi:type="dcterms:W3CDTF">2022-06-01T16:05:00Z</dcterms:created>
  <dcterms:modified xsi:type="dcterms:W3CDTF">2022-06-01T16:05:00Z</dcterms:modified>
</cp:coreProperties>
</file>