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C3F0" w14:textId="77777777" w:rsidR="008340B9" w:rsidRDefault="008340B9" w:rsidP="008340B9">
      <w:pPr>
        <w:pStyle w:val="NoSpacing"/>
      </w:pPr>
    </w:p>
    <w:p w14:paraId="56F0E27D" w14:textId="77777777" w:rsidR="008340B9" w:rsidRPr="00BE7E5D" w:rsidRDefault="008340B9" w:rsidP="008340B9">
      <w:pPr>
        <w:pStyle w:val="NoSpacing"/>
        <w:rPr>
          <w:sz w:val="24"/>
          <w:szCs w:val="24"/>
        </w:rPr>
      </w:pPr>
      <w:r w:rsidRPr="00BE7E5D">
        <w:rPr>
          <w:sz w:val="24"/>
          <w:szCs w:val="24"/>
        </w:rPr>
        <w:t xml:space="preserve">TO: </w:t>
      </w:r>
      <w:r w:rsidRPr="00BE7E5D">
        <w:rPr>
          <w:sz w:val="24"/>
          <w:szCs w:val="24"/>
        </w:rPr>
        <w:tab/>
      </w:r>
      <w:r w:rsidRPr="00BE7E5D">
        <w:rPr>
          <w:sz w:val="24"/>
          <w:szCs w:val="24"/>
        </w:rPr>
        <w:tab/>
        <w:t>PLA Board of Directors</w:t>
      </w:r>
    </w:p>
    <w:p w14:paraId="722DB6E4" w14:textId="77777777" w:rsidR="008340B9" w:rsidRDefault="008340B9" w:rsidP="008340B9">
      <w:pPr>
        <w:pStyle w:val="NoSpacing"/>
        <w:rPr>
          <w:sz w:val="24"/>
          <w:szCs w:val="24"/>
        </w:rPr>
      </w:pPr>
      <w:r>
        <w:rPr>
          <w:sz w:val="24"/>
          <w:szCs w:val="24"/>
        </w:rPr>
        <w:t>FROM:</w:t>
      </w:r>
      <w:r>
        <w:rPr>
          <w:sz w:val="24"/>
          <w:szCs w:val="24"/>
        </w:rPr>
        <w:tab/>
      </w:r>
      <w:r>
        <w:rPr>
          <w:sz w:val="24"/>
          <w:szCs w:val="24"/>
        </w:rPr>
        <w:tab/>
        <w:t>PLA Staff</w:t>
      </w:r>
    </w:p>
    <w:p w14:paraId="5ECE2EBB" w14:textId="13EEC6ED" w:rsidR="008340B9" w:rsidRPr="00BE7E5D" w:rsidRDefault="008340B9" w:rsidP="008340B9">
      <w:pPr>
        <w:pStyle w:val="NoSpacing"/>
        <w:ind w:left="1440" w:hanging="1440"/>
        <w:rPr>
          <w:sz w:val="24"/>
          <w:szCs w:val="24"/>
        </w:rPr>
      </w:pPr>
      <w:r w:rsidRPr="00BE7E5D">
        <w:rPr>
          <w:sz w:val="24"/>
          <w:szCs w:val="24"/>
        </w:rPr>
        <w:t>RE:</w:t>
      </w:r>
      <w:r w:rsidRPr="00BE7E5D">
        <w:rPr>
          <w:sz w:val="24"/>
          <w:szCs w:val="24"/>
        </w:rPr>
        <w:tab/>
      </w:r>
      <w:r>
        <w:rPr>
          <w:sz w:val="24"/>
          <w:szCs w:val="24"/>
        </w:rPr>
        <w:t xml:space="preserve">ALA Digital Content Working Group Overview (DCWG) and Selection of PLA Representative to DCWG </w:t>
      </w:r>
    </w:p>
    <w:p w14:paraId="26E396F9" w14:textId="30FF949C" w:rsidR="008340B9" w:rsidRPr="00BE7E5D" w:rsidRDefault="008340B9" w:rsidP="008340B9">
      <w:pPr>
        <w:pStyle w:val="NoSpacing"/>
        <w:rPr>
          <w:sz w:val="24"/>
          <w:szCs w:val="24"/>
        </w:rPr>
      </w:pPr>
      <w:r w:rsidRPr="00BE7E5D">
        <w:rPr>
          <w:sz w:val="24"/>
          <w:szCs w:val="24"/>
        </w:rPr>
        <w:t>DATE:</w:t>
      </w:r>
      <w:r w:rsidRPr="00BE7E5D">
        <w:rPr>
          <w:sz w:val="24"/>
          <w:szCs w:val="24"/>
        </w:rPr>
        <w:tab/>
      </w:r>
      <w:r w:rsidRPr="00BE7E5D">
        <w:rPr>
          <w:sz w:val="24"/>
          <w:szCs w:val="24"/>
        </w:rPr>
        <w:tab/>
      </w:r>
      <w:r>
        <w:rPr>
          <w:sz w:val="24"/>
          <w:szCs w:val="24"/>
        </w:rPr>
        <w:t>August 27, 2019</w:t>
      </w:r>
    </w:p>
    <w:p w14:paraId="04239C89" w14:textId="77777777" w:rsidR="008340B9" w:rsidRPr="00BE7E5D" w:rsidRDefault="008340B9" w:rsidP="008340B9">
      <w:pPr>
        <w:tabs>
          <w:tab w:val="left" w:pos="720"/>
          <w:tab w:val="left" w:pos="1440"/>
          <w:tab w:val="left" w:pos="2160"/>
          <w:tab w:val="left" w:pos="3120"/>
        </w:tabs>
        <w:rPr>
          <w:sz w:val="24"/>
          <w:szCs w:val="24"/>
        </w:rPr>
      </w:pPr>
    </w:p>
    <w:p w14:paraId="0731B541" w14:textId="7B4EA522" w:rsidR="008340B9" w:rsidRPr="00BE7E5D" w:rsidRDefault="008340B9" w:rsidP="008340B9">
      <w:pPr>
        <w:rPr>
          <w:sz w:val="24"/>
          <w:szCs w:val="24"/>
        </w:rPr>
      </w:pPr>
      <w:r w:rsidRPr="00BE7E5D">
        <w:rPr>
          <w:b/>
          <w:sz w:val="24"/>
          <w:szCs w:val="24"/>
        </w:rPr>
        <w:t xml:space="preserve">DRAFT OF MOTION: </w:t>
      </w:r>
      <w:r w:rsidRPr="00BE7E5D">
        <w:rPr>
          <w:sz w:val="24"/>
          <w:szCs w:val="24"/>
        </w:rPr>
        <w:tab/>
      </w:r>
      <w:r>
        <w:rPr>
          <w:sz w:val="24"/>
          <w:szCs w:val="24"/>
        </w:rPr>
        <w:t xml:space="preserve">That the PLA Board of Directors recommend </w:t>
      </w:r>
      <w:r w:rsidR="00A5110E" w:rsidRPr="00A5110E">
        <w:rPr>
          <w:i/>
          <w:iCs/>
          <w:sz w:val="24"/>
          <w:szCs w:val="24"/>
        </w:rPr>
        <w:t>TBD</w:t>
      </w:r>
      <w:r>
        <w:rPr>
          <w:sz w:val="24"/>
          <w:szCs w:val="24"/>
        </w:rPr>
        <w:t xml:space="preserve"> to serve as PLA’s representative to the ALA </w:t>
      </w:r>
      <w:r w:rsidR="003F721F">
        <w:rPr>
          <w:sz w:val="24"/>
          <w:szCs w:val="24"/>
        </w:rPr>
        <w:t>DCWG.</w:t>
      </w:r>
      <w:bookmarkStart w:id="0" w:name="_GoBack"/>
      <w:bookmarkEnd w:id="0"/>
    </w:p>
    <w:p w14:paraId="2AE78B0E" w14:textId="77777777" w:rsidR="008340B9" w:rsidRPr="00BE7E5D" w:rsidRDefault="008340B9" w:rsidP="008340B9">
      <w:pPr>
        <w:rPr>
          <w:sz w:val="24"/>
          <w:szCs w:val="24"/>
        </w:rPr>
      </w:pPr>
      <w:r>
        <w:rPr>
          <w:b/>
          <w:sz w:val="24"/>
          <w:szCs w:val="24"/>
        </w:rPr>
        <w:t>OVERVIEW</w:t>
      </w:r>
    </w:p>
    <w:p w14:paraId="0FCE5F6C" w14:textId="59193AE4" w:rsidR="008340B9" w:rsidRDefault="008340B9" w:rsidP="008340B9">
      <w:pPr>
        <w:rPr>
          <w:sz w:val="24"/>
          <w:szCs w:val="24"/>
        </w:rPr>
      </w:pPr>
      <w:r>
        <w:rPr>
          <w:sz w:val="24"/>
          <w:szCs w:val="24"/>
        </w:rPr>
        <w:t xml:space="preserve">Below is an overview of the draft charge and composition of ALA’s DCWG. PLA has been asked to recommend a PLA representative to the group. </w:t>
      </w:r>
    </w:p>
    <w:p w14:paraId="142B29D7" w14:textId="77777777" w:rsidR="008340B9" w:rsidRPr="008340B9" w:rsidRDefault="008340B9" w:rsidP="008340B9">
      <w:pPr>
        <w:pStyle w:val="NoSpacing"/>
        <w:rPr>
          <w:b/>
          <w:bCs/>
        </w:rPr>
      </w:pPr>
    </w:p>
    <w:p w14:paraId="3FC73E84" w14:textId="5E3436E7" w:rsidR="00371FD1" w:rsidRPr="008340B9" w:rsidRDefault="00371FD1" w:rsidP="008340B9">
      <w:pPr>
        <w:pStyle w:val="NoSpacing"/>
        <w:rPr>
          <w:b/>
          <w:bCs/>
          <w:sz w:val="24"/>
          <w:szCs w:val="24"/>
        </w:rPr>
      </w:pPr>
      <w:r w:rsidRPr="008340B9">
        <w:rPr>
          <w:b/>
          <w:bCs/>
          <w:sz w:val="24"/>
          <w:szCs w:val="24"/>
        </w:rPr>
        <w:t xml:space="preserve">ALA Digital Content </w:t>
      </w:r>
      <w:r w:rsidR="00E644D8" w:rsidRPr="008340B9">
        <w:rPr>
          <w:b/>
          <w:bCs/>
          <w:sz w:val="24"/>
          <w:szCs w:val="24"/>
        </w:rPr>
        <w:t>Working Group (DCWG)</w:t>
      </w:r>
    </w:p>
    <w:p w14:paraId="3FCA526D" w14:textId="05DE5FE2" w:rsidR="005456AB" w:rsidRPr="008340B9" w:rsidRDefault="00371FD1" w:rsidP="008340B9">
      <w:pPr>
        <w:pStyle w:val="NoSpacing"/>
        <w:rPr>
          <w:b/>
          <w:bCs/>
          <w:sz w:val="24"/>
          <w:szCs w:val="24"/>
        </w:rPr>
      </w:pPr>
      <w:r w:rsidRPr="008340B9">
        <w:rPr>
          <w:b/>
          <w:bCs/>
          <w:sz w:val="24"/>
          <w:szCs w:val="24"/>
        </w:rPr>
        <w:t>August 2019</w:t>
      </w:r>
    </w:p>
    <w:p w14:paraId="4FC8E7FA" w14:textId="77777777" w:rsidR="002B1846" w:rsidRPr="008340B9" w:rsidRDefault="002B1846" w:rsidP="008340B9">
      <w:pPr>
        <w:pStyle w:val="NoSpacing"/>
        <w:rPr>
          <w:b/>
          <w:bCs/>
        </w:rPr>
      </w:pPr>
    </w:p>
    <w:p w14:paraId="4CA1AEE4" w14:textId="540EC64F" w:rsidR="00371FD1" w:rsidRPr="00371FD1" w:rsidRDefault="00371FD1">
      <w:pPr>
        <w:rPr>
          <w:sz w:val="24"/>
          <w:szCs w:val="24"/>
        </w:rPr>
      </w:pPr>
      <w:r w:rsidRPr="00371FD1">
        <w:rPr>
          <w:b/>
          <w:bCs/>
          <w:sz w:val="24"/>
          <w:szCs w:val="24"/>
        </w:rPr>
        <w:t>EXPERTISE OF MEMBERS</w:t>
      </w:r>
    </w:p>
    <w:p w14:paraId="4741B549" w14:textId="03D609FD" w:rsidR="002B1846" w:rsidRPr="00371FD1" w:rsidRDefault="002B1846">
      <w:pPr>
        <w:rPr>
          <w:sz w:val="24"/>
          <w:szCs w:val="24"/>
        </w:rPr>
      </w:pPr>
      <w:r w:rsidRPr="00371FD1">
        <w:rPr>
          <w:sz w:val="24"/>
          <w:szCs w:val="24"/>
        </w:rPr>
        <w:t xml:space="preserve"> </w:t>
      </w:r>
      <w:r w:rsidR="00371FD1" w:rsidRPr="00371FD1">
        <w:rPr>
          <w:sz w:val="24"/>
          <w:szCs w:val="24"/>
        </w:rPr>
        <w:t xml:space="preserve">DCWG members </w:t>
      </w:r>
      <w:r w:rsidRPr="00371FD1">
        <w:rPr>
          <w:sz w:val="24"/>
          <w:szCs w:val="24"/>
        </w:rPr>
        <w:t xml:space="preserve">should have a broad knowledge of issues relating to the provision of eBooks, audiobooks and digital collections to libraries. The </w:t>
      </w:r>
      <w:r w:rsidR="00E644D8">
        <w:rPr>
          <w:sz w:val="24"/>
          <w:szCs w:val="24"/>
        </w:rPr>
        <w:t>Working Group (WG)</w:t>
      </w:r>
      <w:r w:rsidRPr="00371FD1">
        <w:rPr>
          <w:sz w:val="24"/>
          <w:szCs w:val="24"/>
        </w:rPr>
        <w:t xml:space="preserve"> will explore several aspects relating to providing digital content. We are seeking members with specific experience in managing, licensing, collection development, discovery, customer support, evaluation and benchmarking, and accessibility issues for eBook and digital collections. This will allow the </w:t>
      </w:r>
      <w:r w:rsidR="00E644D8">
        <w:rPr>
          <w:sz w:val="24"/>
          <w:szCs w:val="24"/>
        </w:rPr>
        <w:t>WG</w:t>
      </w:r>
      <w:r w:rsidRPr="00371FD1">
        <w:rPr>
          <w:sz w:val="24"/>
          <w:szCs w:val="24"/>
        </w:rPr>
        <w:t xml:space="preserve"> to proceed quickly with discussion and development of resources for education and advocacy.</w:t>
      </w:r>
    </w:p>
    <w:p w14:paraId="66A63C7D" w14:textId="77777777" w:rsidR="00D40302" w:rsidRDefault="00D40302"/>
    <w:p w14:paraId="126B8046" w14:textId="77777777" w:rsidR="00811898" w:rsidRPr="00371FD1" w:rsidRDefault="00811898">
      <w:pPr>
        <w:rPr>
          <w:b/>
          <w:bCs/>
          <w:sz w:val="24"/>
          <w:szCs w:val="24"/>
        </w:rPr>
      </w:pPr>
      <w:r w:rsidRPr="00371FD1">
        <w:rPr>
          <w:b/>
          <w:bCs/>
          <w:sz w:val="24"/>
          <w:szCs w:val="24"/>
        </w:rPr>
        <w:t>DRAFT CHARGE</w:t>
      </w:r>
    </w:p>
    <w:p w14:paraId="4124B062" w14:textId="77777777" w:rsidR="00811898" w:rsidRDefault="00811898" w:rsidP="00811898">
      <w:pPr>
        <w:spacing w:after="0" w:line="240" w:lineRule="auto"/>
        <w:rPr>
          <w:sz w:val="24"/>
          <w:szCs w:val="24"/>
        </w:rPr>
      </w:pPr>
      <w:r>
        <w:rPr>
          <w:sz w:val="24"/>
          <w:szCs w:val="24"/>
        </w:rPr>
        <w:t xml:space="preserve">The rise of digital content presents extraordinary opportunities for improved library services. At the same time, digital content poses some of the most formidable challenges to providing equitable services in libraries. </w:t>
      </w:r>
    </w:p>
    <w:p w14:paraId="378F66DC" w14:textId="77777777" w:rsidR="00811898" w:rsidRDefault="00811898" w:rsidP="00811898">
      <w:pPr>
        <w:spacing w:after="0" w:line="240" w:lineRule="auto"/>
        <w:rPr>
          <w:sz w:val="24"/>
          <w:szCs w:val="24"/>
        </w:rPr>
      </w:pPr>
    </w:p>
    <w:p w14:paraId="1369D5CC" w14:textId="77777777" w:rsidR="00811898" w:rsidRDefault="00811898" w:rsidP="00811898">
      <w:pPr>
        <w:spacing w:line="240" w:lineRule="auto"/>
        <w:rPr>
          <w:sz w:val="24"/>
          <w:szCs w:val="24"/>
        </w:rPr>
      </w:pPr>
      <w:r>
        <w:rPr>
          <w:sz w:val="24"/>
          <w:szCs w:val="24"/>
        </w:rPr>
        <w:t xml:space="preserve">These challenges are multiple, but especially problematic are the high pricing associated with many digital services and the terms through which they are available. Libraries often encounter terms that are less generous than with analog information products, and sometimes digital content is not available at all to libraries. </w:t>
      </w:r>
    </w:p>
    <w:p w14:paraId="5E3BBEB6" w14:textId="6CE71D4E" w:rsidR="00811898" w:rsidRDefault="00811898" w:rsidP="00811898">
      <w:pPr>
        <w:spacing w:line="240" w:lineRule="auto"/>
        <w:rPr>
          <w:sz w:val="24"/>
          <w:szCs w:val="24"/>
        </w:rPr>
      </w:pPr>
      <w:r>
        <w:rPr>
          <w:sz w:val="24"/>
          <w:szCs w:val="24"/>
        </w:rPr>
        <w:t xml:space="preserve">Recent developments in the trade publishing marketplace indicate that the library community needs more concentrated efforts in addressing these issues. Accordingly, the ALA Council adopted a Resolution on Digital Content Pricing for Libraries at the 2019 ALA Annual Conference to establish a Joint </w:t>
      </w:r>
      <w:r w:rsidR="00E644D8">
        <w:rPr>
          <w:sz w:val="24"/>
          <w:szCs w:val="24"/>
        </w:rPr>
        <w:t>WG</w:t>
      </w:r>
      <w:r>
        <w:rPr>
          <w:sz w:val="24"/>
          <w:szCs w:val="24"/>
        </w:rPr>
        <w:t xml:space="preserve"> on Digital Content. This </w:t>
      </w:r>
      <w:r w:rsidR="00E644D8">
        <w:rPr>
          <w:sz w:val="24"/>
          <w:szCs w:val="24"/>
        </w:rPr>
        <w:t>WG</w:t>
      </w:r>
      <w:r>
        <w:rPr>
          <w:sz w:val="24"/>
          <w:szCs w:val="24"/>
        </w:rPr>
        <w:t xml:space="preserve"> is charged to:</w:t>
      </w:r>
    </w:p>
    <w:p w14:paraId="35103086" w14:textId="77777777" w:rsidR="00811898" w:rsidRDefault="00811898" w:rsidP="00811898">
      <w:pPr>
        <w:pStyle w:val="ListParagraph"/>
        <w:numPr>
          <w:ilvl w:val="0"/>
          <w:numId w:val="1"/>
        </w:numPr>
        <w:spacing w:line="240" w:lineRule="auto"/>
        <w:rPr>
          <w:sz w:val="24"/>
          <w:szCs w:val="24"/>
        </w:rPr>
      </w:pPr>
      <w:r>
        <w:rPr>
          <w:sz w:val="24"/>
          <w:szCs w:val="24"/>
        </w:rPr>
        <w:lastRenderedPageBreak/>
        <w:t>Advise the Association regarding opportunities and challenges related to libraries and digital content and the provision of equitable access to digital content for all.</w:t>
      </w:r>
    </w:p>
    <w:p w14:paraId="49224771" w14:textId="77777777" w:rsidR="00811898" w:rsidRDefault="00811898" w:rsidP="00811898">
      <w:pPr>
        <w:pStyle w:val="ListParagraph"/>
        <w:spacing w:after="0" w:line="240" w:lineRule="auto"/>
        <w:rPr>
          <w:sz w:val="24"/>
          <w:szCs w:val="24"/>
        </w:rPr>
      </w:pPr>
    </w:p>
    <w:p w14:paraId="431B8DD2" w14:textId="77777777" w:rsidR="00811898" w:rsidRDefault="00811898" w:rsidP="00811898">
      <w:pPr>
        <w:pStyle w:val="ListParagraph"/>
        <w:numPr>
          <w:ilvl w:val="0"/>
          <w:numId w:val="1"/>
        </w:numPr>
        <w:spacing w:after="0" w:line="240" w:lineRule="auto"/>
        <w:rPr>
          <w:sz w:val="24"/>
          <w:szCs w:val="24"/>
        </w:rPr>
      </w:pPr>
      <w:r>
        <w:rPr>
          <w:sz w:val="24"/>
          <w:szCs w:val="24"/>
        </w:rPr>
        <w:t>Explore, analyze and share information on various options for improving access to digital content for libraries and the public (e.g., via various licensing models) and for overcoming legal, technological, policy and economic barriers to equitable access.</w:t>
      </w:r>
    </w:p>
    <w:p w14:paraId="131C8DFA" w14:textId="77777777" w:rsidR="00811898" w:rsidRDefault="00811898" w:rsidP="00811898">
      <w:pPr>
        <w:spacing w:after="0" w:line="240" w:lineRule="auto"/>
        <w:rPr>
          <w:sz w:val="24"/>
          <w:szCs w:val="24"/>
        </w:rPr>
      </w:pPr>
    </w:p>
    <w:p w14:paraId="497F7DBF" w14:textId="77777777" w:rsidR="00811898" w:rsidRDefault="00811898" w:rsidP="00811898">
      <w:pPr>
        <w:pStyle w:val="ListParagraph"/>
        <w:numPr>
          <w:ilvl w:val="0"/>
          <w:numId w:val="1"/>
        </w:numPr>
        <w:spacing w:after="0" w:line="240" w:lineRule="auto"/>
        <w:rPr>
          <w:sz w:val="24"/>
          <w:szCs w:val="24"/>
        </w:rPr>
      </w:pPr>
      <w:r>
        <w:rPr>
          <w:sz w:val="24"/>
          <w:szCs w:val="24"/>
        </w:rPr>
        <w:t xml:space="preserve">Suggest information and training that would be of use to library workers and supporters so that they can make informed choices, serve as advocates for digital access, and design and support digital services. </w:t>
      </w:r>
    </w:p>
    <w:p w14:paraId="3B07DEA1" w14:textId="77777777" w:rsidR="00811898" w:rsidRDefault="00811898" w:rsidP="00811898">
      <w:pPr>
        <w:spacing w:after="0" w:line="240" w:lineRule="auto"/>
        <w:rPr>
          <w:sz w:val="24"/>
          <w:szCs w:val="24"/>
        </w:rPr>
      </w:pPr>
    </w:p>
    <w:p w14:paraId="37F4A2F3" w14:textId="77777777" w:rsidR="00811898" w:rsidRDefault="00811898" w:rsidP="00811898">
      <w:pPr>
        <w:pStyle w:val="ListParagraph"/>
        <w:numPr>
          <w:ilvl w:val="0"/>
          <w:numId w:val="1"/>
        </w:numPr>
        <w:spacing w:after="0" w:line="240" w:lineRule="auto"/>
        <w:rPr>
          <w:sz w:val="24"/>
          <w:szCs w:val="24"/>
        </w:rPr>
      </w:pPr>
      <w:r>
        <w:rPr>
          <w:sz w:val="24"/>
          <w:szCs w:val="24"/>
        </w:rPr>
        <w:t>Advise the Association on efforts to increase public awareness and understanding of issues related to access to digital content and the challenges to/role of libraries in providing equitable access to digital resources, including the contributions of libraries to the publishing ecosystem.</w:t>
      </w:r>
    </w:p>
    <w:p w14:paraId="3F1C23A9" w14:textId="77777777" w:rsidR="00811898" w:rsidRDefault="00811898" w:rsidP="00811898">
      <w:pPr>
        <w:spacing w:after="0" w:line="240" w:lineRule="auto"/>
        <w:ind w:firstLine="45"/>
        <w:rPr>
          <w:sz w:val="24"/>
          <w:szCs w:val="24"/>
        </w:rPr>
      </w:pPr>
    </w:p>
    <w:p w14:paraId="3590ED00" w14:textId="77777777" w:rsidR="00811898" w:rsidRDefault="00811898" w:rsidP="00811898">
      <w:pPr>
        <w:pStyle w:val="ListParagraph"/>
        <w:numPr>
          <w:ilvl w:val="0"/>
          <w:numId w:val="1"/>
        </w:numPr>
        <w:spacing w:after="0" w:line="240" w:lineRule="auto"/>
        <w:rPr>
          <w:sz w:val="24"/>
          <w:szCs w:val="24"/>
        </w:rPr>
      </w:pPr>
      <w:r>
        <w:rPr>
          <w:sz w:val="24"/>
          <w:szCs w:val="24"/>
        </w:rPr>
        <w:t xml:space="preserve">Assist in the identification of strategies to influence decision makers—whether government officials, publishers, other information service providers, interest groups, and others—to effect changes that would assist libraries in better serving their communities. </w:t>
      </w:r>
    </w:p>
    <w:p w14:paraId="13E0F457" w14:textId="77777777" w:rsidR="00811898" w:rsidRDefault="00811898" w:rsidP="00811898">
      <w:pPr>
        <w:spacing w:after="0" w:line="240" w:lineRule="auto"/>
        <w:rPr>
          <w:sz w:val="24"/>
          <w:szCs w:val="24"/>
        </w:rPr>
      </w:pPr>
    </w:p>
    <w:p w14:paraId="380A7131" w14:textId="3A0857DC" w:rsidR="00811898" w:rsidRDefault="00811898" w:rsidP="00811898">
      <w:pPr>
        <w:pStyle w:val="PlainText"/>
        <w:rPr>
          <w:rFonts w:asciiTheme="minorHAnsi" w:hAnsiTheme="minorHAnsi"/>
          <w:sz w:val="24"/>
          <w:szCs w:val="24"/>
        </w:rPr>
      </w:pPr>
      <w:r>
        <w:rPr>
          <w:rFonts w:asciiTheme="minorHAnsi" w:hAnsiTheme="minorHAnsi"/>
          <w:sz w:val="24"/>
          <w:szCs w:val="24"/>
        </w:rPr>
        <w:t xml:space="preserve">Efforts of the </w:t>
      </w:r>
      <w:r w:rsidR="00E644D8">
        <w:rPr>
          <w:rFonts w:asciiTheme="minorHAnsi" w:hAnsiTheme="minorHAnsi"/>
          <w:sz w:val="24"/>
          <w:szCs w:val="24"/>
        </w:rPr>
        <w:t>WG</w:t>
      </w:r>
      <w:r>
        <w:rPr>
          <w:rFonts w:asciiTheme="minorHAnsi" w:hAnsiTheme="minorHAnsi"/>
          <w:sz w:val="24"/>
          <w:szCs w:val="24"/>
        </w:rPr>
        <w:t xml:space="preserve"> should build on and coordinate with relevant past and current activities. The </w:t>
      </w:r>
      <w:r w:rsidR="00371FD1">
        <w:rPr>
          <w:rFonts w:asciiTheme="minorHAnsi" w:hAnsiTheme="minorHAnsi"/>
          <w:sz w:val="24"/>
          <w:szCs w:val="24"/>
        </w:rPr>
        <w:t xml:space="preserve">first </w:t>
      </w:r>
      <w:r>
        <w:rPr>
          <w:rFonts w:asciiTheme="minorHAnsi" w:hAnsiTheme="minorHAnsi"/>
          <w:sz w:val="24"/>
          <w:szCs w:val="24"/>
        </w:rPr>
        <w:t xml:space="preserve">ALA Digital Content </w:t>
      </w:r>
      <w:r w:rsidR="00E644D8">
        <w:rPr>
          <w:rFonts w:asciiTheme="minorHAnsi" w:hAnsiTheme="minorHAnsi"/>
          <w:sz w:val="24"/>
          <w:szCs w:val="24"/>
        </w:rPr>
        <w:t>WG</w:t>
      </w:r>
      <w:r>
        <w:rPr>
          <w:rFonts w:asciiTheme="minorHAnsi" w:hAnsiTheme="minorHAnsi"/>
          <w:sz w:val="24"/>
          <w:szCs w:val="24"/>
        </w:rPr>
        <w:t xml:space="preserve"> produced a large number of reports, articles, and other materials. In addition, the Association of Specialized, Government, and Cooperative Library Agencies held a summit on ebooks in 2018. In conjunction with ALA leadership, the Public Policy &amp; Advocacy Office continues engagement within the publishing ecosystem. </w:t>
      </w:r>
    </w:p>
    <w:p w14:paraId="03A53880" w14:textId="77777777" w:rsidR="00811898" w:rsidRDefault="00811898" w:rsidP="00811898">
      <w:pPr>
        <w:pStyle w:val="PlainText"/>
        <w:rPr>
          <w:rFonts w:asciiTheme="minorHAnsi" w:hAnsiTheme="minorHAnsi"/>
          <w:sz w:val="24"/>
          <w:szCs w:val="24"/>
        </w:rPr>
      </w:pPr>
    </w:p>
    <w:p w14:paraId="747535DA" w14:textId="683216CE" w:rsidR="00811898" w:rsidRDefault="00E644D8" w:rsidP="00811898">
      <w:pPr>
        <w:pStyle w:val="PlainText"/>
        <w:rPr>
          <w:rFonts w:asciiTheme="minorHAnsi" w:hAnsiTheme="minorHAnsi"/>
          <w:sz w:val="24"/>
          <w:szCs w:val="24"/>
        </w:rPr>
      </w:pPr>
      <w:r>
        <w:rPr>
          <w:rFonts w:asciiTheme="minorHAnsi" w:hAnsiTheme="minorHAnsi"/>
          <w:sz w:val="24"/>
          <w:szCs w:val="24"/>
        </w:rPr>
        <w:t>WG</w:t>
      </w:r>
      <w:r w:rsidR="00811898">
        <w:rPr>
          <w:rFonts w:asciiTheme="minorHAnsi" w:hAnsiTheme="minorHAnsi"/>
          <w:sz w:val="24"/>
          <w:szCs w:val="24"/>
        </w:rPr>
        <w:t xml:space="preserve"> members will be appointed by the ALA President based on their high level of expertise and range of experience regarding libraries and digital content. </w:t>
      </w:r>
      <w:r>
        <w:rPr>
          <w:rFonts w:asciiTheme="minorHAnsi" w:hAnsiTheme="minorHAnsi"/>
          <w:sz w:val="24"/>
          <w:szCs w:val="24"/>
        </w:rPr>
        <w:t>The WG will be co-chaired by an academic and a public librarian. WG</w:t>
      </w:r>
      <w:r w:rsidR="00811898">
        <w:rPr>
          <w:rFonts w:asciiTheme="minorHAnsi" w:hAnsiTheme="minorHAnsi"/>
          <w:sz w:val="24"/>
          <w:szCs w:val="24"/>
        </w:rPr>
        <w:t xml:space="preserve"> members will be broadly representative of the various constituencies within the Association and library community and various types of libraries and library situations (e.g., urban, suburban, rural, tribal)—as suggested in the Council resolution and discussion. For this reason, the group is larger than most ALA committees.</w:t>
      </w:r>
    </w:p>
    <w:p w14:paraId="4F9FE49B" w14:textId="77777777" w:rsidR="00811898" w:rsidRDefault="00811898" w:rsidP="00811898">
      <w:pPr>
        <w:spacing w:after="0" w:line="240" w:lineRule="auto"/>
        <w:rPr>
          <w:i/>
          <w:sz w:val="24"/>
          <w:szCs w:val="24"/>
        </w:rPr>
      </w:pPr>
    </w:p>
    <w:p w14:paraId="4411E440" w14:textId="40D004DF" w:rsidR="00811898" w:rsidRDefault="00811898" w:rsidP="00811898">
      <w:pPr>
        <w:pStyle w:val="PlainText"/>
        <w:rPr>
          <w:rFonts w:asciiTheme="minorHAnsi" w:hAnsiTheme="minorHAnsi"/>
          <w:sz w:val="24"/>
          <w:szCs w:val="24"/>
        </w:rPr>
      </w:pPr>
      <w:r>
        <w:rPr>
          <w:rFonts w:asciiTheme="minorHAnsi" w:hAnsiTheme="minorHAnsi"/>
          <w:sz w:val="24"/>
          <w:szCs w:val="24"/>
        </w:rPr>
        <w:t xml:space="preserve">Initial appointments to the </w:t>
      </w:r>
      <w:r w:rsidR="00E644D8">
        <w:rPr>
          <w:rFonts w:asciiTheme="minorHAnsi" w:hAnsiTheme="minorHAnsi"/>
          <w:sz w:val="24"/>
          <w:szCs w:val="24"/>
        </w:rPr>
        <w:t>WG</w:t>
      </w:r>
      <w:r>
        <w:rPr>
          <w:rFonts w:asciiTheme="minorHAnsi" w:hAnsiTheme="minorHAnsi"/>
          <w:sz w:val="24"/>
          <w:szCs w:val="24"/>
        </w:rPr>
        <w:t xml:space="preserve"> will be for a two-year period. Prior to the end of this period, an assessment will be conducted regarding the need for continuation of the </w:t>
      </w:r>
      <w:r w:rsidR="00E644D8">
        <w:rPr>
          <w:rFonts w:asciiTheme="minorHAnsi" w:hAnsiTheme="minorHAnsi"/>
          <w:sz w:val="24"/>
          <w:szCs w:val="24"/>
        </w:rPr>
        <w:t>WG</w:t>
      </w:r>
      <w:r>
        <w:rPr>
          <w:rFonts w:asciiTheme="minorHAnsi" w:hAnsiTheme="minorHAnsi"/>
          <w:sz w:val="24"/>
          <w:szCs w:val="24"/>
        </w:rPr>
        <w:t xml:space="preserve"> or a successor advisory group. </w:t>
      </w:r>
    </w:p>
    <w:p w14:paraId="7D6E5233" w14:textId="77777777" w:rsidR="00811898" w:rsidRDefault="00811898" w:rsidP="00811898">
      <w:pPr>
        <w:pStyle w:val="PlainText"/>
        <w:rPr>
          <w:rFonts w:asciiTheme="minorHAnsi" w:hAnsiTheme="minorHAnsi"/>
          <w:sz w:val="24"/>
          <w:szCs w:val="24"/>
        </w:rPr>
      </w:pPr>
      <w:r>
        <w:rPr>
          <w:sz w:val="24"/>
          <w:szCs w:val="24"/>
        </w:rPr>
        <w:t xml:space="preserve"> </w:t>
      </w:r>
    </w:p>
    <w:p w14:paraId="1BB629E0" w14:textId="47F89164" w:rsidR="00D40302" w:rsidRDefault="00371FD1" w:rsidP="00811898">
      <w:pPr>
        <w:pStyle w:val="PlainText"/>
        <w:rPr>
          <w:rFonts w:asciiTheme="minorHAnsi" w:hAnsiTheme="minorHAnsi"/>
          <w:sz w:val="24"/>
          <w:szCs w:val="24"/>
        </w:rPr>
      </w:pPr>
      <w:r>
        <w:rPr>
          <w:rFonts w:asciiTheme="minorHAnsi" w:hAnsiTheme="minorHAnsi"/>
          <w:sz w:val="24"/>
          <w:szCs w:val="24"/>
        </w:rPr>
        <w:t xml:space="preserve">Organizations invited to join </w:t>
      </w:r>
      <w:r w:rsidR="00E644D8">
        <w:rPr>
          <w:rFonts w:asciiTheme="minorHAnsi" w:hAnsiTheme="minorHAnsi"/>
          <w:sz w:val="24"/>
          <w:szCs w:val="24"/>
        </w:rPr>
        <w:t xml:space="preserve">as of August 9 </w:t>
      </w:r>
      <w:r>
        <w:rPr>
          <w:rFonts w:asciiTheme="minorHAnsi" w:hAnsiTheme="minorHAnsi"/>
          <w:sz w:val="24"/>
          <w:szCs w:val="24"/>
        </w:rPr>
        <w:t>include:</w:t>
      </w:r>
    </w:p>
    <w:p w14:paraId="0132E5A2" w14:textId="77777777" w:rsidR="00371FD1" w:rsidRDefault="00371FD1" w:rsidP="00811898">
      <w:pPr>
        <w:pStyle w:val="PlainText"/>
        <w:rPr>
          <w:rFonts w:asciiTheme="minorHAnsi" w:hAnsiTheme="minorHAnsi"/>
          <w:sz w:val="24"/>
          <w:szCs w:val="24"/>
        </w:rPr>
      </w:pPr>
    </w:p>
    <w:p w14:paraId="4A697972" w14:textId="13084CB9" w:rsidR="003A081B" w:rsidRPr="004726BB" w:rsidRDefault="003A081B" w:rsidP="003A081B">
      <w:pPr>
        <w:pStyle w:val="PlainText"/>
        <w:rPr>
          <w:rFonts w:ascii="Calibri" w:eastAsia="Times New Roman" w:hAnsi="Calibri" w:cs="Calibri"/>
          <w:color w:val="000000"/>
          <w:sz w:val="24"/>
          <w:szCs w:val="24"/>
          <w:u w:val="single"/>
        </w:rPr>
      </w:pPr>
      <w:r w:rsidRPr="004726BB">
        <w:rPr>
          <w:rFonts w:ascii="Calibri" w:eastAsia="Times New Roman" w:hAnsi="Calibri" w:cs="Calibri"/>
          <w:color w:val="000000"/>
          <w:sz w:val="24"/>
          <w:szCs w:val="24"/>
          <w:u w:val="single"/>
        </w:rPr>
        <w:t>External Library Organizations</w:t>
      </w:r>
    </w:p>
    <w:p w14:paraId="4B64D498" w14:textId="77777777" w:rsidR="003A081B" w:rsidRPr="004726BB" w:rsidRDefault="003A081B" w:rsidP="003A081B">
      <w:pPr>
        <w:pStyle w:val="NoSpacing"/>
        <w:rPr>
          <w:sz w:val="24"/>
          <w:szCs w:val="24"/>
        </w:rPr>
      </w:pPr>
      <w:r w:rsidRPr="004726BB">
        <w:rPr>
          <w:sz w:val="24"/>
          <w:szCs w:val="24"/>
        </w:rPr>
        <w:t>Urban Libraries Council (ULC)</w:t>
      </w:r>
    </w:p>
    <w:p w14:paraId="763C9E50" w14:textId="77777777" w:rsidR="003A081B" w:rsidRPr="004726BB" w:rsidRDefault="003A081B" w:rsidP="003A081B">
      <w:pPr>
        <w:pStyle w:val="NoSpacing"/>
        <w:rPr>
          <w:sz w:val="24"/>
          <w:szCs w:val="24"/>
        </w:rPr>
      </w:pPr>
      <w:r w:rsidRPr="004726BB">
        <w:rPr>
          <w:sz w:val="24"/>
          <w:szCs w:val="24"/>
        </w:rPr>
        <w:lastRenderedPageBreak/>
        <w:t xml:space="preserve">COSLA </w:t>
      </w:r>
    </w:p>
    <w:p w14:paraId="0E924DC4" w14:textId="77777777" w:rsidR="003A081B" w:rsidRPr="004726BB" w:rsidRDefault="003A081B" w:rsidP="003A081B">
      <w:pPr>
        <w:pStyle w:val="NoSpacing"/>
        <w:rPr>
          <w:sz w:val="24"/>
          <w:szCs w:val="24"/>
        </w:rPr>
      </w:pPr>
      <w:r w:rsidRPr="004726BB">
        <w:rPr>
          <w:sz w:val="24"/>
          <w:szCs w:val="24"/>
        </w:rPr>
        <w:t xml:space="preserve">Association of Research Libraries (ARL) </w:t>
      </w:r>
    </w:p>
    <w:p w14:paraId="1DBDFE7E" w14:textId="77777777" w:rsidR="003A081B" w:rsidRPr="004726BB" w:rsidRDefault="003A081B" w:rsidP="003A081B">
      <w:pPr>
        <w:pStyle w:val="NoSpacing"/>
        <w:rPr>
          <w:sz w:val="24"/>
          <w:szCs w:val="24"/>
        </w:rPr>
      </w:pPr>
      <w:r w:rsidRPr="004726BB">
        <w:rPr>
          <w:sz w:val="24"/>
          <w:szCs w:val="24"/>
        </w:rPr>
        <w:t xml:space="preserve">Special Libraries Association (SLA) </w:t>
      </w:r>
    </w:p>
    <w:p w14:paraId="1CD8FAA6" w14:textId="77777777" w:rsidR="003A081B" w:rsidRPr="004726BB" w:rsidRDefault="003A081B" w:rsidP="003A081B">
      <w:pPr>
        <w:pStyle w:val="NoSpacing"/>
        <w:rPr>
          <w:sz w:val="24"/>
          <w:szCs w:val="24"/>
        </w:rPr>
      </w:pPr>
      <w:r w:rsidRPr="004726BB">
        <w:rPr>
          <w:sz w:val="24"/>
          <w:szCs w:val="24"/>
        </w:rPr>
        <w:t>Medical Library Association (MLA)</w:t>
      </w:r>
    </w:p>
    <w:p w14:paraId="4B1461BC" w14:textId="77777777" w:rsidR="003A081B" w:rsidRPr="004726BB" w:rsidRDefault="003A081B" w:rsidP="003A081B">
      <w:pPr>
        <w:pStyle w:val="NoSpacing"/>
        <w:rPr>
          <w:sz w:val="24"/>
          <w:szCs w:val="24"/>
        </w:rPr>
      </w:pPr>
      <w:r w:rsidRPr="004726BB">
        <w:rPr>
          <w:sz w:val="24"/>
          <w:szCs w:val="24"/>
        </w:rPr>
        <w:t xml:space="preserve">AALL </w:t>
      </w:r>
    </w:p>
    <w:p w14:paraId="67F6424F" w14:textId="77777777" w:rsidR="003A081B" w:rsidRPr="004726BB" w:rsidRDefault="003A081B" w:rsidP="003A081B">
      <w:pPr>
        <w:pStyle w:val="NoSpacing"/>
        <w:rPr>
          <w:rFonts w:cstheme="minorHAnsi"/>
          <w:sz w:val="24"/>
          <w:szCs w:val="24"/>
        </w:rPr>
      </w:pPr>
      <w:r w:rsidRPr="004726BB">
        <w:rPr>
          <w:rFonts w:cstheme="minorHAnsi"/>
          <w:sz w:val="24"/>
          <w:szCs w:val="24"/>
        </w:rPr>
        <w:t>ALISE</w:t>
      </w:r>
    </w:p>
    <w:p w14:paraId="6D5AC8CF" w14:textId="77777777" w:rsidR="003A081B" w:rsidRPr="004726BB" w:rsidRDefault="003A081B" w:rsidP="003A081B">
      <w:pPr>
        <w:pStyle w:val="NoSpacing"/>
        <w:rPr>
          <w:rFonts w:cstheme="minorHAnsi"/>
          <w:sz w:val="24"/>
          <w:szCs w:val="24"/>
        </w:rPr>
      </w:pPr>
      <w:r w:rsidRPr="004726BB">
        <w:rPr>
          <w:rFonts w:cstheme="minorHAnsi"/>
          <w:sz w:val="24"/>
          <w:szCs w:val="24"/>
        </w:rPr>
        <w:t xml:space="preserve">Readers First </w:t>
      </w:r>
    </w:p>
    <w:p w14:paraId="4ED68D8E" w14:textId="77777777" w:rsidR="003A081B" w:rsidRPr="004726BB" w:rsidRDefault="003A081B" w:rsidP="003A081B">
      <w:pPr>
        <w:pStyle w:val="NoSpacing"/>
        <w:rPr>
          <w:rFonts w:cstheme="minorHAnsi"/>
          <w:sz w:val="24"/>
          <w:szCs w:val="24"/>
        </w:rPr>
      </w:pPr>
      <w:r w:rsidRPr="004726BB">
        <w:rPr>
          <w:rFonts w:cstheme="minorHAnsi"/>
          <w:sz w:val="24"/>
          <w:szCs w:val="24"/>
        </w:rPr>
        <w:t xml:space="preserve">Book Industry Study Group (BISG) </w:t>
      </w:r>
    </w:p>
    <w:p w14:paraId="18017135" w14:textId="77777777" w:rsidR="003A081B" w:rsidRPr="004726BB" w:rsidRDefault="003A081B" w:rsidP="003A081B">
      <w:pPr>
        <w:pStyle w:val="NoSpacing"/>
        <w:rPr>
          <w:rFonts w:cstheme="minorHAnsi"/>
          <w:sz w:val="24"/>
          <w:szCs w:val="24"/>
        </w:rPr>
      </w:pPr>
      <w:r w:rsidRPr="004726BB">
        <w:rPr>
          <w:rFonts w:cstheme="minorHAnsi"/>
          <w:sz w:val="24"/>
          <w:szCs w:val="24"/>
        </w:rPr>
        <w:t xml:space="preserve">NISO </w:t>
      </w:r>
    </w:p>
    <w:p w14:paraId="31C09AF1" w14:textId="6827ED3C" w:rsidR="00D40302" w:rsidRPr="004726BB" w:rsidRDefault="003A081B" w:rsidP="00811898">
      <w:pPr>
        <w:pStyle w:val="PlainText"/>
        <w:rPr>
          <w:rFonts w:asciiTheme="minorHAnsi" w:hAnsiTheme="minorHAnsi" w:cstheme="minorHAnsi"/>
          <w:sz w:val="24"/>
          <w:szCs w:val="24"/>
        </w:rPr>
      </w:pPr>
      <w:r w:rsidRPr="004726BB">
        <w:rPr>
          <w:rFonts w:asciiTheme="minorHAnsi" w:hAnsiTheme="minorHAnsi" w:cstheme="minorHAnsi"/>
          <w:sz w:val="24"/>
          <w:szCs w:val="24"/>
        </w:rPr>
        <w:t>American Indian Library Association (AILA)</w:t>
      </w:r>
    </w:p>
    <w:p w14:paraId="6879FC95" w14:textId="217C0E04" w:rsidR="003A081B" w:rsidRPr="004726BB" w:rsidRDefault="003A081B" w:rsidP="00811898">
      <w:pPr>
        <w:pStyle w:val="PlainText"/>
        <w:rPr>
          <w:rFonts w:asciiTheme="minorHAnsi" w:hAnsiTheme="minorHAnsi" w:cstheme="minorHAnsi"/>
          <w:sz w:val="24"/>
          <w:szCs w:val="24"/>
        </w:rPr>
      </w:pPr>
      <w:r w:rsidRPr="004726BB">
        <w:rPr>
          <w:rFonts w:asciiTheme="minorHAnsi" w:hAnsiTheme="minorHAnsi" w:cstheme="minorHAnsi"/>
          <w:sz w:val="24"/>
          <w:szCs w:val="24"/>
        </w:rPr>
        <w:t>Asian Pacific American Librarians Association (APALA)</w:t>
      </w:r>
    </w:p>
    <w:p w14:paraId="72264E2F" w14:textId="0FF33755" w:rsidR="003A081B" w:rsidRPr="004726BB" w:rsidRDefault="003A081B" w:rsidP="003A081B">
      <w:pPr>
        <w:pStyle w:val="NoSpacing"/>
        <w:rPr>
          <w:rFonts w:cstheme="minorHAnsi"/>
          <w:sz w:val="24"/>
          <w:szCs w:val="24"/>
        </w:rPr>
      </w:pPr>
      <w:r w:rsidRPr="004726BB">
        <w:rPr>
          <w:rFonts w:cstheme="minorHAnsi"/>
          <w:sz w:val="24"/>
          <w:szCs w:val="24"/>
        </w:rPr>
        <w:t xml:space="preserve">Black Caucus of American Library Association (BCALA) </w:t>
      </w:r>
    </w:p>
    <w:p w14:paraId="4B070A6E" w14:textId="5365A5F2" w:rsidR="003A081B" w:rsidRPr="004726BB" w:rsidRDefault="003A081B" w:rsidP="00811898">
      <w:pPr>
        <w:pStyle w:val="PlainText"/>
        <w:rPr>
          <w:rFonts w:asciiTheme="minorHAnsi" w:hAnsiTheme="minorHAnsi" w:cstheme="minorHAnsi"/>
          <w:sz w:val="24"/>
          <w:szCs w:val="24"/>
        </w:rPr>
      </w:pPr>
      <w:r w:rsidRPr="004726BB">
        <w:rPr>
          <w:rFonts w:asciiTheme="minorHAnsi" w:hAnsiTheme="minorHAnsi" w:cstheme="minorHAnsi"/>
          <w:sz w:val="24"/>
          <w:szCs w:val="24"/>
        </w:rPr>
        <w:t>Chinese American Librarians Association (CALA)</w:t>
      </w:r>
    </w:p>
    <w:p w14:paraId="7D9C25D4" w14:textId="27B177D5" w:rsidR="003A081B" w:rsidRPr="004726BB" w:rsidRDefault="003A081B" w:rsidP="00811898">
      <w:pPr>
        <w:pStyle w:val="PlainText"/>
        <w:rPr>
          <w:rFonts w:asciiTheme="minorHAnsi" w:hAnsiTheme="minorHAnsi" w:cstheme="minorHAnsi"/>
          <w:sz w:val="24"/>
          <w:szCs w:val="24"/>
        </w:rPr>
      </w:pPr>
      <w:r w:rsidRPr="004726BB">
        <w:rPr>
          <w:rFonts w:asciiTheme="minorHAnsi" w:hAnsiTheme="minorHAnsi" w:cstheme="minorHAnsi"/>
          <w:sz w:val="24"/>
          <w:szCs w:val="24"/>
        </w:rPr>
        <w:t>REFORMA</w:t>
      </w:r>
    </w:p>
    <w:p w14:paraId="5E4EE086" w14:textId="77777777" w:rsidR="003A081B" w:rsidRPr="004726BB" w:rsidRDefault="003A081B" w:rsidP="00811898">
      <w:pPr>
        <w:pStyle w:val="PlainText"/>
        <w:rPr>
          <w:rFonts w:asciiTheme="minorHAnsi" w:hAnsiTheme="minorHAnsi"/>
          <w:sz w:val="24"/>
          <w:szCs w:val="24"/>
        </w:rPr>
      </w:pPr>
    </w:p>
    <w:p w14:paraId="781DDEEC" w14:textId="77777777" w:rsidR="003A081B" w:rsidRPr="004726BB" w:rsidRDefault="003A081B" w:rsidP="003A081B">
      <w:pPr>
        <w:spacing w:after="0" w:line="240" w:lineRule="auto"/>
        <w:rPr>
          <w:rFonts w:ascii="Calibri" w:eastAsia="Times New Roman" w:hAnsi="Calibri" w:cs="Calibri"/>
          <w:color w:val="000000"/>
          <w:sz w:val="24"/>
          <w:szCs w:val="24"/>
          <w:u w:val="single"/>
        </w:rPr>
      </w:pPr>
      <w:r w:rsidRPr="004726BB">
        <w:rPr>
          <w:rFonts w:ascii="Calibri" w:eastAsia="Times New Roman" w:hAnsi="Calibri" w:cs="Calibri"/>
          <w:color w:val="000000"/>
          <w:sz w:val="24"/>
          <w:szCs w:val="24"/>
          <w:u w:val="single"/>
        </w:rPr>
        <w:t>ALA Divisions</w:t>
      </w:r>
    </w:p>
    <w:p w14:paraId="2CFE0357" w14:textId="77777777" w:rsidR="003A081B" w:rsidRPr="004726BB" w:rsidRDefault="003A081B" w:rsidP="003A081B">
      <w:pPr>
        <w:pStyle w:val="NoSpacing"/>
        <w:rPr>
          <w:sz w:val="24"/>
          <w:szCs w:val="24"/>
        </w:rPr>
      </w:pPr>
      <w:r w:rsidRPr="004726BB">
        <w:rPr>
          <w:sz w:val="24"/>
          <w:szCs w:val="24"/>
        </w:rPr>
        <w:t>American Association of School Librarians (AASL)</w:t>
      </w:r>
    </w:p>
    <w:p w14:paraId="27D2E0F8" w14:textId="77777777" w:rsidR="003A081B" w:rsidRPr="004726BB" w:rsidRDefault="003A081B" w:rsidP="003A081B">
      <w:pPr>
        <w:pStyle w:val="NoSpacing"/>
        <w:rPr>
          <w:sz w:val="24"/>
          <w:szCs w:val="24"/>
        </w:rPr>
      </w:pPr>
      <w:r w:rsidRPr="004726BB">
        <w:rPr>
          <w:sz w:val="24"/>
          <w:szCs w:val="24"/>
        </w:rPr>
        <w:t xml:space="preserve">Association for Library Collections and Technical Services (ALCTS) </w:t>
      </w:r>
    </w:p>
    <w:p w14:paraId="600D650E" w14:textId="77777777" w:rsidR="003A081B" w:rsidRPr="004726BB" w:rsidRDefault="003A081B" w:rsidP="003A081B">
      <w:pPr>
        <w:pStyle w:val="NoSpacing"/>
        <w:rPr>
          <w:sz w:val="24"/>
          <w:szCs w:val="24"/>
        </w:rPr>
      </w:pPr>
      <w:r w:rsidRPr="004726BB">
        <w:rPr>
          <w:sz w:val="24"/>
          <w:szCs w:val="24"/>
        </w:rPr>
        <w:t>Association for Library Service to Children (ALSC)</w:t>
      </w:r>
    </w:p>
    <w:p w14:paraId="7CEAB78E" w14:textId="77777777" w:rsidR="003A081B" w:rsidRPr="004726BB" w:rsidRDefault="003A081B" w:rsidP="003A081B">
      <w:pPr>
        <w:pStyle w:val="NoSpacing"/>
        <w:rPr>
          <w:sz w:val="24"/>
          <w:szCs w:val="24"/>
        </w:rPr>
      </w:pPr>
      <w:r w:rsidRPr="004726BB">
        <w:rPr>
          <w:sz w:val="24"/>
          <w:szCs w:val="24"/>
        </w:rPr>
        <w:t>Association of College and Research Libraries (ACRL)</w:t>
      </w:r>
    </w:p>
    <w:p w14:paraId="5390AAE3" w14:textId="77777777" w:rsidR="003A081B" w:rsidRPr="004726BB" w:rsidRDefault="003A081B" w:rsidP="003A081B">
      <w:pPr>
        <w:pStyle w:val="NoSpacing"/>
        <w:rPr>
          <w:sz w:val="24"/>
          <w:szCs w:val="24"/>
        </w:rPr>
      </w:pPr>
      <w:r w:rsidRPr="004726BB">
        <w:rPr>
          <w:sz w:val="24"/>
          <w:szCs w:val="24"/>
        </w:rPr>
        <w:t>Association of Specialized, Government and Cooperative Library Agencies (ASGCLA)</w:t>
      </w:r>
    </w:p>
    <w:p w14:paraId="6FF89A4F" w14:textId="77777777" w:rsidR="003A081B" w:rsidRPr="004726BB" w:rsidRDefault="003A081B" w:rsidP="003A081B">
      <w:pPr>
        <w:pStyle w:val="NoSpacing"/>
        <w:rPr>
          <w:sz w:val="24"/>
          <w:szCs w:val="24"/>
        </w:rPr>
      </w:pPr>
      <w:r w:rsidRPr="004726BB">
        <w:rPr>
          <w:sz w:val="24"/>
          <w:szCs w:val="24"/>
        </w:rPr>
        <w:t xml:space="preserve">Library and Information Technology Association (LITA) </w:t>
      </w:r>
    </w:p>
    <w:p w14:paraId="2F44AC5B" w14:textId="77777777" w:rsidR="003A081B" w:rsidRPr="004726BB" w:rsidRDefault="003A081B" w:rsidP="003A081B">
      <w:pPr>
        <w:pStyle w:val="NoSpacing"/>
        <w:rPr>
          <w:sz w:val="24"/>
          <w:szCs w:val="24"/>
        </w:rPr>
      </w:pPr>
      <w:r w:rsidRPr="004726BB">
        <w:rPr>
          <w:sz w:val="24"/>
          <w:szCs w:val="24"/>
        </w:rPr>
        <w:t xml:space="preserve">Library Leadership and Management Association (LLAMA) </w:t>
      </w:r>
    </w:p>
    <w:p w14:paraId="7894E902" w14:textId="77777777" w:rsidR="003A081B" w:rsidRPr="004726BB" w:rsidRDefault="003A081B" w:rsidP="003A081B">
      <w:pPr>
        <w:pStyle w:val="NoSpacing"/>
        <w:rPr>
          <w:sz w:val="24"/>
          <w:szCs w:val="24"/>
        </w:rPr>
      </w:pPr>
      <w:r w:rsidRPr="004726BB">
        <w:rPr>
          <w:sz w:val="24"/>
          <w:szCs w:val="24"/>
        </w:rPr>
        <w:t xml:space="preserve">Public Library Association (PLA) </w:t>
      </w:r>
    </w:p>
    <w:p w14:paraId="03BBFCA6" w14:textId="00DC447A" w:rsidR="003A081B" w:rsidRPr="004726BB" w:rsidRDefault="003A081B" w:rsidP="003A081B">
      <w:pPr>
        <w:pStyle w:val="NoSpacing"/>
        <w:rPr>
          <w:sz w:val="24"/>
          <w:szCs w:val="24"/>
        </w:rPr>
      </w:pPr>
      <w:r w:rsidRPr="004726BB">
        <w:rPr>
          <w:sz w:val="24"/>
          <w:szCs w:val="24"/>
        </w:rPr>
        <w:t xml:space="preserve">Reference and User Services Association (RUSA) </w:t>
      </w:r>
    </w:p>
    <w:p w14:paraId="5DD816CA" w14:textId="77777777" w:rsidR="003A081B" w:rsidRPr="004726BB" w:rsidRDefault="003A081B" w:rsidP="003A081B">
      <w:pPr>
        <w:pStyle w:val="NoSpacing"/>
        <w:rPr>
          <w:sz w:val="24"/>
          <w:szCs w:val="24"/>
        </w:rPr>
      </w:pPr>
      <w:r w:rsidRPr="004726BB">
        <w:rPr>
          <w:sz w:val="24"/>
          <w:szCs w:val="24"/>
        </w:rPr>
        <w:t xml:space="preserve">United for Libraries (UFL) </w:t>
      </w:r>
    </w:p>
    <w:p w14:paraId="45EF1CD9" w14:textId="6F860C60" w:rsidR="003A081B" w:rsidRPr="004726BB" w:rsidRDefault="003A081B" w:rsidP="003A081B">
      <w:pPr>
        <w:pStyle w:val="NoSpacing"/>
        <w:rPr>
          <w:sz w:val="24"/>
          <w:szCs w:val="24"/>
        </w:rPr>
      </w:pPr>
      <w:r w:rsidRPr="004726BB">
        <w:rPr>
          <w:sz w:val="24"/>
          <w:szCs w:val="24"/>
        </w:rPr>
        <w:t>Young Adult Library Services Association (YALSA)</w:t>
      </w:r>
    </w:p>
    <w:p w14:paraId="0495BFAE" w14:textId="77777777" w:rsidR="003A081B" w:rsidRPr="004726BB" w:rsidRDefault="003A081B" w:rsidP="003A081B">
      <w:pPr>
        <w:pStyle w:val="NoSpacing"/>
        <w:rPr>
          <w:sz w:val="24"/>
          <w:szCs w:val="24"/>
        </w:rPr>
      </w:pPr>
    </w:p>
    <w:p w14:paraId="01328608" w14:textId="77777777" w:rsidR="003A081B" w:rsidRPr="004726BB" w:rsidRDefault="003A081B" w:rsidP="003A081B">
      <w:pPr>
        <w:pStyle w:val="NoSpacing"/>
        <w:rPr>
          <w:sz w:val="24"/>
          <w:szCs w:val="24"/>
        </w:rPr>
      </w:pPr>
    </w:p>
    <w:tbl>
      <w:tblPr>
        <w:tblW w:w="8380" w:type="dxa"/>
        <w:tblLook w:val="0480" w:firstRow="0" w:lastRow="0" w:firstColumn="1" w:lastColumn="0" w:noHBand="0" w:noVBand="1"/>
      </w:tblPr>
      <w:tblGrid>
        <w:gridCol w:w="8380"/>
      </w:tblGrid>
      <w:tr w:rsidR="003A081B" w:rsidRPr="004726BB" w14:paraId="22A7CC64" w14:textId="77777777" w:rsidTr="009F2F86">
        <w:trPr>
          <w:trHeight w:val="300"/>
        </w:trPr>
        <w:tc>
          <w:tcPr>
            <w:tcW w:w="8380" w:type="dxa"/>
            <w:tcBorders>
              <w:top w:val="nil"/>
              <w:left w:val="nil"/>
              <w:bottom w:val="nil"/>
              <w:right w:val="nil"/>
            </w:tcBorders>
            <w:shd w:val="clear" w:color="auto" w:fill="auto"/>
            <w:noWrap/>
            <w:vAlign w:val="bottom"/>
            <w:hideMark/>
          </w:tcPr>
          <w:p w14:paraId="0A4C822E" w14:textId="77777777" w:rsidR="003A081B" w:rsidRPr="004726BB" w:rsidRDefault="003A081B" w:rsidP="009F2F86">
            <w:pPr>
              <w:pStyle w:val="NoSpacing"/>
              <w:rPr>
                <w:sz w:val="24"/>
                <w:szCs w:val="24"/>
                <w:u w:val="single"/>
              </w:rPr>
            </w:pPr>
            <w:r w:rsidRPr="004726BB">
              <w:rPr>
                <w:sz w:val="24"/>
                <w:szCs w:val="24"/>
                <w:u w:val="single"/>
              </w:rPr>
              <w:t>Other ALA Committees and Groups</w:t>
            </w:r>
          </w:p>
          <w:p w14:paraId="342AC4B4" w14:textId="77777777" w:rsidR="003A081B" w:rsidRPr="004726BB" w:rsidRDefault="003A081B" w:rsidP="009F2F86">
            <w:pPr>
              <w:pStyle w:val="NoSpacing"/>
              <w:rPr>
                <w:sz w:val="24"/>
                <w:szCs w:val="24"/>
              </w:rPr>
            </w:pPr>
            <w:r w:rsidRPr="004726BB">
              <w:rPr>
                <w:sz w:val="24"/>
                <w:szCs w:val="24"/>
              </w:rPr>
              <w:t xml:space="preserve">ALA Government Documents Round Table (GODORT) </w:t>
            </w:r>
          </w:p>
          <w:p w14:paraId="67C8EFE3" w14:textId="77777777" w:rsidR="003A081B" w:rsidRPr="004726BB" w:rsidRDefault="003A081B" w:rsidP="009F2F86">
            <w:pPr>
              <w:pStyle w:val="NoSpacing"/>
              <w:rPr>
                <w:sz w:val="24"/>
                <w:szCs w:val="24"/>
              </w:rPr>
            </w:pPr>
            <w:r w:rsidRPr="004726BB">
              <w:rPr>
                <w:sz w:val="24"/>
                <w:szCs w:val="24"/>
              </w:rPr>
              <w:t xml:space="preserve">ALA Intellectual Freedom Committee (IFC) </w:t>
            </w:r>
          </w:p>
        </w:tc>
      </w:tr>
      <w:tr w:rsidR="003A081B" w:rsidRPr="004726BB" w14:paraId="61075086" w14:textId="77777777" w:rsidTr="009F2F86">
        <w:trPr>
          <w:trHeight w:val="300"/>
        </w:trPr>
        <w:tc>
          <w:tcPr>
            <w:tcW w:w="8380" w:type="dxa"/>
            <w:tcBorders>
              <w:top w:val="nil"/>
              <w:left w:val="nil"/>
              <w:bottom w:val="nil"/>
              <w:right w:val="nil"/>
            </w:tcBorders>
            <w:shd w:val="clear" w:color="auto" w:fill="auto"/>
            <w:noWrap/>
            <w:vAlign w:val="bottom"/>
            <w:hideMark/>
          </w:tcPr>
          <w:p w14:paraId="1A58F04C" w14:textId="77777777" w:rsidR="003A081B" w:rsidRPr="004726BB" w:rsidRDefault="003A081B" w:rsidP="009F2F86">
            <w:pPr>
              <w:pStyle w:val="NoSpacing"/>
              <w:rPr>
                <w:sz w:val="24"/>
                <w:szCs w:val="24"/>
              </w:rPr>
            </w:pPr>
            <w:r w:rsidRPr="004726BB">
              <w:rPr>
                <w:sz w:val="24"/>
                <w:szCs w:val="24"/>
              </w:rPr>
              <w:t>Committee of Legislation (LEG)</w:t>
            </w:r>
          </w:p>
        </w:tc>
      </w:tr>
      <w:tr w:rsidR="003A081B" w:rsidRPr="004726BB" w14:paraId="2218B95F" w14:textId="77777777" w:rsidTr="009F2F86">
        <w:trPr>
          <w:trHeight w:val="300"/>
        </w:trPr>
        <w:tc>
          <w:tcPr>
            <w:tcW w:w="8380" w:type="dxa"/>
            <w:tcBorders>
              <w:top w:val="nil"/>
              <w:left w:val="nil"/>
              <w:bottom w:val="nil"/>
              <w:right w:val="nil"/>
            </w:tcBorders>
            <w:shd w:val="clear" w:color="auto" w:fill="auto"/>
            <w:noWrap/>
            <w:vAlign w:val="bottom"/>
            <w:hideMark/>
          </w:tcPr>
          <w:p w14:paraId="70A9185E" w14:textId="77777777" w:rsidR="003A081B" w:rsidRPr="004726BB" w:rsidRDefault="003A081B" w:rsidP="009F2F86">
            <w:pPr>
              <w:pStyle w:val="NoSpacing"/>
              <w:rPr>
                <w:sz w:val="24"/>
                <w:szCs w:val="24"/>
              </w:rPr>
            </w:pPr>
            <w:r w:rsidRPr="004726BB">
              <w:rPr>
                <w:sz w:val="24"/>
                <w:szCs w:val="24"/>
              </w:rPr>
              <w:t xml:space="preserve">Information Technology Policy Advisory Committee (OITP) </w:t>
            </w:r>
          </w:p>
        </w:tc>
      </w:tr>
    </w:tbl>
    <w:p w14:paraId="298C48A8" w14:textId="35B74ED0" w:rsidR="003A081B" w:rsidRPr="004726BB" w:rsidRDefault="003A081B" w:rsidP="003A081B">
      <w:pPr>
        <w:pStyle w:val="NoSpacing"/>
        <w:rPr>
          <w:sz w:val="24"/>
          <w:szCs w:val="24"/>
        </w:rPr>
      </w:pPr>
      <w:r w:rsidRPr="004726BB">
        <w:rPr>
          <w:sz w:val="24"/>
          <w:szCs w:val="24"/>
        </w:rPr>
        <w:t xml:space="preserve">  Committee on Library Advocacy (COLA)</w:t>
      </w:r>
    </w:p>
    <w:p w14:paraId="05CC1207" w14:textId="34662698" w:rsidR="003A081B" w:rsidRPr="004726BB" w:rsidRDefault="003A081B" w:rsidP="003A081B">
      <w:pPr>
        <w:pStyle w:val="NoSpacing"/>
        <w:rPr>
          <w:sz w:val="24"/>
          <w:szCs w:val="24"/>
        </w:rPr>
      </w:pPr>
      <w:r w:rsidRPr="004726BB">
        <w:rPr>
          <w:sz w:val="24"/>
          <w:szCs w:val="24"/>
        </w:rPr>
        <w:t xml:space="preserve">  Chapter Relations Committee (CRC)</w:t>
      </w:r>
    </w:p>
    <w:p w14:paraId="4504DC21" w14:textId="77777777" w:rsidR="00811898" w:rsidRPr="004726BB" w:rsidRDefault="00811898" w:rsidP="00811898">
      <w:pPr>
        <w:spacing w:line="240" w:lineRule="auto"/>
        <w:rPr>
          <w:sz w:val="24"/>
          <w:szCs w:val="24"/>
        </w:rPr>
      </w:pPr>
    </w:p>
    <w:p w14:paraId="667DA9E3" w14:textId="77777777" w:rsidR="00811898" w:rsidRPr="00811898" w:rsidRDefault="00811898">
      <w:pPr>
        <w:rPr>
          <w:b/>
          <w:bCs/>
        </w:rPr>
      </w:pPr>
    </w:p>
    <w:sectPr w:rsidR="00811898" w:rsidRPr="008118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9D0C" w14:textId="77777777" w:rsidR="004545FC" w:rsidRDefault="004545FC" w:rsidP="00555817">
      <w:pPr>
        <w:spacing w:after="0" w:line="240" w:lineRule="auto"/>
      </w:pPr>
      <w:r>
        <w:separator/>
      </w:r>
    </w:p>
  </w:endnote>
  <w:endnote w:type="continuationSeparator" w:id="0">
    <w:p w14:paraId="02CA6142" w14:textId="77777777" w:rsidR="004545FC" w:rsidRDefault="004545FC" w:rsidP="0055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A661" w14:textId="77777777" w:rsidR="004545FC" w:rsidRDefault="004545FC" w:rsidP="00555817">
      <w:pPr>
        <w:spacing w:after="0" w:line="240" w:lineRule="auto"/>
      </w:pPr>
      <w:r>
        <w:separator/>
      </w:r>
    </w:p>
  </w:footnote>
  <w:footnote w:type="continuationSeparator" w:id="0">
    <w:p w14:paraId="1AF8137B" w14:textId="77777777" w:rsidR="004545FC" w:rsidRDefault="004545FC" w:rsidP="0055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DA16" w14:textId="77777777" w:rsidR="00555817" w:rsidRPr="00503641" w:rsidRDefault="00555817" w:rsidP="00555817">
    <w:pPr>
      <w:pStyle w:val="Header"/>
      <w:jc w:val="right"/>
    </w:pPr>
    <w:r w:rsidRPr="00503641">
      <w:t>PLA Board of Directors</w:t>
    </w:r>
  </w:p>
  <w:p w14:paraId="56CF55A8" w14:textId="77777777" w:rsidR="00555817" w:rsidRDefault="00555817" w:rsidP="00555817">
    <w:pPr>
      <w:pStyle w:val="Header"/>
      <w:tabs>
        <w:tab w:val="left" w:pos="5280"/>
      </w:tabs>
    </w:pPr>
    <w:r w:rsidRPr="00503641">
      <w:tab/>
    </w:r>
    <w:r w:rsidRPr="00503641">
      <w:tab/>
    </w:r>
    <w:r w:rsidRPr="00503641">
      <w:tab/>
    </w:r>
    <w:r>
      <w:t>September 5, 2019 Conference Call</w:t>
    </w:r>
  </w:p>
  <w:p w14:paraId="6B15FBCD" w14:textId="23911584" w:rsidR="00555817" w:rsidRPr="00503641" w:rsidRDefault="00555817" w:rsidP="00555817">
    <w:pPr>
      <w:pStyle w:val="Header"/>
      <w:tabs>
        <w:tab w:val="left" w:pos="5280"/>
      </w:tabs>
      <w:jc w:val="right"/>
    </w:pPr>
    <w:r>
      <w:t>Document no.: 2020.</w:t>
    </w:r>
    <w:r w:rsidR="00C6272B">
      <w:t>3</w:t>
    </w:r>
  </w:p>
  <w:p w14:paraId="1AA74BB9" w14:textId="77777777" w:rsidR="00555817" w:rsidRPr="00555817" w:rsidRDefault="00555817" w:rsidP="00555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60CCB"/>
    <w:multiLevelType w:val="hybridMultilevel"/>
    <w:tmpl w:val="F2289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D0"/>
    <w:rsid w:val="001B42FD"/>
    <w:rsid w:val="002769A8"/>
    <w:rsid w:val="002B1846"/>
    <w:rsid w:val="00371FD1"/>
    <w:rsid w:val="003A081B"/>
    <w:rsid w:val="003F721F"/>
    <w:rsid w:val="00444FF2"/>
    <w:rsid w:val="004545FC"/>
    <w:rsid w:val="004726BB"/>
    <w:rsid w:val="004730D0"/>
    <w:rsid w:val="005456AB"/>
    <w:rsid w:val="00555817"/>
    <w:rsid w:val="00597B07"/>
    <w:rsid w:val="00811898"/>
    <w:rsid w:val="008340B9"/>
    <w:rsid w:val="00A5110E"/>
    <w:rsid w:val="00C6272B"/>
    <w:rsid w:val="00D40302"/>
    <w:rsid w:val="00E6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76AA"/>
  <w15:chartTrackingRefBased/>
  <w15:docId w15:val="{2803A055-ED07-452A-92F0-CBEAF702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189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11898"/>
    <w:rPr>
      <w:rFonts w:ascii="Consolas" w:hAnsi="Consolas"/>
      <w:sz w:val="21"/>
      <w:szCs w:val="21"/>
    </w:rPr>
  </w:style>
  <w:style w:type="paragraph" w:styleId="ListParagraph">
    <w:name w:val="List Paragraph"/>
    <w:basedOn w:val="Normal"/>
    <w:uiPriority w:val="34"/>
    <w:qFormat/>
    <w:rsid w:val="00811898"/>
    <w:pPr>
      <w:spacing w:after="200" w:line="276" w:lineRule="auto"/>
      <w:ind w:left="720"/>
      <w:contextualSpacing/>
    </w:pPr>
  </w:style>
  <w:style w:type="character" w:styleId="Hyperlink">
    <w:name w:val="Hyperlink"/>
    <w:basedOn w:val="DefaultParagraphFont"/>
    <w:uiPriority w:val="99"/>
    <w:unhideWhenUsed/>
    <w:rsid w:val="001B42FD"/>
    <w:rPr>
      <w:color w:val="0563C1" w:themeColor="hyperlink"/>
      <w:u w:val="single"/>
    </w:rPr>
  </w:style>
  <w:style w:type="character" w:styleId="UnresolvedMention">
    <w:name w:val="Unresolved Mention"/>
    <w:basedOn w:val="DefaultParagraphFont"/>
    <w:uiPriority w:val="99"/>
    <w:semiHidden/>
    <w:unhideWhenUsed/>
    <w:rsid w:val="001B42FD"/>
    <w:rPr>
      <w:color w:val="605E5C"/>
      <w:shd w:val="clear" w:color="auto" w:fill="E1DFDD"/>
    </w:rPr>
  </w:style>
  <w:style w:type="paragraph" w:styleId="NoSpacing">
    <w:name w:val="No Spacing"/>
    <w:uiPriority w:val="1"/>
    <w:qFormat/>
    <w:rsid w:val="003A081B"/>
    <w:pPr>
      <w:spacing w:after="0" w:line="240" w:lineRule="auto"/>
    </w:pPr>
  </w:style>
  <w:style w:type="paragraph" w:styleId="Header">
    <w:name w:val="header"/>
    <w:basedOn w:val="Normal"/>
    <w:link w:val="HeaderChar"/>
    <w:unhideWhenUsed/>
    <w:rsid w:val="00555817"/>
    <w:pPr>
      <w:tabs>
        <w:tab w:val="center" w:pos="4680"/>
        <w:tab w:val="right" w:pos="9360"/>
      </w:tabs>
      <w:spacing w:after="0" w:line="240" w:lineRule="auto"/>
    </w:pPr>
  </w:style>
  <w:style w:type="character" w:customStyle="1" w:styleId="HeaderChar">
    <w:name w:val="Header Char"/>
    <w:basedOn w:val="DefaultParagraphFont"/>
    <w:link w:val="Header"/>
    <w:rsid w:val="00555817"/>
  </w:style>
  <w:style w:type="paragraph" w:styleId="Footer">
    <w:name w:val="footer"/>
    <w:basedOn w:val="Normal"/>
    <w:link w:val="FooterChar"/>
    <w:uiPriority w:val="99"/>
    <w:unhideWhenUsed/>
    <w:rsid w:val="00555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34065">
      <w:bodyDiv w:val="1"/>
      <w:marLeft w:val="0"/>
      <w:marRight w:val="0"/>
      <w:marTop w:val="0"/>
      <w:marBottom w:val="0"/>
      <w:divBdr>
        <w:top w:val="none" w:sz="0" w:space="0" w:color="auto"/>
        <w:left w:val="none" w:sz="0" w:space="0" w:color="auto"/>
        <w:bottom w:val="none" w:sz="0" w:space="0" w:color="auto"/>
        <w:right w:val="none" w:sz="0" w:space="0" w:color="auto"/>
      </w:divBdr>
    </w:div>
    <w:div w:id="15572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Ghikas</dc:creator>
  <cp:keywords/>
  <dc:description/>
  <cp:lastModifiedBy>Megan Stewart</cp:lastModifiedBy>
  <cp:revision>8</cp:revision>
  <dcterms:created xsi:type="dcterms:W3CDTF">2019-08-27T13:45:00Z</dcterms:created>
  <dcterms:modified xsi:type="dcterms:W3CDTF">2019-09-04T18:16:00Z</dcterms:modified>
</cp:coreProperties>
</file>