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CE4E" w14:textId="77777777" w:rsidR="00DA25E3" w:rsidRPr="0064382A" w:rsidRDefault="00DA25E3" w:rsidP="000F6932">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28727887" w14:textId="4B00C203" w:rsidR="00DA25E3" w:rsidRPr="0064382A" w:rsidRDefault="00DA25E3" w:rsidP="000F6932">
      <w:pPr>
        <w:rPr>
          <w:rFonts w:asciiTheme="minorHAnsi" w:hAnsiTheme="minorHAnsi"/>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B52AC9">
        <w:rPr>
          <w:rFonts w:asciiTheme="minorHAnsi" w:hAnsiTheme="minorHAnsi"/>
        </w:rPr>
        <w:t>Task Force</w:t>
      </w:r>
      <w:r w:rsidR="005A6F62">
        <w:rPr>
          <w:rFonts w:asciiTheme="minorHAnsi" w:hAnsiTheme="minorHAnsi"/>
        </w:rPr>
        <w:t xml:space="preserve"> on EDISJ</w:t>
      </w:r>
    </w:p>
    <w:p w14:paraId="4A86A5FD" w14:textId="398BB126" w:rsidR="00DA25E3" w:rsidRPr="0064382A" w:rsidRDefault="00DA25E3" w:rsidP="000F6932">
      <w:pPr>
        <w:tabs>
          <w:tab w:val="left" w:pos="720"/>
          <w:tab w:val="left" w:pos="1440"/>
          <w:tab w:val="left" w:pos="2160"/>
          <w:tab w:val="left" w:pos="3120"/>
        </w:tabs>
        <w:rPr>
          <w:rFonts w:asciiTheme="minorHAnsi" w:hAnsiTheme="minorHAnsi"/>
        </w:rPr>
      </w:pPr>
      <w:r w:rsidRPr="0064382A">
        <w:rPr>
          <w:rFonts w:asciiTheme="minorHAnsi" w:hAnsiTheme="minorHAnsi"/>
          <w:b/>
        </w:rPr>
        <w:t>DATE:</w:t>
      </w:r>
      <w:r w:rsidRPr="0064382A">
        <w:rPr>
          <w:rFonts w:asciiTheme="minorHAnsi" w:hAnsiTheme="minorHAnsi"/>
        </w:rPr>
        <w:tab/>
      </w:r>
      <w:r w:rsidRPr="0064382A">
        <w:rPr>
          <w:rFonts w:asciiTheme="minorHAnsi" w:hAnsiTheme="minorHAnsi"/>
        </w:rPr>
        <w:tab/>
      </w:r>
      <w:r w:rsidR="00493ADA">
        <w:rPr>
          <w:rFonts w:asciiTheme="minorHAnsi" w:hAnsiTheme="minorHAnsi"/>
        </w:rPr>
        <w:t xml:space="preserve">October </w:t>
      </w:r>
      <w:r w:rsidR="00CA19F5">
        <w:rPr>
          <w:rFonts w:asciiTheme="minorHAnsi" w:hAnsiTheme="minorHAnsi"/>
        </w:rPr>
        <w:t>9</w:t>
      </w:r>
      <w:r w:rsidR="00AF2E49">
        <w:rPr>
          <w:rFonts w:asciiTheme="minorHAnsi" w:hAnsiTheme="minorHAnsi"/>
        </w:rPr>
        <w:t>, 20</w:t>
      </w:r>
      <w:r w:rsidR="00B52AC9">
        <w:rPr>
          <w:rFonts w:asciiTheme="minorHAnsi" w:hAnsiTheme="minorHAnsi"/>
        </w:rPr>
        <w:t>20</w:t>
      </w:r>
    </w:p>
    <w:p w14:paraId="2A9AB7AC" w14:textId="42E3BA48" w:rsidR="00744EC4" w:rsidRDefault="00744EC4" w:rsidP="000F6932">
      <w:pPr>
        <w:tabs>
          <w:tab w:val="left" w:pos="720"/>
          <w:tab w:val="left" w:pos="1440"/>
          <w:tab w:val="left" w:pos="2160"/>
          <w:tab w:val="left" w:pos="3120"/>
        </w:tabs>
        <w:rPr>
          <w:rFonts w:asciiTheme="minorHAnsi" w:hAnsiTheme="minorHAnsi"/>
        </w:rPr>
      </w:pPr>
    </w:p>
    <w:p w14:paraId="356E401D" w14:textId="77777777" w:rsidR="007C2EE0" w:rsidRPr="0064382A" w:rsidRDefault="007C2EE0" w:rsidP="000F6932">
      <w:pPr>
        <w:tabs>
          <w:tab w:val="left" w:pos="720"/>
          <w:tab w:val="left" w:pos="1440"/>
          <w:tab w:val="left" w:pos="2160"/>
          <w:tab w:val="left" w:pos="3120"/>
        </w:tabs>
        <w:rPr>
          <w:rFonts w:asciiTheme="minorHAnsi" w:hAnsiTheme="minorHAnsi"/>
        </w:rPr>
      </w:pPr>
    </w:p>
    <w:p w14:paraId="0C851662"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68B8595C" w14:textId="77777777" w:rsidR="00DA25E3" w:rsidRPr="0064382A" w:rsidRDefault="00F40C03" w:rsidP="00DA709D">
      <w:pPr>
        <w:ind w:left="2160" w:hanging="1440"/>
        <w:rPr>
          <w:rFonts w:asciiTheme="minorHAnsi" w:hAnsiTheme="minorHAnsi"/>
          <w:i/>
        </w:rPr>
      </w:pPr>
      <w:r>
        <w:rPr>
          <w:rFonts w:asciiTheme="minorHAnsi" w:hAnsiTheme="minorHAnsi"/>
        </w:rPr>
        <w:t>Action Requested</w:t>
      </w:r>
    </w:p>
    <w:p w14:paraId="0348FB43" w14:textId="77777777" w:rsidR="00DA709D" w:rsidRDefault="000F6932" w:rsidP="003F3E2A">
      <w:pPr>
        <w:ind w:left="2880" w:hanging="2880"/>
        <w:rPr>
          <w:rFonts w:asciiTheme="minorHAnsi" w:hAnsiTheme="minorHAnsi"/>
          <w:b/>
        </w:rPr>
      </w:pPr>
      <w:r w:rsidRPr="0064382A">
        <w:rPr>
          <w:rFonts w:ascii="Calibri" w:hAnsi="Calibri"/>
          <w:b/>
        </w:rPr>
        <w:t>ACTION REQUESTED BY</w:t>
      </w:r>
      <w:r w:rsidR="003F3E2A">
        <w:rPr>
          <w:rFonts w:asciiTheme="minorHAnsi" w:hAnsiTheme="minorHAnsi"/>
          <w:b/>
        </w:rPr>
        <w:t xml:space="preserve">:  </w:t>
      </w:r>
    </w:p>
    <w:p w14:paraId="21DBEED7" w14:textId="7EA225F4" w:rsidR="004E1DEA" w:rsidRDefault="00B52AC9" w:rsidP="00DA709D">
      <w:pPr>
        <w:ind w:left="2880" w:hanging="2160"/>
        <w:rPr>
          <w:rFonts w:asciiTheme="minorHAnsi" w:hAnsiTheme="minorHAnsi"/>
        </w:rPr>
      </w:pPr>
      <w:r>
        <w:rPr>
          <w:rFonts w:asciiTheme="minorHAnsi" w:hAnsiTheme="minorHAnsi"/>
        </w:rPr>
        <w:t>Leighann Wood on behalf of Lois Langer</w:t>
      </w:r>
      <w:r w:rsidR="00493ADA">
        <w:rPr>
          <w:rFonts w:asciiTheme="minorHAnsi" w:hAnsiTheme="minorHAnsi"/>
        </w:rPr>
        <w:t xml:space="preserve"> </w:t>
      </w:r>
      <w:r>
        <w:rPr>
          <w:rFonts w:asciiTheme="minorHAnsi" w:hAnsiTheme="minorHAnsi"/>
        </w:rPr>
        <w:t>Thompson and Christina Fuller-Gregory</w:t>
      </w:r>
    </w:p>
    <w:p w14:paraId="0D667C1D" w14:textId="77777777" w:rsidR="00DA709D" w:rsidRDefault="00DA25E3" w:rsidP="000F6932">
      <w:pPr>
        <w:rPr>
          <w:rFonts w:asciiTheme="minorHAnsi" w:hAnsiTheme="minorHAnsi"/>
          <w:b/>
        </w:rPr>
      </w:pPr>
      <w:r w:rsidRPr="0064382A">
        <w:rPr>
          <w:rFonts w:asciiTheme="minorHAnsi" w:hAnsiTheme="minorHAnsi"/>
          <w:b/>
        </w:rPr>
        <w:t>DRAFT</w:t>
      </w:r>
      <w:r w:rsidR="00010132">
        <w:rPr>
          <w:rFonts w:asciiTheme="minorHAnsi" w:hAnsiTheme="minorHAnsi"/>
          <w:b/>
        </w:rPr>
        <w:t>S</w:t>
      </w:r>
      <w:r w:rsidRPr="0064382A">
        <w:rPr>
          <w:rFonts w:asciiTheme="minorHAnsi" w:hAnsiTheme="minorHAnsi"/>
          <w:b/>
        </w:rPr>
        <w:t xml:space="preserve"> OF MOTION</w:t>
      </w:r>
      <w:r w:rsidR="00CC561B">
        <w:rPr>
          <w:rFonts w:asciiTheme="minorHAnsi" w:hAnsiTheme="minorHAnsi"/>
          <w:b/>
        </w:rPr>
        <w:t>S</w:t>
      </w:r>
      <w:r w:rsidRPr="0064382A">
        <w:rPr>
          <w:rFonts w:asciiTheme="minorHAnsi" w:hAnsiTheme="minorHAnsi"/>
          <w:b/>
        </w:rPr>
        <w:t>:</w:t>
      </w:r>
      <w:r w:rsidR="003F3E2A">
        <w:rPr>
          <w:rFonts w:asciiTheme="minorHAnsi" w:hAnsiTheme="minorHAnsi"/>
          <w:b/>
        </w:rPr>
        <w:t xml:space="preserve">   </w:t>
      </w:r>
    </w:p>
    <w:p w14:paraId="563AEB37" w14:textId="25B0E92C" w:rsidR="004E1F38" w:rsidRPr="00864E83" w:rsidRDefault="00864E83" w:rsidP="00525EC6">
      <w:pPr>
        <w:pStyle w:val="ListParagraph"/>
        <w:numPr>
          <w:ilvl w:val="0"/>
          <w:numId w:val="16"/>
        </w:numPr>
        <w:rPr>
          <w:rFonts w:asciiTheme="minorHAnsi" w:hAnsiTheme="minorHAnsi"/>
          <w:bCs/>
        </w:rPr>
      </w:pPr>
      <w:r>
        <w:rPr>
          <w:rFonts w:asciiTheme="minorHAnsi" w:hAnsiTheme="minorHAnsi"/>
        </w:rPr>
        <w:t>By resolution of the</w:t>
      </w:r>
      <w:r w:rsidR="00CC561B" w:rsidRPr="00B52AC9">
        <w:rPr>
          <w:rFonts w:asciiTheme="minorHAnsi" w:hAnsiTheme="minorHAnsi"/>
        </w:rPr>
        <w:t xml:space="preserve"> PLA Board of Directors</w:t>
      </w:r>
      <w:r>
        <w:rPr>
          <w:rFonts w:asciiTheme="minorHAnsi" w:hAnsiTheme="minorHAnsi"/>
        </w:rPr>
        <w:t xml:space="preserve">, </w:t>
      </w:r>
      <w:r w:rsidR="00CC561B" w:rsidRPr="00B52AC9">
        <w:rPr>
          <w:rFonts w:asciiTheme="minorHAnsi" w:hAnsiTheme="minorHAnsi"/>
        </w:rPr>
        <w:t xml:space="preserve">the PLA </w:t>
      </w:r>
      <w:r w:rsidRPr="00864E83">
        <w:rPr>
          <w:rFonts w:asciiTheme="minorHAnsi" w:hAnsiTheme="minorHAnsi"/>
        </w:rPr>
        <w:t>Task Force on Equity, Diversity, Inclusion and Social Justice</w:t>
      </w:r>
      <w:r>
        <w:rPr>
          <w:rFonts w:asciiTheme="minorHAnsi" w:hAnsiTheme="minorHAnsi"/>
        </w:rPr>
        <w:t xml:space="preserve"> (EDISJ)</w:t>
      </w:r>
      <w:r w:rsidR="00CC561B" w:rsidRPr="00B52AC9">
        <w:rPr>
          <w:rFonts w:asciiTheme="minorHAnsi" w:hAnsiTheme="minorHAnsi"/>
        </w:rPr>
        <w:t xml:space="preserve"> </w:t>
      </w:r>
      <w:r>
        <w:rPr>
          <w:rFonts w:asciiTheme="minorHAnsi" w:hAnsiTheme="minorHAnsi"/>
        </w:rPr>
        <w:t>is hereby dissolved and replaced with the Committee on EDISJ</w:t>
      </w:r>
      <w:r w:rsidR="005A6F62">
        <w:rPr>
          <w:rFonts w:asciiTheme="minorHAnsi" w:hAnsiTheme="minorHAnsi"/>
        </w:rPr>
        <w:t>.</w:t>
      </w:r>
    </w:p>
    <w:p w14:paraId="0EEE15A1" w14:textId="6105B817" w:rsidR="00864E83" w:rsidRPr="00A02D92" w:rsidRDefault="00A02D92" w:rsidP="00525EC6">
      <w:pPr>
        <w:pStyle w:val="ListParagraph"/>
        <w:numPr>
          <w:ilvl w:val="0"/>
          <w:numId w:val="16"/>
        </w:numPr>
        <w:rPr>
          <w:rFonts w:asciiTheme="minorHAnsi" w:hAnsiTheme="minorHAnsi"/>
          <w:bCs/>
        </w:rPr>
      </w:pPr>
      <w:r w:rsidRPr="00A02D92">
        <w:rPr>
          <w:rFonts w:asciiTheme="minorHAnsi" w:hAnsiTheme="minorHAnsi"/>
        </w:rPr>
        <w:t>The charge, membership, and terms of the current Task Force be transitioned without change to the new Committee.</w:t>
      </w:r>
    </w:p>
    <w:p w14:paraId="68197623" w14:textId="77777777" w:rsidR="00B52AC9" w:rsidRPr="00930DD6" w:rsidRDefault="00B52AC9" w:rsidP="00BE0EEC">
      <w:pPr>
        <w:pStyle w:val="ListParagraph"/>
        <w:ind w:left="1080"/>
        <w:jc w:val="right"/>
        <w:rPr>
          <w:rFonts w:asciiTheme="minorHAnsi" w:hAnsiTheme="minorHAnsi"/>
          <w:bCs/>
        </w:rPr>
      </w:pPr>
    </w:p>
    <w:p w14:paraId="16C0DCD7" w14:textId="59D5F8E2" w:rsidR="00A11174" w:rsidRDefault="00DD415C" w:rsidP="00A11174">
      <w:pPr>
        <w:rPr>
          <w:rFonts w:asciiTheme="minorHAnsi" w:hAnsiTheme="minorHAnsi"/>
          <w:b/>
        </w:rPr>
      </w:pPr>
      <w:r>
        <w:rPr>
          <w:rFonts w:asciiTheme="minorHAnsi" w:hAnsiTheme="minorHAnsi"/>
          <w:b/>
        </w:rPr>
        <w:t>BACKGROUND</w:t>
      </w:r>
      <w:r w:rsidR="004275AF">
        <w:rPr>
          <w:rFonts w:asciiTheme="minorHAnsi" w:hAnsiTheme="minorHAnsi"/>
          <w:b/>
        </w:rPr>
        <w:t xml:space="preserve"> </w:t>
      </w:r>
      <w:r w:rsidR="00381367">
        <w:rPr>
          <w:rFonts w:asciiTheme="minorHAnsi" w:hAnsiTheme="minorHAnsi"/>
          <w:b/>
        </w:rPr>
        <w:t xml:space="preserve">AND HISTORY </w:t>
      </w:r>
    </w:p>
    <w:p w14:paraId="0AB62F37" w14:textId="0A3E1325" w:rsidR="00A11174" w:rsidRDefault="00A11174" w:rsidP="00A11174">
      <w:pPr>
        <w:rPr>
          <w:rFonts w:asciiTheme="minorHAnsi" w:hAnsiTheme="minorHAnsi"/>
          <w:b/>
        </w:rPr>
      </w:pPr>
    </w:p>
    <w:p w14:paraId="0A7134D5" w14:textId="6FD53A77" w:rsidR="00A11174" w:rsidRDefault="00A11174" w:rsidP="00A11174">
      <w:pPr>
        <w:rPr>
          <w:rFonts w:asciiTheme="minorHAnsi" w:hAnsiTheme="minorHAnsi"/>
          <w:bCs/>
        </w:rPr>
      </w:pPr>
      <w:r>
        <w:rPr>
          <w:rFonts w:asciiTheme="minorHAnsi" w:hAnsiTheme="minorHAnsi"/>
          <w:bCs/>
        </w:rPr>
        <w:t xml:space="preserve">Based on the semi-annual report to the Board in September of 2020, </w:t>
      </w:r>
      <w:r w:rsidR="00864E83">
        <w:rPr>
          <w:rFonts w:asciiTheme="minorHAnsi" w:hAnsiTheme="minorHAnsi"/>
          <w:bCs/>
        </w:rPr>
        <w:t xml:space="preserve">the </w:t>
      </w:r>
      <w:r>
        <w:rPr>
          <w:rFonts w:asciiTheme="minorHAnsi" w:hAnsiTheme="minorHAnsi"/>
          <w:bCs/>
        </w:rPr>
        <w:t>evolving nature of the work</w:t>
      </w:r>
      <w:r w:rsidR="005245C9">
        <w:rPr>
          <w:rFonts w:asciiTheme="minorHAnsi" w:hAnsiTheme="minorHAnsi"/>
          <w:bCs/>
        </w:rPr>
        <w:t xml:space="preserve"> advised by </w:t>
      </w:r>
      <w:r>
        <w:rPr>
          <w:rFonts w:asciiTheme="minorHAnsi" w:hAnsiTheme="minorHAnsi"/>
          <w:bCs/>
        </w:rPr>
        <w:t>the Task Force</w:t>
      </w:r>
      <w:r w:rsidR="005245C9">
        <w:rPr>
          <w:rFonts w:asciiTheme="minorHAnsi" w:hAnsiTheme="minorHAnsi"/>
          <w:bCs/>
        </w:rPr>
        <w:t xml:space="preserve">, and the revised Charge and Scope of Work, the </w:t>
      </w:r>
      <w:r w:rsidR="00864E83">
        <w:rPr>
          <w:rFonts w:asciiTheme="minorHAnsi" w:hAnsiTheme="minorHAnsi"/>
          <w:bCs/>
        </w:rPr>
        <w:t>Task Force Co-c</w:t>
      </w:r>
      <w:r w:rsidR="005245C9">
        <w:rPr>
          <w:rFonts w:asciiTheme="minorHAnsi" w:hAnsiTheme="minorHAnsi"/>
          <w:bCs/>
        </w:rPr>
        <w:t>hairs</w:t>
      </w:r>
      <w:r>
        <w:rPr>
          <w:rFonts w:asciiTheme="minorHAnsi" w:hAnsiTheme="minorHAnsi"/>
          <w:bCs/>
        </w:rPr>
        <w:t xml:space="preserve"> </w:t>
      </w:r>
      <w:r w:rsidR="00864E83">
        <w:rPr>
          <w:rFonts w:asciiTheme="minorHAnsi" w:hAnsiTheme="minorHAnsi"/>
          <w:bCs/>
        </w:rPr>
        <w:t>stated</w:t>
      </w:r>
      <w:r>
        <w:rPr>
          <w:rFonts w:asciiTheme="minorHAnsi" w:hAnsiTheme="minorHAnsi"/>
          <w:bCs/>
        </w:rPr>
        <w:t>:</w:t>
      </w:r>
    </w:p>
    <w:p w14:paraId="6230D2E7" w14:textId="77777777" w:rsidR="00864E83" w:rsidRDefault="00864E83" w:rsidP="00A11174">
      <w:pPr>
        <w:rPr>
          <w:rFonts w:asciiTheme="minorHAnsi" w:hAnsiTheme="minorHAnsi"/>
          <w:bCs/>
        </w:rPr>
      </w:pPr>
    </w:p>
    <w:p w14:paraId="693ECFF5" w14:textId="22B70AD4" w:rsidR="00B52AC9" w:rsidRDefault="00A11174" w:rsidP="00A11174">
      <w:pPr>
        <w:rPr>
          <w:rFonts w:asciiTheme="minorHAnsi" w:hAnsiTheme="minorHAnsi"/>
          <w:b/>
          <w:bCs/>
        </w:rPr>
      </w:pPr>
      <w:r w:rsidRPr="005245C9">
        <w:rPr>
          <w:rFonts w:asciiTheme="minorHAnsi" w:hAnsiTheme="minorHAnsi"/>
          <w:bCs/>
          <w:i/>
          <w:iCs/>
        </w:rPr>
        <w:t xml:space="preserve">“We believe that we have moved beyond the Task Force designation and should become a committee. Task Force work is often targeted, short term and focused on one specific issue. We recognize that our work is long-term, frequently evolving, and requires consistent, on-going effort and attention. To that end, we are asking to become the PLA </w:t>
      </w:r>
      <w:r w:rsidRPr="005245C9">
        <w:rPr>
          <w:rFonts w:asciiTheme="minorHAnsi" w:hAnsiTheme="minorHAnsi"/>
          <w:b/>
          <w:i/>
          <w:iCs/>
        </w:rPr>
        <w:t>EDISJ Committee</w:t>
      </w:r>
      <w:r w:rsidRPr="005245C9">
        <w:rPr>
          <w:rFonts w:asciiTheme="minorHAnsi" w:hAnsiTheme="minorHAnsi"/>
          <w:bCs/>
          <w:i/>
          <w:iCs/>
        </w:rPr>
        <w:t>.”</w:t>
      </w:r>
    </w:p>
    <w:p w14:paraId="14AFF022" w14:textId="77777777" w:rsidR="001F5DB0" w:rsidRPr="00A11174" w:rsidRDefault="001F5DB0" w:rsidP="00A11174">
      <w:pPr>
        <w:rPr>
          <w:rFonts w:asciiTheme="minorHAnsi" w:hAnsiTheme="minorHAnsi"/>
          <w:bCs/>
        </w:rPr>
      </w:pPr>
    </w:p>
    <w:p w14:paraId="0CEC4701" w14:textId="1883114A" w:rsidR="001F5DB0" w:rsidRDefault="00381367" w:rsidP="00A11174">
      <w:pPr>
        <w:autoSpaceDE w:val="0"/>
        <w:autoSpaceDN w:val="0"/>
        <w:adjustRightInd w:val="0"/>
        <w:rPr>
          <w:rFonts w:asciiTheme="minorHAnsi" w:hAnsiTheme="minorHAnsi"/>
        </w:rPr>
      </w:pPr>
      <w:r>
        <w:rPr>
          <w:rFonts w:asciiTheme="minorHAnsi" w:hAnsiTheme="minorHAnsi"/>
        </w:rPr>
        <w:t xml:space="preserve">The Task Force was formed in 2017, approved per PLA bylaws for 2 years. The Task Force was extended in 2019 and will sunset in 2021. </w:t>
      </w:r>
      <w:r w:rsidR="001F5DB0">
        <w:rPr>
          <w:rFonts w:asciiTheme="minorHAnsi" w:hAnsiTheme="minorHAnsi"/>
        </w:rPr>
        <w:t>The work of the Task Force has grown steadily since its</w:t>
      </w:r>
      <w:r>
        <w:rPr>
          <w:rFonts w:asciiTheme="minorHAnsi" w:hAnsiTheme="minorHAnsi"/>
        </w:rPr>
        <w:t xml:space="preserve"> formation</w:t>
      </w:r>
      <w:r w:rsidR="00EA4AF7">
        <w:rPr>
          <w:rFonts w:asciiTheme="minorHAnsi" w:hAnsiTheme="minorHAnsi"/>
        </w:rPr>
        <w:t>. I</w:t>
      </w:r>
      <w:r w:rsidR="001F5DB0">
        <w:rPr>
          <w:rFonts w:asciiTheme="minorHAnsi" w:hAnsiTheme="minorHAnsi"/>
        </w:rPr>
        <w:t xml:space="preserve">nitial efforts </w:t>
      </w:r>
      <w:r w:rsidR="00EA4AF7">
        <w:rPr>
          <w:rFonts w:asciiTheme="minorHAnsi" w:hAnsiTheme="minorHAnsi"/>
        </w:rPr>
        <w:t xml:space="preserve">focused on orienting Task Force members themselves and doing strategic planning. The Task Force expanded activity through development of educational programming including the </w:t>
      </w:r>
      <w:r w:rsidR="00EA4AF7" w:rsidRPr="00493ADA">
        <w:rPr>
          <w:rFonts w:asciiTheme="minorHAnsi" w:hAnsiTheme="minorHAnsi"/>
          <w:i/>
        </w:rPr>
        <w:t>Equity Starts with Us</w:t>
      </w:r>
      <w:r w:rsidR="00EA4AF7">
        <w:rPr>
          <w:rFonts w:asciiTheme="minorHAnsi" w:hAnsiTheme="minorHAnsi"/>
        </w:rPr>
        <w:t xml:space="preserve"> regional trainings; creating resources for the field through a period</w:t>
      </w:r>
      <w:r w:rsidR="005E7A6B">
        <w:rPr>
          <w:rFonts w:asciiTheme="minorHAnsi" w:hAnsiTheme="minorHAnsi"/>
        </w:rPr>
        <w:t>ic</w:t>
      </w:r>
      <w:r w:rsidR="00EA4AF7">
        <w:rPr>
          <w:rFonts w:asciiTheme="minorHAnsi" w:hAnsiTheme="minorHAnsi"/>
        </w:rPr>
        <w:t xml:space="preserve"> e-newsletter and a regular column in Public Libraries magazine; and collaboration with other groups, including the joint framework project with other ALA units (ACRL and ODLOS) and</w:t>
      </w:r>
      <w:r w:rsidR="00EA4AF7" w:rsidRPr="00EA4AF7">
        <w:rPr>
          <w:rFonts w:asciiTheme="minorHAnsi" w:hAnsiTheme="minorHAnsi"/>
        </w:rPr>
        <w:t xml:space="preserve"> the Association of Research Libraries (ARL</w:t>
      </w:r>
      <w:r>
        <w:rPr>
          <w:rFonts w:asciiTheme="minorHAnsi" w:hAnsiTheme="minorHAnsi"/>
        </w:rPr>
        <w:t>)</w:t>
      </w:r>
      <w:r w:rsidR="00EA4AF7">
        <w:rPr>
          <w:rFonts w:asciiTheme="minorHAnsi" w:hAnsiTheme="minorHAnsi"/>
        </w:rPr>
        <w:t xml:space="preserve">. Most recently, the </w:t>
      </w:r>
      <w:r>
        <w:rPr>
          <w:rFonts w:asciiTheme="minorHAnsi" w:hAnsiTheme="minorHAnsi"/>
        </w:rPr>
        <w:t xml:space="preserve">growing racial unrest in 2020 moved the </w:t>
      </w:r>
      <w:r w:rsidR="00EA4AF7">
        <w:rPr>
          <w:rFonts w:asciiTheme="minorHAnsi" w:hAnsiTheme="minorHAnsi"/>
        </w:rPr>
        <w:t xml:space="preserve">Task Force </w:t>
      </w:r>
      <w:r>
        <w:rPr>
          <w:rFonts w:asciiTheme="minorHAnsi" w:hAnsiTheme="minorHAnsi"/>
        </w:rPr>
        <w:t>to issue</w:t>
      </w:r>
      <w:r w:rsidR="00EA4AF7">
        <w:rPr>
          <w:rFonts w:asciiTheme="minorHAnsi" w:hAnsiTheme="minorHAnsi"/>
        </w:rPr>
        <w:t xml:space="preserve"> </w:t>
      </w:r>
      <w:r>
        <w:rPr>
          <w:rFonts w:asciiTheme="minorHAnsi" w:hAnsiTheme="minorHAnsi"/>
        </w:rPr>
        <w:t>a call to action to the field and hold a series of themed</w:t>
      </w:r>
      <w:r w:rsidR="00EA4AF7">
        <w:rPr>
          <w:rFonts w:asciiTheme="minorHAnsi" w:hAnsiTheme="minorHAnsi"/>
        </w:rPr>
        <w:t xml:space="preserve"> Twitter chats</w:t>
      </w:r>
      <w:r w:rsidR="00BE0EEC">
        <w:rPr>
          <w:rFonts w:asciiTheme="minorHAnsi" w:hAnsiTheme="minorHAnsi"/>
        </w:rPr>
        <w:t xml:space="preserve"> and ongoing meaningful conversations with the field</w:t>
      </w:r>
      <w:r w:rsidR="00EA4AF7">
        <w:rPr>
          <w:rFonts w:asciiTheme="minorHAnsi" w:hAnsiTheme="minorHAnsi"/>
        </w:rPr>
        <w:t xml:space="preserve">. </w:t>
      </w:r>
      <w:r w:rsidR="005E7A6B">
        <w:rPr>
          <w:rFonts w:asciiTheme="minorHAnsi" w:hAnsiTheme="minorHAnsi"/>
        </w:rPr>
        <w:t xml:space="preserve">The call to action was adopted by the PLA Board. </w:t>
      </w:r>
      <w:r>
        <w:rPr>
          <w:rFonts w:asciiTheme="minorHAnsi" w:hAnsiTheme="minorHAnsi"/>
        </w:rPr>
        <w:t>Despite turnover in Task Force membership and the inability of some Task Force members to contribute substantially due to COVID-19’s impact on their libraries and families, they have remained very busy and have ideas for activity beyond what they are able to accomplish.</w:t>
      </w:r>
    </w:p>
    <w:p w14:paraId="3D7DE612" w14:textId="77777777" w:rsidR="001F5DB0" w:rsidRDefault="001F5DB0" w:rsidP="00A11174">
      <w:pPr>
        <w:autoSpaceDE w:val="0"/>
        <w:autoSpaceDN w:val="0"/>
        <w:adjustRightInd w:val="0"/>
        <w:rPr>
          <w:rFonts w:asciiTheme="minorHAnsi" w:hAnsiTheme="minorHAnsi"/>
        </w:rPr>
      </w:pPr>
    </w:p>
    <w:p w14:paraId="38D74DBA" w14:textId="07E5FFAA" w:rsidR="001F5DB0" w:rsidRDefault="001F5DB0" w:rsidP="00A11174">
      <w:pPr>
        <w:autoSpaceDE w:val="0"/>
        <w:autoSpaceDN w:val="0"/>
        <w:adjustRightInd w:val="0"/>
        <w:rPr>
          <w:rFonts w:asciiTheme="minorHAnsi" w:hAnsiTheme="minorHAnsi"/>
          <w:b/>
          <w:bCs/>
        </w:rPr>
      </w:pPr>
      <w:r>
        <w:rPr>
          <w:rFonts w:asciiTheme="minorHAnsi" w:hAnsiTheme="minorHAnsi"/>
          <w:b/>
          <w:bCs/>
        </w:rPr>
        <w:t xml:space="preserve">CHARGE </w:t>
      </w:r>
    </w:p>
    <w:p w14:paraId="1D8DD9E7" w14:textId="65ED2EC9" w:rsidR="001F5DB0" w:rsidRDefault="001F5DB0" w:rsidP="00A11174">
      <w:pPr>
        <w:autoSpaceDE w:val="0"/>
        <w:autoSpaceDN w:val="0"/>
        <w:adjustRightInd w:val="0"/>
        <w:rPr>
          <w:rFonts w:asciiTheme="minorHAnsi" w:hAnsiTheme="minorHAnsi"/>
        </w:rPr>
      </w:pPr>
    </w:p>
    <w:p w14:paraId="5728B3E1" w14:textId="4909E80F" w:rsidR="001F5DB0" w:rsidRPr="001F5DB0" w:rsidRDefault="001F5DB0" w:rsidP="00A11174">
      <w:pPr>
        <w:autoSpaceDE w:val="0"/>
        <w:autoSpaceDN w:val="0"/>
        <w:adjustRightInd w:val="0"/>
        <w:rPr>
          <w:rFonts w:asciiTheme="minorHAnsi" w:hAnsiTheme="minorHAnsi"/>
        </w:rPr>
      </w:pPr>
      <w:r>
        <w:rPr>
          <w:rFonts w:asciiTheme="minorHAnsi" w:hAnsiTheme="minorHAnsi"/>
        </w:rPr>
        <w:t>The Task Force’s charge was updated in summer 2020</w:t>
      </w:r>
      <w:r w:rsidR="00381367">
        <w:rPr>
          <w:rFonts w:asciiTheme="minorHAnsi" w:hAnsiTheme="minorHAnsi"/>
        </w:rPr>
        <w:t xml:space="preserve"> and is included below.</w:t>
      </w:r>
    </w:p>
    <w:p w14:paraId="68B9FE38" w14:textId="77777777" w:rsidR="001F5DB0" w:rsidRDefault="001F5DB0" w:rsidP="00A11174">
      <w:pPr>
        <w:autoSpaceDE w:val="0"/>
        <w:autoSpaceDN w:val="0"/>
        <w:adjustRightInd w:val="0"/>
        <w:rPr>
          <w:rFonts w:asciiTheme="minorHAnsi" w:hAnsiTheme="minorHAnsi"/>
        </w:rPr>
      </w:pPr>
    </w:p>
    <w:p w14:paraId="3E04C499" w14:textId="1C185381" w:rsidR="00A11174" w:rsidRPr="00381367" w:rsidRDefault="00A11174" w:rsidP="00A11174">
      <w:pPr>
        <w:autoSpaceDE w:val="0"/>
        <w:autoSpaceDN w:val="0"/>
        <w:adjustRightInd w:val="0"/>
        <w:rPr>
          <w:rFonts w:asciiTheme="minorHAnsi" w:hAnsiTheme="minorHAnsi"/>
          <w:i/>
          <w:iCs/>
        </w:rPr>
      </w:pPr>
      <w:r w:rsidRPr="00381367">
        <w:rPr>
          <w:rFonts w:asciiTheme="minorHAnsi" w:hAnsiTheme="minorHAnsi"/>
          <w:i/>
          <w:iCs/>
        </w:rPr>
        <w:t xml:space="preserve">Because we believe that #LibrariesTransform, we also commit to honest reflection and structural change. We acknowledge that libraries have been — and still are — complicit in systems that oppress, exclude, and harm Black people, indigenous people, and people of color (BIPOC). The library profession remains </w:t>
      </w:r>
      <w:hyperlink r:id="rId8" w:anchor="demographics" w:history="1">
        <w:r w:rsidRPr="00381367">
          <w:rPr>
            <w:rStyle w:val="Hyperlink"/>
            <w:rFonts w:asciiTheme="minorHAnsi" w:hAnsiTheme="minorHAnsi"/>
            <w:i/>
            <w:iCs/>
          </w:rPr>
          <w:t>overwhelmingly white</w:t>
        </w:r>
      </w:hyperlink>
      <w:r w:rsidRPr="00381367">
        <w:rPr>
          <w:rFonts w:asciiTheme="minorHAnsi" w:hAnsiTheme="minorHAnsi"/>
          <w:i/>
          <w:iCs/>
        </w:rPr>
        <w:t xml:space="preserve">, despite decades of emphasis on diversity and inclusion. We see incredible </w:t>
      </w:r>
      <w:hyperlink r:id="rId9" w:history="1">
        <w:r w:rsidRPr="00381367">
          <w:rPr>
            <w:rStyle w:val="Hyperlink"/>
            <w:rFonts w:asciiTheme="minorHAnsi" w:hAnsiTheme="minorHAnsi"/>
            <w:i/>
            <w:iCs/>
          </w:rPr>
          <w:t>examples of self-determination and resilience</w:t>
        </w:r>
      </w:hyperlink>
      <w:r w:rsidRPr="00381367">
        <w:rPr>
          <w:rFonts w:asciiTheme="minorHAnsi" w:hAnsiTheme="minorHAnsi"/>
          <w:i/>
          <w:iCs/>
        </w:rPr>
        <w:t xml:space="preserve"> by BIPOC librarians and educators, yet the profession has largely failed to improve conditions and ensure pathways for advancement among library workers of color. We commit to dismantling white supremacy in libraries and librarianship. We recognize the urgency of this collective work, and commit to hold ourselves, our colleagues, and our institutions accountable when we fall short.</w:t>
      </w:r>
    </w:p>
    <w:p w14:paraId="377482CA" w14:textId="77777777" w:rsidR="00A11174" w:rsidRPr="00A11174" w:rsidRDefault="00A11174" w:rsidP="00A11174">
      <w:pPr>
        <w:autoSpaceDE w:val="0"/>
        <w:autoSpaceDN w:val="0"/>
        <w:adjustRightInd w:val="0"/>
        <w:rPr>
          <w:rFonts w:asciiTheme="minorHAnsi" w:hAnsiTheme="minorHAnsi"/>
        </w:rPr>
      </w:pPr>
    </w:p>
    <w:p w14:paraId="2A667618" w14:textId="15FE2163" w:rsidR="00381367" w:rsidRPr="00381367" w:rsidRDefault="00381367" w:rsidP="00A11174">
      <w:pPr>
        <w:autoSpaceDE w:val="0"/>
        <w:autoSpaceDN w:val="0"/>
        <w:adjustRightInd w:val="0"/>
        <w:rPr>
          <w:rFonts w:asciiTheme="minorHAnsi" w:hAnsiTheme="minorHAnsi"/>
          <w:b/>
          <w:bCs/>
        </w:rPr>
      </w:pPr>
      <w:r>
        <w:rPr>
          <w:rFonts w:asciiTheme="minorHAnsi" w:hAnsiTheme="minorHAnsi"/>
          <w:b/>
          <w:bCs/>
        </w:rPr>
        <w:t>ONGOING WORK</w:t>
      </w:r>
    </w:p>
    <w:p w14:paraId="0BCA4CA3" w14:textId="4EBDABC3" w:rsidR="00A11174" w:rsidRPr="00A11174" w:rsidRDefault="00381367" w:rsidP="00A11174">
      <w:pPr>
        <w:autoSpaceDE w:val="0"/>
        <w:autoSpaceDN w:val="0"/>
        <w:adjustRightInd w:val="0"/>
        <w:rPr>
          <w:rFonts w:asciiTheme="minorHAnsi" w:hAnsiTheme="minorHAnsi"/>
        </w:rPr>
      </w:pPr>
      <w:r>
        <w:rPr>
          <w:rFonts w:asciiTheme="minorHAnsi" w:hAnsiTheme="minorHAnsi"/>
        </w:rPr>
        <w:t>The Task Force intends to continue to write for the PLA journal and consider how to continue to offer educational events for public library staff, in person or virtually as demanded by the COVID-19 situation. As part of its summer 2020 call to action, th</w:t>
      </w:r>
      <w:r w:rsidR="00A11174" w:rsidRPr="00A11174">
        <w:rPr>
          <w:rFonts w:asciiTheme="minorHAnsi" w:hAnsiTheme="minorHAnsi"/>
        </w:rPr>
        <w:t xml:space="preserve">e Task Force </w:t>
      </w:r>
      <w:r>
        <w:rPr>
          <w:rFonts w:asciiTheme="minorHAnsi" w:hAnsiTheme="minorHAnsi"/>
        </w:rPr>
        <w:t>also committed itself to working in the following areas.</w:t>
      </w:r>
    </w:p>
    <w:p w14:paraId="6AEAC71A" w14:textId="77777777" w:rsidR="00A11174" w:rsidRPr="00A11174" w:rsidRDefault="00A11174" w:rsidP="00A11174">
      <w:pPr>
        <w:autoSpaceDE w:val="0"/>
        <w:autoSpaceDN w:val="0"/>
        <w:adjustRightInd w:val="0"/>
        <w:rPr>
          <w:rFonts w:asciiTheme="minorHAnsi" w:hAnsiTheme="minorHAnsi"/>
        </w:rPr>
      </w:pPr>
    </w:p>
    <w:p w14:paraId="4BE531FF" w14:textId="675CD0E7" w:rsidR="00A11174" w:rsidRPr="00A11174" w:rsidRDefault="00A11174" w:rsidP="00A11174">
      <w:pPr>
        <w:numPr>
          <w:ilvl w:val="0"/>
          <w:numId w:val="21"/>
        </w:numPr>
        <w:autoSpaceDE w:val="0"/>
        <w:autoSpaceDN w:val="0"/>
        <w:adjustRightInd w:val="0"/>
        <w:rPr>
          <w:rFonts w:asciiTheme="minorHAnsi" w:hAnsiTheme="minorHAnsi"/>
        </w:rPr>
      </w:pPr>
      <w:r w:rsidRPr="00A11174">
        <w:rPr>
          <w:rFonts w:asciiTheme="minorHAnsi" w:hAnsiTheme="minorHAnsi"/>
          <w:b/>
          <w:bCs/>
        </w:rPr>
        <w:t>Convene meaningful conversations about EDISJ in public libraries.</w:t>
      </w:r>
      <w:r w:rsidRPr="00A11174">
        <w:rPr>
          <w:rFonts w:asciiTheme="minorHAnsi" w:hAnsiTheme="minorHAnsi"/>
        </w:rPr>
        <w:t> </w:t>
      </w:r>
    </w:p>
    <w:p w14:paraId="32BBDFBA" w14:textId="6EC727E6" w:rsidR="00A11174" w:rsidRPr="00A11174" w:rsidRDefault="00A11174" w:rsidP="00A11174">
      <w:pPr>
        <w:numPr>
          <w:ilvl w:val="0"/>
          <w:numId w:val="21"/>
        </w:numPr>
        <w:autoSpaceDE w:val="0"/>
        <w:autoSpaceDN w:val="0"/>
        <w:adjustRightInd w:val="0"/>
        <w:rPr>
          <w:rFonts w:asciiTheme="minorHAnsi" w:hAnsiTheme="minorHAnsi"/>
        </w:rPr>
      </w:pPr>
      <w:r w:rsidRPr="00A11174">
        <w:rPr>
          <w:rFonts w:asciiTheme="minorHAnsi" w:hAnsiTheme="minorHAnsi"/>
          <w:b/>
          <w:bCs/>
        </w:rPr>
        <w:t xml:space="preserve">Identify the action step(s) </w:t>
      </w:r>
      <w:r w:rsidRPr="00A11174">
        <w:rPr>
          <w:rFonts w:asciiTheme="minorHAnsi" w:hAnsiTheme="minorHAnsi"/>
        </w:rPr>
        <w:t xml:space="preserve">that we are collectively best positioned to address during our next year of work and develop concrete recommendations for PLA to advance racial equity and organizational change in </w:t>
      </w:r>
      <w:proofErr w:type="gramStart"/>
      <w:r w:rsidRPr="00A11174">
        <w:rPr>
          <w:rFonts w:asciiTheme="minorHAnsi" w:hAnsiTheme="minorHAnsi"/>
        </w:rPr>
        <w:t>libraries;</w:t>
      </w:r>
      <w:proofErr w:type="gramEnd"/>
    </w:p>
    <w:p w14:paraId="6C829F1C" w14:textId="77777777" w:rsidR="00A11174" w:rsidRPr="00A11174" w:rsidRDefault="00A11174" w:rsidP="00A11174">
      <w:pPr>
        <w:numPr>
          <w:ilvl w:val="0"/>
          <w:numId w:val="21"/>
        </w:numPr>
        <w:autoSpaceDE w:val="0"/>
        <w:autoSpaceDN w:val="0"/>
        <w:adjustRightInd w:val="0"/>
        <w:rPr>
          <w:rFonts w:asciiTheme="minorHAnsi" w:hAnsiTheme="minorHAnsi"/>
        </w:rPr>
      </w:pPr>
      <w:r w:rsidRPr="00A11174">
        <w:rPr>
          <w:rFonts w:asciiTheme="minorHAnsi" w:hAnsiTheme="minorHAnsi"/>
          <w:b/>
          <w:bCs/>
        </w:rPr>
        <w:t>Evaluate the structure of the Task Force</w:t>
      </w:r>
      <w:r w:rsidRPr="00A11174">
        <w:rPr>
          <w:rFonts w:asciiTheme="minorHAnsi" w:hAnsiTheme="minorHAnsi"/>
        </w:rPr>
        <w:t> with the aim of creating a more diverse and representative entity with the capacity to move this transformative work forward; and</w:t>
      </w:r>
    </w:p>
    <w:p w14:paraId="6A1EEC61" w14:textId="77777777" w:rsidR="00A11174" w:rsidRPr="00A11174" w:rsidRDefault="00A11174" w:rsidP="00A11174">
      <w:pPr>
        <w:numPr>
          <w:ilvl w:val="0"/>
          <w:numId w:val="21"/>
        </w:numPr>
        <w:autoSpaceDE w:val="0"/>
        <w:autoSpaceDN w:val="0"/>
        <w:adjustRightInd w:val="0"/>
        <w:rPr>
          <w:rFonts w:asciiTheme="minorHAnsi" w:hAnsiTheme="minorHAnsi"/>
        </w:rPr>
      </w:pPr>
      <w:r w:rsidRPr="00A11174">
        <w:rPr>
          <w:rFonts w:asciiTheme="minorHAnsi" w:hAnsiTheme="minorHAnsi"/>
          <w:b/>
          <w:bCs/>
        </w:rPr>
        <w:t>Embrace discomfort</w:t>
      </w:r>
      <w:r w:rsidRPr="00A11174">
        <w:rPr>
          <w:rFonts w:asciiTheme="minorHAnsi" w:hAnsiTheme="minorHAnsi"/>
        </w:rPr>
        <w:t> as we navigate challenging and emotional subjects. To uproot racism and white supremacy within ourselves and our institutions will require immense courage, compassion, and the honest desire for accountability.</w:t>
      </w:r>
    </w:p>
    <w:p w14:paraId="3F5F4524" w14:textId="77777777" w:rsidR="00A11174" w:rsidRPr="00A11174" w:rsidRDefault="00A11174" w:rsidP="00A11174">
      <w:pPr>
        <w:autoSpaceDE w:val="0"/>
        <w:autoSpaceDN w:val="0"/>
        <w:adjustRightInd w:val="0"/>
        <w:rPr>
          <w:rFonts w:asciiTheme="minorHAnsi" w:hAnsiTheme="minorHAnsi"/>
        </w:rPr>
      </w:pPr>
    </w:p>
    <w:p w14:paraId="560C1182" w14:textId="4C19E2FE" w:rsidR="007C2EE0" w:rsidRDefault="005B3B45" w:rsidP="007C2EE0">
      <w:pPr>
        <w:autoSpaceDE w:val="0"/>
        <w:autoSpaceDN w:val="0"/>
        <w:adjustRightInd w:val="0"/>
        <w:rPr>
          <w:rFonts w:asciiTheme="minorHAnsi" w:hAnsiTheme="minorHAnsi"/>
          <w:bCs/>
        </w:rPr>
      </w:pPr>
      <w:r>
        <w:rPr>
          <w:rFonts w:asciiTheme="minorHAnsi" w:hAnsiTheme="minorHAnsi"/>
          <w:bCs/>
        </w:rPr>
        <w:t>Per PLA bylaws, Task Forces are intended to “</w:t>
      </w:r>
      <w:r w:rsidRPr="005B3B45">
        <w:rPr>
          <w:rFonts w:asciiTheme="minorHAnsi" w:hAnsiTheme="minorHAnsi"/>
          <w:bCs/>
        </w:rPr>
        <w:t>perform limited specific functions</w:t>
      </w:r>
      <w:r>
        <w:rPr>
          <w:rFonts w:asciiTheme="minorHAnsi" w:hAnsiTheme="minorHAnsi"/>
          <w:bCs/>
        </w:rPr>
        <w:t>” and to be disbanded “when</w:t>
      </w:r>
      <w:r w:rsidRPr="005B3B45">
        <w:rPr>
          <w:rFonts w:asciiTheme="minorHAnsi" w:hAnsiTheme="minorHAnsi"/>
          <w:bCs/>
        </w:rPr>
        <w:t xml:space="preserve"> the task is completed</w:t>
      </w:r>
      <w:r>
        <w:rPr>
          <w:rFonts w:asciiTheme="minorHAnsi" w:hAnsiTheme="minorHAnsi"/>
          <w:bCs/>
        </w:rPr>
        <w:t xml:space="preserve">.” </w:t>
      </w:r>
      <w:r w:rsidR="00AC770C">
        <w:rPr>
          <w:rFonts w:asciiTheme="minorHAnsi" w:hAnsiTheme="minorHAnsi"/>
          <w:bCs/>
        </w:rPr>
        <w:t>The challenges of creating structural change to address inequity</w:t>
      </w:r>
      <w:r w:rsidR="00493ADA">
        <w:rPr>
          <w:rFonts w:asciiTheme="minorHAnsi" w:hAnsiTheme="minorHAnsi"/>
          <w:bCs/>
        </w:rPr>
        <w:t>,</w:t>
      </w:r>
      <w:r w:rsidR="00AC770C">
        <w:rPr>
          <w:rFonts w:asciiTheme="minorHAnsi" w:hAnsiTheme="minorHAnsi"/>
          <w:bCs/>
        </w:rPr>
        <w:t xml:space="preserve"> dismantle </w:t>
      </w:r>
      <w:r w:rsidR="00AC770C" w:rsidRPr="00AC770C">
        <w:rPr>
          <w:rFonts w:asciiTheme="minorHAnsi" w:hAnsiTheme="minorHAnsi"/>
          <w:bCs/>
        </w:rPr>
        <w:t>white supremacy</w:t>
      </w:r>
      <w:r w:rsidR="00493ADA">
        <w:rPr>
          <w:rFonts w:asciiTheme="minorHAnsi" w:hAnsiTheme="minorHAnsi"/>
          <w:bCs/>
        </w:rPr>
        <w:t>, empower BIPOC library practitioners, and create systems that center equity and inclusion</w:t>
      </w:r>
      <w:r w:rsidR="00AC770C" w:rsidRPr="00AC770C">
        <w:rPr>
          <w:rFonts w:asciiTheme="minorHAnsi" w:hAnsiTheme="minorHAnsi"/>
          <w:bCs/>
        </w:rPr>
        <w:t xml:space="preserve"> in libraries and librarianship</w:t>
      </w:r>
      <w:r w:rsidR="00AC770C">
        <w:rPr>
          <w:rFonts w:asciiTheme="minorHAnsi" w:hAnsiTheme="minorHAnsi"/>
          <w:bCs/>
        </w:rPr>
        <w:t xml:space="preserve"> are long term challenges, mandating that the Task Force continue beyond 2021, which is best accomplished through its transition to a standing committee.</w:t>
      </w:r>
    </w:p>
    <w:p w14:paraId="3B636096" w14:textId="77777777" w:rsidR="005B3B45" w:rsidRPr="005B3B45" w:rsidRDefault="005B3B45" w:rsidP="007C2EE0">
      <w:pPr>
        <w:autoSpaceDE w:val="0"/>
        <w:autoSpaceDN w:val="0"/>
        <w:adjustRightInd w:val="0"/>
        <w:rPr>
          <w:rFonts w:asciiTheme="minorHAnsi" w:hAnsiTheme="minorHAnsi"/>
          <w:bCs/>
        </w:rPr>
      </w:pPr>
    </w:p>
    <w:p w14:paraId="66D4735B" w14:textId="25BC8C40" w:rsidR="00EA4AF7" w:rsidRDefault="00EA4AF7" w:rsidP="00EA4AF7">
      <w:pPr>
        <w:autoSpaceDE w:val="0"/>
        <w:autoSpaceDN w:val="0"/>
        <w:adjustRightInd w:val="0"/>
        <w:rPr>
          <w:rFonts w:asciiTheme="minorHAnsi" w:hAnsiTheme="minorHAnsi"/>
          <w:b/>
          <w:bCs/>
        </w:rPr>
      </w:pPr>
      <w:r>
        <w:rPr>
          <w:rFonts w:asciiTheme="minorHAnsi" w:hAnsiTheme="minorHAnsi"/>
          <w:b/>
          <w:bCs/>
        </w:rPr>
        <w:t>COMPOSITION</w:t>
      </w:r>
      <w:r w:rsidR="00A02D92">
        <w:rPr>
          <w:rFonts w:asciiTheme="minorHAnsi" w:hAnsiTheme="minorHAnsi"/>
          <w:b/>
          <w:bCs/>
        </w:rPr>
        <w:t xml:space="preserve"> AND SUPPORT</w:t>
      </w:r>
    </w:p>
    <w:p w14:paraId="69519A7B" w14:textId="59383390" w:rsidR="00EA4AF7" w:rsidRDefault="00EA4AF7" w:rsidP="00D412CB">
      <w:pPr>
        <w:autoSpaceDE w:val="0"/>
        <w:autoSpaceDN w:val="0"/>
        <w:adjustRightInd w:val="0"/>
        <w:rPr>
          <w:rFonts w:asciiTheme="minorHAnsi" w:hAnsiTheme="minorHAnsi"/>
          <w:b/>
        </w:rPr>
      </w:pPr>
    </w:p>
    <w:p w14:paraId="75447B0C" w14:textId="16DD9CDB" w:rsidR="00EA4AF7" w:rsidRDefault="00AC770C" w:rsidP="00A02D92">
      <w:pPr>
        <w:rPr>
          <w:rFonts w:asciiTheme="minorHAnsi" w:hAnsiTheme="minorHAnsi"/>
          <w:bCs/>
        </w:rPr>
      </w:pPr>
      <w:r>
        <w:rPr>
          <w:rFonts w:asciiTheme="minorHAnsi" w:hAnsiTheme="minorHAnsi"/>
          <w:bCs/>
        </w:rPr>
        <w:t xml:space="preserve">The </w:t>
      </w:r>
      <w:r w:rsidRPr="00AC770C">
        <w:rPr>
          <w:rFonts w:asciiTheme="minorHAnsi" w:hAnsiTheme="minorHAnsi"/>
          <w:bCs/>
        </w:rPr>
        <w:t>Task Force is comprised of up to twenty (20) members, led by two (2) co-chairs.</w:t>
      </w:r>
      <w:r w:rsidR="00A02D92">
        <w:rPr>
          <w:rFonts w:asciiTheme="minorHAnsi" w:hAnsiTheme="minorHAnsi"/>
          <w:bCs/>
        </w:rPr>
        <w:t xml:space="preserve"> Two staff provide support to the Task Force among their many other </w:t>
      </w:r>
      <w:r w:rsidR="00C25390">
        <w:rPr>
          <w:rFonts w:asciiTheme="minorHAnsi" w:hAnsiTheme="minorHAnsi"/>
          <w:bCs/>
        </w:rPr>
        <w:t xml:space="preserve">member </w:t>
      </w:r>
      <w:r w:rsidR="00A02D92">
        <w:rPr>
          <w:rFonts w:asciiTheme="minorHAnsi" w:hAnsiTheme="minorHAnsi"/>
          <w:bCs/>
        </w:rPr>
        <w:t>groups and initiatives. The Task Force has discussed the need for additional member volunteers to conduct their work, which suggests creating new positions for appointment; ensuring</w:t>
      </w:r>
      <w:r w:rsidR="00A02D92" w:rsidRPr="00A02D92">
        <w:rPr>
          <w:rFonts w:asciiTheme="minorHAnsi" w:hAnsiTheme="minorHAnsi"/>
          <w:bCs/>
        </w:rPr>
        <w:t xml:space="preserve"> a more diverse and representative entity</w:t>
      </w:r>
      <w:r w:rsidR="00A02D92">
        <w:rPr>
          <w:rFonts w:asciiTheme="minorHAnsi" w:hAnsiTheme="minorHAnsi"/>
          <w:bCs/>
        </w:rPr>
        <w:t xml:space="preserve"> and potentially requiring that members be BIPOC appointees; and requesting a higher level of </w:t>
      </w:r>
      <w:r w:rsidR="00BE0EEC">
        <w:rPr>
          <w:rFonts w:asciiTheme="minorHAnsi" w:hAnsiTheme="minorHAnsi"/>
          <w:bCs/>
        </w:rPr>
        <w:t xml:space="preserve">dedicated </w:t>
      </w:r>
      <w:r w:rsidR="00A02D92">
        <w:rPr>
          <w:rFonts w:asciiTheme="minorHAnsi" w:hAnsiTheme="minorHAnsi"/>
          <w:bCs/>
        </w:rPr>
        <w:t>staffing support from PLA. Specific recommendations to the PLA Board of Directors are not ready at this time, but these issues will continue to be discussed.</w:t>
      </w:r>
    </w:p>
    <w:p w14:paraId="06471815" w14:textId="77777777" w:rsidR="00A02D92" w:rsidRDefault="00A02D92" w:rsidP="00A02D92">
      <w:pPr>
        <w:rPr>
          <w:rFonts w:asciiTheme="minorHAnsi" w:hAnsiTheme="minorHAnsi"/>
          <w:b/>
        </w:rPr>
      </w:pPr>
    </w:p>
    <w:p w14:paraId="46FC5C16" w14:textId="7AA05E09" w:rsidR="004275AF" w:rsidRDefault="00963689" w:rsidP="00D412CB">
      <w:pPr>
        <w:autoSpaceDE w:val="0"/>
        <w:autoSpaceDN w:val="0"/>
        <w:adjustRightInd w:val="0"/>
        <w:rPr>
          <w:rFonts w:asciiTheme="minorHAnsi" w:hAnsiTheme="minorHAnsi"/>
        </w:rPr>
      </w:pPr>
      <w:r>
        <w:rPr>
          <w:rFonts w:asciiTheme="minorHAnsi" w:hAnsiTheme="minorHAnsi"/>
          <w:b/>
        </w:rPr>
        <w:t>RECOMMENDATIONS FOR BOARD ACTION</w:t>
      </w:r>
    </w:p>
    <w:p w14:paraId="6DDA12B8" w14:textId="16057D3A" w:rsidR="00B52AC9" w:rsidRDefault="00B52AC9" w:rsidP="00DA709D">
      <w:pPr>
        <w:autoSpaceDE w:val="0"/>
        <w:autoSpaceDN w:val="0"/>
        <w:adjustRightInd w:val="0"/>
        <w:rPr>
          <w:rFonts w:asciiTheme="minorHAnsi" w:hAnsiTheme="minorHAnsi"/>
        </w:rPr>
      </w:pPr>
    </w:p>
    <w:p w14:paraId="03A59480" w14:textId="77777777" w:rsidR="00A02D92" w:rsidRDefault="00A02D92" w:rsidP="00A02D92">
      <w:pPr>
        <w:autoSpaceDE w:val="0"/>
        <w:autoSpaceDN w:val="0"/>
        <w:adjustRightInd w:val="0"/>
        <w:rPr>
          <w:rFonts w:asciiTheme="minorHAnsi" w:hAnsiTheme="minorHAnsi"/>
        </w:rPr>
      </w:pPr>
      <w:r>
        <w:rPr>
          <w:rFonts w:asciiTheme="minorHAnsi" w:hAnsiTheme="minorHAnsi"/>
        </w:rPr>
        <w:t xml:space="preserve">The Task Force requests that it be moved, </w:t>
      </w:r>
      <w:proofErr w:type="gramStart"/>
      <w:r>
        <w:rPr>
          <w:rFonts w:asciiTheme="minorHAnsi" w:hAnsiTheme="minorHAnsi"/>
        </w:rPr>
        <w:t>seconded</w:t>
      </w:r>
      <w:proofErr w:type="gramEnd"/>
      <w:r>
        <w:rPr>
          <w:rFonts w:asciiTheme="minorHAnsi" w:hAnsiTheme="minorHAnsi"/>
        </w:rPr>
        <w:t xml:space="preserve"> and approved that:</w:t>
      </w:r>
    </w:p>
    <w:p w14:paraId="1EBFA7D8" w14:textId="77777777" w:rsidR="00A02D92" w:rsidRDefault="00A02D92" w:rsidP="00A02D92">
      <w:pPr>
        <w:pStyle w:val="ListParagraph"/>
        <w:numPr>
          <w:ilvl w:val="0"/>
          <w:numId w:val="22"/>
        </w:numPr>
        <w:autoSpaceDE w:val="0"/>
        <w:autoSpaceDN w:val="0"/>
        <w:adjustRightInd w:val="0"/>
        <w:rPr>
          <w:rFonts w:asciiTheme="minorHAnsi" w:hAnsiTheme="minorHAnsi"/>
        </w:rPr>
      </w:pPr>
      <w:r w:rsidRPr="00A02D92">
        <w:rPr>
          <w:rFonts w:asciiTheme="minorHAnsi" w:hAnsiTheme="minorHAnsi"/>
        </w:rPr>
        <w:t>By resolution of the PLA Board of Directors, the PLA Task Force on Equity, Diversity, Inclusion and Social Justice (EDISJ) is hereby dissolved and replaced with the Committee on EDISJ.</w:t>
      </w:r>
    </w:p>
    <w:p w14:paraId="1BD50A09" w14:textId="5A197C3A" w:rsidR="00A02D92" w:rsidRPr="00A02D92" w:rsidRDefault="00A02D92" w:rsidP="00A02D92">
      <w:pPr>
        <w:pStyle w:val="ListParagraph"/>
        <w:numPr>
          <w:ilvl w:val="0"/>
          <w:numId w:val="22"/>
        </w:numPr>
        <w:autoSpaceDE w:val="0"/>
        <w:autoSpaceDN w:val="0"/>
        <w:adjustRightInd w:val="0"/>
        <w:rPr>
          <w:rFonts w:asciiTheme="minorHAnsi" w:hAnsiTheme="minorHAnsi"/>
        </w:rPr>
      </w:pPr>
      <w:r w:rsidRPr="00A02D92">
        <w:rPr>
          <w:rFonts w:asciiTheme="minorHAnsi" w:hAnsiTheme="minorHAnsi"/>
        </w:rPr>
        <w:t>The charge, membership, and terms of the current Task Force be transitioned without change to the new Committee.</w:t>
      </w:r>
    </w:p>
    <w:sectPr w:rsidR="00A02D92" w:rsidRPr="00A02D92" w:rsidSect="00010132">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6F15" w14:textId="77777777" w:rsidR="001B22B8" w:rsidRDefault="001B22B8" w:rsidP="00835953">
      <w:r>
        <w:separator/>
      </w:r>
    </w:p>
  </w:endnote>
  <w:endnote w:type="continuationSeparator" w:id="0">
    <w:p w14:paraId="1F3EB131" w14:textId="77777777" w:rsidR="001B22B8" w:rsidRDefault="001B22B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43374"/>
      <w:docPartObj>
        <w:docPartGallery w:val="Page Numbers (Bottom of Page)"/>
        <w:docPartUnique/>
      </w:docPartObj>
    </w:sdtPr>
    <w:sdtEndPr>
      <w:rPr>
        <w:rFonts w:asciiTheme="minorHAnsi" w:hAnsiTheme="minorHAnsi"/>
        <w:noProof/>
      </w:rPr>
    </w:sdtEndPr>
    <w:sdtContent>
      <w:p w14:paraId="33E8E7DE" w14:textId="1FE7DF92"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5E7A6B">
          <w:rPr>
            <w:rFonts w:asciiTheme="minorHAnsi" w:hAnsiTheme="minorHAnsi"/>
            <w:noProof/>
          </w:rPr>
          <w:t>2</w:t>
        </w:r>
        <w:r w:rsidRPr="00744EC4">
          <w:rPr>
            <w:rFonts w:asciiTheme="minorHAnsi" w:hAnsiTheme="minorHAnsi"/>
            <w:noProof/>
          </w:rPr>
          <w:fldChar w:fldCharType="end"/>
        </w:r>
      </w:p>
    </w:sdtContent>
  </w:sdt>
  <w:p w14:paraId="0914006D"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B58D" w14:textId="77777777" w:rsidR="001B22B8" w:rsidRDefault="001B22B8" w:rsidP="00835953">
      <w:r>
        <w:separator/>
      </w:r>
    </w:p>
  </w:footnote>
  <w:footnote w:type="continuationSeparator" w:id="0">
    <w:p w14:paraId="5DCB6658" w14:textId="77777777" w:rsidR="001B22B8" w:rsidRDefault="001B22B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9E5D" w14:textId="77777777" w:rsidR="004E1F38" w:rsidRPr="00503641" w:rsidRDefault="004E1F38" w:rsidP="004E1F38">
    <w:pPr>
      <w:pStyle w:val="Header"/>
      <w:jc w:val="right"/>
      <w:rPr>
        <w:rFonts w:asciiTheme="minorHAnsi" w:hAnsiTheme="minorHAnsi"/>
      </w:rPr>
    </w:pPr>
    <w:r w:rsidRPr="00503641">
      <w:rPr>
        <w:rFonts w:asciiTheme="minorHAnsi" w:hAnsiTheme="minorHAnsi"/>
      </w:rPr>
      <w:t>PLA Board of Directors</w:t>
    </w:r>
  </w:p>
  <w:p w14:paraId="78ED01D7" w14:textId="7F2830DE"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5A6F62">
      <w:rPr>
        <w:rFonts w:asciiTheme="minorHAnsi" w:hAnsiTheme="minorHAnsi"/>
      </w:rPr>
      <w:t>October 2020</w:t>
    </w:r>
    <w:r w:rsidR="00CB12FB">
      <w:rPr>
        <w:rFonts w:asciiTheme="minorHAnsi" w:hAnsiTheme="minorHAnsi"/>
      </w:rPr>
      <w:t xml:space="preserve"> </w:t>
    </w:r>
    <w:r w:rsidR="00AD4EE8">
      <w:rPr>
        <w:rFonts w:asciiTheme="minorHAnsi" w:hAnsiTheme="minorHAnsi"/>
      </w:rPr>
      <w:t xml:space="preserve">Virtual </w:t>
    </w:r>
    <w:r w:rsidR="00CB12FB">
      <w:rPr>
        <w:rFonts w:asciiTheme="minorHAnsi" w:hAnsiTheme="minorHAnsi"/>
      </w:rPr>
      <w:t>Meeting</w:t>
    </w:r>
  </w:p>
  <w:p w14:paraId="376C8DD1" w14:textId="292AA558" w:rsidR="004E1DEA" w:rsidRPr="00503641" w:rsidRDefault="00CA19F5" w:rsidP="004E1DEA">
    <w:pPr>
      <w:pStyle w:val="Header"/>
      <w:tabs>
        <w:tab w:val="left" w:pos="5280"/>
      </w:tabs>
      <w:jc w:val="right"/>
      <w:rPr>
        <w:rFonts w:asciiTheme="minorHAnsi" w:hAnsiTheme="minorHAnsi"/>
      </w:rPr>
    </w:pPr>
    <w:r>
      <w:rPr>
        <w:rFonts w:asciiTheme="minorHAnsi" w:hAnsiTheme="minorHAnsi"/>
      </w:rPr>
      <w:t xml:space="preserve">Document Number: </w:t>
    </w:r>
    <w:r w:rsidR="00AF2E49">
      <w:rPr>
        <w:rFonts w:asciiTheme="minorHAnsi" w:hAnsiTheme="minorHAnsi"/>
      </w:rPr>
      <w:t>20</w:t>
    </w:r>
    <w:r w:rsidR="005A6F62">
      <w:rPr>
        <w:rFonts w:asciiTheme="minorHAnsi" w:hAnsiTheme="minorHAnsi"/>
      </w:rPr>
      <w:t>2</w:t>
    </w:r>
    <w:r w:rsidR="00930DD6">
      <w:rPr>
        <w:rFonts w:asciiTheme="minorHAnsi" w:hAnsiTheme="minorHAnsi"/>
      </w:rPr>
      <w:t>1</w:t>
    </w:r>
    <w:r w:rsidR="00AF2E49">
      <w:rPr>
        <w:rFonts w:asciiTheme="minorHAnsi" w:hAnsiTheme="minorHAnsi"/>
      </w:rPr>
      <w:t>.</w:t>
    </w:r>
    <w:r w:rsidR="00AD4EE8">
      <w:rPr>
        <w:rFonts w:asciiTheme="minorHAnsi" w:hAnsiTheme="minorHAnsi"/>
      </w:rPr>
      <w:t>24</w:t>
    </w:r>
  </w:p>
  <w:p w14:paraId="5A895661" w14:textId="77777777" w:rsidR="003738B0" w:rsidRPr="00056731" w:rsidRDefault="003738B0"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16992"/>
    <w:multiLevelType w:val="multilevel"/>
    <w:tmpl w:val="763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CC22CA"/>
    <w:multiLevelType w:val="hybridMultilevel"/>
    <w:tmpl w:val="E27E8E7E"/>
    <w:lvl w:ilvl="0" w:tplc="5876FA96">
      <w:start w:val="20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C96521"/>
    <w:multiLevelType w:val="hybridMultilevel"/>
    <w:tmpl w:val="DCC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01ABD"/>
    <w:multiLevelType w:val="multilevel"/>
    <w:tmpl w:val="763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94323"/>
    <w:multiLevelType w:val="multilevel"/>
    <w:tmpl w:val="763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7"/>
  </w:num>
  <w:num w:numId="6">
    <w:abstractNumId w:val="18"/>
  </w:num>
  <w:num w:numId="7">
    <w:abstractNumId w:val="1"/>
  </w:num>
  <w:num w:numId="8">
    <w:abstractNumId w:val="9"/>
  </w:num>
  <w:num w:numId="9">
    <w:abstractNumId w:val="14"/>
  </w:num>
  <w:num w:numId="10">
    <w:abstractNumId w:val="16"/>
  </w:num>
  <w:num w:numId="11">
    <w:abstractNumId w:val="19"/>
  </w:num>
  <w:num w:numId="12">
    <w:abstractNumId w:val="2"/>
  </w:num>
  <w:num w:numId="13">
    <w:abstractNumId w:val="3"/>
  </w:num>
  <w:num w:numId="14">
    <w:abstractNumId w:val="12"/>
  </w:num>
  <w:num w:numId="15">
    <w:abstractNumId w:val="4"/>
  </w:num>
  <w:num w:numId="16">
    <w:abstractNumId w:val="8"/>
  </w:num>
  <w:num w:numId="17">
    <w:abstractNumId w:val="7"/>
  </w:num>
  <w:num w:numId="18">
    <w:abstractNumId w:val="10"/>
  </w:num>
  <w:num w:numId="19">
    <w:abstractNumId w:val="20"/>
  </w:num>
  <w:num w:numId="20">
    <w:abstractNumId w:val="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36E58"/>
    <w:rsid w:val="00056731"/>
    <w:rsid w:val="00064C7B"/>
    <w:rsid w:val="00076442"/>
    <w:rsid w:val="00076FAE"/>
    <w:rsid w:val="00077DB6"/>
    <w:rsid w:val="0008490C"/>
    <w:rsid w:val="000D793A"/>
    <w:rsid w:val="000E1A49"/>
    <w:rsid w:val="000F6932"/>
    <w:rsid w:val="0010209F"/>
    <w:rsid w:val="00105AEE"/>
    <w:rsid w:val="001122F3"/>
    <w:rsid w:val="00151A36"/>
    <w:rsid w:val="00172FEA"/>
    <w:rsid w:val="00176356"/>
    <w:rsid w:val="00187C5C"/>
    <w:rsid w:val="001B22B8"/>
    <w:rsid w:val="001C6961"/>
    <w:rsid w:val="001F454E"/>
    <w:rsid w:val="001F5DB0"/>
    <w:rsid w:val="00222617"/>
    <w:rsid w:val="00233CF6"/>
    <w:rsid w:val="0025394F"/>
    <w:rsid w:val="00256710"/>
    <w:rsid w:val="00272D39"/>
    <w:rsid w:val="002967BF"/>
    <w:rsid w:val="002D370B"/>
    <w:rsid w:val="00305AE2"/>
    <w:rsid w:val="0032134D"/>
    <w:rsid w:val="00337F37"/>
    <w:rsid w:val="003738B0"/>
    <w:rsid w:val="00381367"/>
    <w:rsid w:val="003845C8"/>
    <w:rsid w:val="00390D25"/>
    <w:rsid w:val="003A7635"/>
    <w:rsid w:val="003F3E2A"/>
    <w:rsid w:val="0040408D"/>
    <w:rsid w:val="0041593D"/>
    <w:rsid w:val="00423A21"/>
    <w:rsid w:val="004275AF"/>
    <w:rsid w:val="004433B2"/>
    <w:rsid w:val="0045526C"/>
    <w:rsid w:val="0045750E"/>
    <w:rsid w:val="00493ADA"/>
    <w:rsid w:val="004B1282"/>
    <w:rsid w:val="004D7ADA"/>
    <w:rsid w:val="004E1DEA"/>
    <w:rsid w:val="004E1F38"/>
    <w:rsid w:val="00503641"/>
    <w:rsid w:val="00515F62"/>
    <w:rsid w:val="005245C9"/>
    <w:rsid w:val="00534411"/>
    <w:rsid w:val="00565757"/>
    <w:rsid w:val="00581118"/>
    <w:rsid w:val="005A2E2C"/>
    <w:rsid w:val="005A6F62"/>
    <w:rsid w:val="005B2F44"/>
    <w:rsid w:val="005B3B45"/>
    <w:rsid w:val="005E7A6B"/>
    <w:rsid w:val="00625656"/>
    <w:rsid w:val="00637AA4"/>
    <w:rsid w:val="0064382A"/>
    <w:rsid w:val="00654F8C"/>
    <w:rsid w:val="00660283"/>
    <w:rsid w:val="00661ACB"/>
    <w:rsid w:val="0067319A"/>
    <w:rsid w:val="00694B07"/>
    <w:rsid w:val="006F1078"/>
    <w:rsid w:val="00705AD6"/>
    <w:rsid w:val="00721543"/>
    <w:rsid w:val="00722986"/>
    <w:rsid w:val="00744EC4"/>
    <w:rsid w:val="007521C8"/>
    <w:rsid w:val="00754B9C"/>
    <w:rsid w:val="00771CA1"/>
    <w:rsid w:val="00784EC9"/>
    <w:rsid w:val="007A210D"/>
    <w:rsid w:val="007C2EE0"/>
    <w:rsid w:val="00835953"/>
    <w:rsid w:val="00864E83"/>
    <w:rsid w:val="0087590D"/>
    <w:rsid w:val="00880AAD"/>
    <w:rsid w:val="008812E9"/>
    <w:rsid w:val="008A0E90"/>
    <w:rsid w:val="008D5E9F"/>
    <w:rsid w:val="00930DD6"/>
    <w:rsid w:val="00963689"/>
    <w:rsid w:val="0097693A"/>
    <w:rsid w:val="0098677C"/>
    <w:rsid w:val="0099431A"/>
    <w:rsid w:val="00A00488"/>
    <w:rsid w:val="00A02D92"/>
    <w:rsid w:val="00A11174"/>
    <w:rsid w:val="00A41365"/>
    <w:rsid w:val="00A83CC7"/>
    <w:rsid w:val="00AC390A"/>
    <w:rsid w:val="00AC770C"/>
    <w:rsid w:val="00AD4EE8"/>
    <w:rsid w:val="00AE6A6B"/>
    <w:rsid w:val="00AF2E49"/>
    <w:rsid w:val="00B1416E"/>
    <w:rsid w:val="00B30B65"/>
    <w:rsid w:val="00B35407"/>
    <w:rsid w:val="00B371CD"/>
    <w:rsid w:val="00B42804"/>
    <w:rsid w:val="00B432CF"/>
    <w:rsid w:val="00B52AC9"/>
    <w:rsid w:val="00B8265F"/>
    <w:rsid w:val="00BA4966"/>
    <w:rsid w:val="00BC76C0"/>
    <w:rsid w:val="00BD61C0"/>
    <w:rsid w:val="00BE0EEC"/>
    <w:rsid w:val="00C110E1"/>
    <w:rsid w:val="00C25390"/>
    <w:rsid w:val="00C32515"/>
    <w:rsid w:val="00C33993"/>
    <w:rsid w:val="00C350EB"/>
    <w:rsid w:val="00C415C9"/>
    <w:rsid w:val="00C75495"/>
    <w:rsid w:val="00C932EA"/>
    <w:rsid w:val="00CA19F5"/>
    <w:rsid w:val="00CA412B"/>
    <w:rsid w:val="00CB12FB"/>
    <w:rsid w:val="00CC29EF"/>
    <w:rsid w:val="00CC561B"/>
    <w:rsid w:val="00D2238D"/>
    <w:rsid w:val="00D412CB"/>
    <w:rsid w:val="00D413DF"/>
    <w:rsid w:val="00D6185F"/>
    <w:rsid w:val="00DA25E3"/>
    <w:rsid w:val="00DA709D"/>
    <w:rsid w:val="00DC2C92"/>
    <w:rsid w:val="00DD415C"/>
    <w:rsid w:val="00E41612"/>
    <w:rsid w:val="00E862ED"/>
    <w:rsid w:val="00EA4AF7"/>
    <w:rsid w:val="00EB6CD2"/>
    <w:rsid w:val="00ED4183"/>
    <w:rsid w:val="00EF0F53"/>
    <w:rsid w:val="00EF460C"/>
    <w:rsid w:val="00F22CBE"/>
    <w:rsid w:val="00F33814"/>
    <w:rsid w:val="00F40C03"/>
    <w:rsid w:val="00F733B6"/>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967F"/>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864E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2A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customStyle="1" w:styleId="Heading3Char">
    <w:name w:val="Heading 3 Char"/>
    <w:basedOn w:val="DefaultParagraphFont"/>
    <w:link w:val="Heading3"/>
    <w:uiPriority w:val="9"/>
    <w:semiHidden/>
    <w:rsid w:val="00B52AC9"/>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B52AC9"/>
    <w:rPr>
      <w:color w:val="605E5C"/>
      <w:shd w:val="clear" w:color="auto" w:fill="E1DFDD"/>
    </w:rPr>
  </w:style>
  <w:style w:type="character" w:customStyle="1" w:styleId="Heading1Char">
    <w:name w:val="Heading 1 Char"/>
    <w:basedOn w:val="DefaultParagraphFont"/>
    <w:link w:val="Heading1"/>
    <w:uiPriority w:val="9"/>
    <w:rsid w:val="00864E8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E7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A6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7A6B"/>
    <w:rPr>
      <w:sz w:val="16"/>
      <w:szCs w:val="16"/>
    </w:rPr>
  </w:style>
  <w:style w:type="paragraph" w:styleId="CommentText">
    <w:name w:val="annotation text"/>
    <w:basedOn w:val="Normal"/>
    <w:link w:val="CommentTextChar"/>
    <w:uiPriority w:val="99"/>
    <w:semiHidden/>
    <w:unhideWhenUsed/>
    <w:rsid w:val="005E7A6B"/>
    <w:rPr>
      <w:sz w:val="20"/>
      <w:szCs w:val="20"/>
    </w:rPr>
  </w:style>
  <w:style w:type="character" w:customStyle="1" w:styleId="CommentTextChar">
    <w:name w:val="Comment Text Char"/>
    <w:basedOn w:val="DefaultParagraphFont"/>
    <w:link w:val="CommentText"/>
    <w:uiPriority w:val="99"/>
    <w:semiHidden/>
    <w:rsid w:val="005E7A6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E7A6B"/>
    <w:rPr>
      <w:b/>
      <w:bCs/>
    </w:rPr>
  </w:style>
  <w:style w:type="character" w:customStyle="1" w:styleId="CommentSubjectChar">
    <w:name w:val="Comment Subject Char"/>
    <w:basedOn w:val="CommentTextChar"/>
    <w:link w:val="CommentSubject"/>
    <w:uiPriority w:val="99"/>
    <w:semiHidden/>
    <w:rsid w:val="005E7A6B"/>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391732167">
      <w:bodyDiv w:val="1"/>
      <w:marLeft w:val="0"/>
      <w:marRight w:val="0"/>
      <w:marTop w:val="0"/>
      <w:marBottom w:val="0"/>
      <w:divBdr>
        <w:top w:val="none" w:sz="0" w:space="0" w:color="auto"/>
        <w:left w:val="none" w:sz="0" w:space="0" w:color="auto"/>
        <w:bottom w:val="none" w:sz="0" w:space="0" w:color="auto"/>
        <w:right w:val="none" w:sz="0" w:space="0" w:color="auto"/>
      </w:divBdr>
      <w:divsChild>
        <w:div w:id="177962574">
          <w:marLeft w:val="0"/>
          <w:marRight w:val="0"/>
          <w:marTop w:val="0"/>
          <w:marBottom w:val="0"/>
          <w:divBdr>
            <w:top w:val="none" w:sz="0" w:space="0" w:color="auto"/>
            <w:left w:val="none" w:sz="0" w:space="0" w:color="auto"/>
            <w:bottom w:val="none" w:sz="0" w:space="0" w:color="auto"/>
            <w:right w:val="none" w:sz="0" w:space="0" w:color="auto"/>
          </w:divBdr>
          <w:divsChild>
            <w:div w:id="1512842429">
              <w:marLeft w:val="0"/>
              <w:marRight w:val="0"/>
              <w:marTop w:val="0"/>
              <w:marBottom w:val="0"/>
              <w:divBdr>
                <w:top w:val="none" w:sz="0" w:space="0" w:color="auto"/>
                <w:left w:val="none" w:sz="0" w:space="0" w:color="auto"/>
                <w:bottom w:val="none" w:sz="0" w:space="0" w:color="auto"/>
                <w:right w:val="none" w:sz="0" w:space="0" w:color="auto"/>
              </w:divBdr>
              <w:divsChild>
                <w:div w:id="11421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359352989">
      <w:bodyDiv w:val="1"/>
      <w:marLeft w:val="0"/>
      <w:marRight w:val="0"/>
      <w:marTop w:val="0"/>
      <w:marBottom w:val="0"/>
      <w:divBdr>
        <w:top w:val="none" w:sz="0" w:space="0" w:color="auto"/>
        <w:left w:val="none" w:sz="0" w:space="0" w:color="auto"/>
        <w:bottom w:val="none" w:sz="0" w:space="0" w:color="auto"/>
        <w:right w:val="none" w:sz="0" w:space="0" w:color="auto"/>
      </w:divBdr>
    </w:div>
    <w:div w:id="1362781559">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590389351">
      <w:bodyDiv w:val="1"/>
      <w:marLeft w:val="0"/>
      <w:marRight w:val="0"/>
      <w:marTop w:val="0"/>
      <w:marBottom w:val="0"/>
      <w:divBdr>
        <w:top w:val="none" w:sz="0" w:space="0" w:color="auto"/>
        <w:left w:val="none" w:sz="0" w:space="0" w:color="auto"/>
        <w:bottom w:val="none" w:sz="0" w:space="0" w:color="auto"/>
        <w:right w:val="none" w:sz="0" w:space="0" w:color="auto"/>
      </w:divBdr>
    </w:div>
    <w:div w:id="1750808972">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 w:id="20120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io/profile/soc/254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cesjournal.org/article/fugitive-libraries/?cn-reload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27D3-79AC-4692-A728-4491E025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Mary Hirsh</cp:lastModifiedBy>
  <cp:revision>4</cp:revision>
  <dcterms:created xsi:type="dcterms:W3CDTF">2020-10-06T17:54:00Z</dcterms:created>
  <dcterms:modified xsi:type="dcterms:W3CDTF">2020-10-08T18:45:00Z</dcterms:modified>
</cp:coreProperties>
</file>