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926E" w14:textId="1717C287" w:rsidR="00EA1970" w:rsidRPr="00EA1970" w:rsidRDefault="00EA1970" w:rsidP="00EA1970">
      <w:pPr>
        <w:spacing w:after="0"/>
        <w:jc w:val="right"/>
        <w:rPr>
          <w:sz w:val="24"/>
          <w:szCs w:val="24"/>
        </w:rPr>
      </w:pPr>
      <w:r>
        <w:rPr>
          <w:sz w:val="24"/>
          <w:szCs w:val="24"/>
        </w:rPr>
        <w:t>MM</w:t>
      </w:r>
      <w:r w:rsidRPr="00EA1970">
        <w:rPr>
          <w:sz w:val="24"/>
          <w:szCs w:val="24"/>
        </w:rPr>
        <w:t xml:space="preserve">#  </w:t>
      </w:r>
    </w:p>
    <w:p w14:paraId="738CD2AE" w14:textId="01783CEA" w:rsidR="003F6725" w:rsidRDefault="003F6725" w:rsidP="003F6725">
      <w:pPr>
        <w:spacing w:after="0"/>
        <w:jc w:val="center"/>
        <w:rPr>
          <w:b/>
          <w:bCs/>
          <w:sz w:val="24"/>
          <w:szCs w:val="24"/>
        </w:rPr>
      </w:pPr>
      <w:r w:rsidRPr="005F6182">
        <w:rPr>
          <w:b/>
          <w:bCs/>
          <w:sz w:val="24"/>
          <w:szCs w:val="24"/>
        </w:rPr>
        <w:t xml:space="preserve">Resolution on Damage and Destruction of Libraries, Schools, </w:t>
      </w:r>
    </w:p>
    <w:p w14:paraId="7C7B413D" w14:textId="226F96EB" w:rsidR="003F6725" w:rsidRDefault="003F6725" w:rsidP="003F6725">
      <w:pPr>
        <w:spacing w:after="0"/>
        <w:jc w:val="center"/>
        <w:rPr>
          <w:b/>
          <w:bCs/>
          <w:sz w:val="24"/>
          <w:szCs w:val="24"/>
        </w:rPr>
      </w:pPr>
      <w:r w:rsidRPr="005F6182">
        <w:rPr>
          <w:b/>
          <w:bCs/>
          <w:sz w:val="24"/>
          <w:szCs w:val="24"/>
        </w:rPr>
        <w:t xml:space="preserve">and </w:t>
      </w:r>
      <w:r w:rsidR="00781324">
        <w:rPr>
          <w:b/>
          <w:bCs/>
          <w:sz w:val="24"/>
          <w:szCs w:val="24"/>
        </w:rPr>
        <w:t xml:space="preserve">Other </w:t>
      </w:r>
      <w:r w:rsidRPr="005F6182">
        <w:rPr>
          <w:b/>
          <w:bCs/>
          <w:sz w:val="24"/>
          <w:szCs w:val="24"/>
        </w:rPr>
        <w:t>Cultural Institutions in Ukraine</w:t>
      </w:r>
    </w:p>
    <w:p w14:paraId="1F82ADE2" w14:textId="77777777" w:rsidR="003F6725" w:rsidRPr="005F6182" w:rsidRDefault="003F6725" w:rsidP="003F6725">
      <w:pPr>
        <w:spacing w:after="0"/>
        <w:jc w:val="center"/>
        <w:rPr>
          <w:b/>
          <w:bCs/>
          <w:sz w:val="24"/>
          <w:szCs w:val="24"/>
        </w:rPr>
      </w:pPr>
    </w:p>
    <w:p w14:paraId="73558027" w14:textId="5602A766" w:rsidR="003F6725" w:rsidRPr="005F6182" w:rsidRDefault="003F6725" w:rsidP="003F6725">
      <w:pPr>
        <w:rPr>
          <w:sz w:val="24"/>
          <w:szCs w:val="24"/>
        </w:rPr>
      </w:pPr>
      <w:r w:rsidRPr="005F6182">
        <w:rPr>
          <w:sz w:val="24"/>
          <w:szCs w:val="24"/>
        </w:rPr>
        <w:t>Whereas the American Library Association (ALA) “deplores the destruction of libraries, library collections, and property, and the disruption of educational process by that act, whether it be done by individuals or groups of individuals, and whether it be done in the name of honest dissent, the desire to control or limit thought or ideas, or for any other purpose,” (ALA Policy B.2.8)</w:t>
      </w:r>
      <w:r w:rsidR="00F10812">
        <w:rPr>
          <w:sz w:val="24"/>
          <w:szCs w:val="24"/>
        </w:rPr>
        <w:t>;</w:t>
      </w:r>
      <w:r w:rsidR="00F10812" w:rsidRPr="005F6182">
        <w:rPr>
          <w:rStyle w:val="EndnoteReference"/>
          <w:sz w:val="24"/>
          <w:szCs w:val="24"/>
        </w:rPr>
        <w:endnoteReference w:id="1"/>
      </w:r>
      <w:r w:rsidRPr="005F6182">
        <w:rPr>
          <w:sz w:val="24"/>
          <w:szCs w:val="24"/>
        </w:rPr>
        <w:t xml:space="preserve"> </w:t>
      </w:r>
    </w:p>
    <w:p w14:paraId="32225C31" w14:textId="47BDC385" w:rsidR="003F6725" w:rsidRPr="005F6182" w:rsidRDefault="003F6725" w:rsidP="003F6725">
      <w:pPr>
        <w:rPr>
          <w:sz w:val="24"/>
          <w:szCs w:val="24"/>
        </w:rPr>
      </w:pPr>
      <w:r w:rsidRPr="005F6182">
        <w:rPr>
          <w:sz w:val="24"/>
          <w:szCs w:val="24"/>
        </w:rPr>
        <w:t xml:space="preserve">Whereas ALA Council passed a resolution deploring the destruction of libraries and cultural resources in a time of war, and calling “upon the government of the United States, as well as other governments, intergovernmental organizations and nongovernmental organizations </w:t>
      </w:r>
      <w:r w:rsidR="003625CA" w:rsidRPr="003625CA">
        <w:rPr>
          <w:color w:val="000000" w:themeColor="text1"/>
          <w:sz w:val="24"/>
          <w:szCs w:val="24"/>
        </w:rPr>
        <w:t xml:space="preserve">... </w:t>
      </w:r>
      <w:r w:rsidRPr="005F6182">
        <w:rPr>
          <w:sz w:val="24"/>
          <w:szCs w:val="24"/>
        </w:rPr>
        <w:t>to provide material assistance for the reconstruction and restoration of these resources”</w:t>
      </w:r>
      <w:r w:rsidR="00F10812">
        <w:rPr>
          <w:sz w:val="24"/>
          <w:szCs w:val="24"/>
        </w:rPr>
        <w:t xml:space="preserve"> </w:t>
      </w:r>
      <w:r w:rsidRPr="005F6182">
        <w:rPr>
          <w:sz w:val="24"/>
          <w:szCs w:val="24"/>
        </w:rPr>
        <w:t>(CD#18.8 of 2001-2002);</w:t>
      </w:r>
      <w:r w:rsidRPr="005F6182">
        <w:rPr>
          <w:rStyle w:val="EndnoteReference"/>
          <w:sz w:val="24"/>
          <w:szCs w:val="24"/>
        </w:rPr>
        <w:endnoteReference w:id="2"/>
      </w:r>
      <w:r w:rsidRPr="005F6182">
        <w:rPr>
          <w:sz w:val="24"/>
          <w:szCs w:val="24"/>
        </w:rPr>
        <w:t xml:space="preserve"> </w:t>
      </w:r>
    </w:p>
    <w:p w14:paraId="6B379FBC" w14:textId="5BCB6CBE" w:rsidR="003F6725" w:rsidRPr="003625CA" w:rsidRDefault="003F6725" w:rsidP="003625CA">
      <w:pPr>
        <w:rPr>
          <w:color w:val="000000" w:themeColor="text1"/>
          <w:sz w:val="24"/>
          <w:szCs w:val="24"/>
        </w:rPr>
      </w:pPr>
      <w:r w:rsidRPr="005F6182">
        <w:rPr>
          <w:sz w:val="24"/>
          <w:szCs w:val="24"/>
        </w:rPr>
        <w:t xml:space="preserve">Whereas </w:t>
      </w:r>
      <w:r w:rsidR="003625CA">
        <w:rPr>
          <w:color w:val="000000" w:themeColor="text1"/>
          <w:sz w:val="24"/>
          <w:szCs w:val="24"/>
        </w:rPr>
        <w:t xml:space="preserve">the Russian invasion in February 2022 and </w:t>
      </w:r>
      <w:r w:rsidR="00684222">
        <w:rPr>
          <w:color w:val="000000" w:themeColor="text1"/>
          <w:sz w:val="24"/>
          <w:szCs w:val="24"/>
        </w:rPr>
        <w:t>the</w:t>
      </w:r>
      <w:r w:rsidR="003625CA">
        <w:rPr>
          <w:color w:val="000000" w:themeColor="text1"/>
          <w:sz w:val="24"/>
          <w:szCs w:val="24"/>
        </w:rPr>
        <w:t xml:space="preserve"> subsequent occupation of </w:t>
      </w:r>
      <w:r w:rsidR="00684222">
        <w:rPr>
          <w:color w:val="000000" w:themeColor="text1"/>
          <w:sz w:val="24"/>
          <w:szCs w:val="24"/>
        </w:rPr>
        <w:t xml:space="preserve">Ukraine </w:t>
      </w:r>
      <w:r w:rsidR="003625CA">
        <w:rPr>
          <w:color w:val="000000" w:themeColor="text1"/>
          <w:sz w:val="24"/>
          <w:szCs w:val="24"/>
        </w:rPr>
        <w:t>have</w:t>
      </w:r>
      <w:r w:rsidR="00666FCB">
        <w:rPr>
          <w:color w:val="000000" w:themeColor="text1"/>
          <w:sz w:val="24"/>
          <w:szCs w:val="24"/>
        </w:rPr>
        <w:t xml:space="preserve"> caused</w:t>
      </w:r>
      <w:r w:rsidR="003625CA">
        <w:rPr>
          <w:color w:val="000000" w:themeColor="text1"/>
          <w:sz w:val="24"/>
          <w:szCs w:val="24"/>
        </w:rPr>
        <w:t>—</w:t>
      </w:r>
      <w:r w:rsidR="00666FCB">
        <w:rPr>
          <w:color w:val="000000" w:themeColor="text1"/>
          <w:sz w:val="24"/>
          <w:szCs w:val="24"/>
        </w:rPr>
        <w:t xml:space="preserve">aside from </w:t>
      </w:r>
      <w:r w:rsidR="00684222">
        <w:rPr>
          <w:color w:val="000000" w:themeColor="text1"/>
          <w:sz w:val="24"/>
          <w:szCs w:val="24"/>
        </w:rPr>
        <w:t>thousands of human casualties—</w:t>
      </w:r>
      <w:r w:rsidR="00666FCB">
        <w:rPr>
          <w:color w:val="000000" w:themeColor="text1"/>
          <w:sz w:val="24"/>
          <w:szCs w:val="24"/>
        </w:rPr>
        <w:t xml:space="preserve">enormous </w:t>
      </w:r>
      <w:r w:rsidR="00684222">
        <w:rPr>
          <w:color w:val="000000" w:themeColor="text1"/>
          <w:sz w:val="24"/>
          <w:szCs w:val="24"/>
        </w:rPr>
        <w:t xml:space="preserve">damage </w:t>
      </w:r>
      <w:r w:rsidR="00EC382A">
        <w:rPr>
          <w:color w:val="000000" w:themeColor="text1"/>
          <w:sz w:val="24"/>
          <w:szCs w:val="24"/>
        </w:rPr>
        <w:t xml:space="preserve">to </w:t>
      </w:r>
      <w:r w:rsidR="00684222">
        <w:rPr>
          <w:color w:val="000000" w:themeColor="text1"/>
          <w:sz w:val="24"/>
          <w:szCs w:val="24"/>
        </w:rPr>
        <w:t xml:space="preserve">and destruction </w:t>
      </w:r>
      <w:r w:rsidR="00F10812">
        <w:rPr>
          <w:color w:val="000000" w:themeColor="text1"/>
          <w:sz w:val="24"/>
          <w:szCs w:val="24"/>
        </w:rPr>
        <w:t xml:space="preserve">of </w:t>
      </w:r>
      <w:r w:rsidRPr="005F6182">
        <w:rPr>
          <w:sz w:val="24"/>
          <w:szCs w:val="24"/>
        </w:rPr>
        <w:t>Ukrainian</w:t>
      </w:r>
      <w:r w:rsidR="00666FCB">
        <w:rPr>
          <w:sz w:val="24"/>
          <w:szCs w:val="24"/>
        </w:rPr>
        <w:t xml:space="preserve"> cultural resources</w:t>
      </w:r>
      <w:r w:rsidR="00366BC6">
        <w:rPr>
          <w:sz w:val="24"/>
          <w:szCs w:val="24"/>
        </w:rPr>
        <w:t>;</w:t>
      </w:r>
      <w:r w:rsidRPr="005F6182">
        <w:rPr>
          <w:sz w:val="24"/>
          <w:szCs w:val="24"/>
        </w:rPr>
        <w:t xml:space="preserve"> </w:t>
      </w:r>
    </w:p>
    <w:p w14:paraId="4FF7EAA1" w14:textId="708BD343" w:rsidR="003F6725" w:rsidRPr="009A76FB" w:rsidRDefault="003F6725" w:rsidP="009A76FB">
      <w:pPr>
        <w:shd w:val="clear" w:color="auto" w:fill="FFFFFF"/>
        <w:spacing w:before="100" w:beforeAutospacing="1" w:after="100" w:afterAutospacing="1" w:line="240" w:lineRule="auto"/>
        <w:rPr>
          <w:rFonts w:ascii="Arial" w:eastAsia="Times New Roman" w:hAnsi="Arial" w:cs="Arial"/>
          <w:color w:val="212121"/>
          <w:sz w:val="24"/>
          <w:szCs w:val="24"/>
        </w:rPr>
      </w:pPr>
      <w:r w:rsidRPr="00666FCB">
        <w:rPr>
          <w:rFonts w:ascii="Calibri" w:hAnsi="Calibri" w:cs="Calibri"/>
          <w:color w:val="000000" w:themeColor="text1"/>
          <w:sz w:val="24"/>
          <w:szCs w:val="24"/>
        </w:rPr>
        <w:t>Whereas, according to UNESCO, as of May 30</w:t>
      </w:r>
      <w:r w:rsidR="00E1232C">
        <w:rPr>
          <w:rFonts w:ascii="Calibri" w:hAnsi="Calibri" w:cs="Calibri"/>
          <w:color w:val="000000" w:themeColor="text1"/>
          <w:sz w:val="24"/>
          <w:szCs w:val="24"/>
        </w:rPr>
        <w:t>, 2022</w:t>
      </w:r>
      <w:r w:rsidR="00260E65">
        <w:rPr>
          <w:rFonts w:ascii="Calibri" w:hAnsi="Calibri" w:cs="Calibri"/>
          <w:color w:val="000000" w:themeColor="text1"/>
          <w:sz w:val="24"/>
          <w:szCs w:val="24"/>
        </w:rPr>
        <w:t>,</w:t>
      </w:r>
      <w:r w:rsidRPr="00666FCB">
        <w:rPr>
          <w:rFonts w:ascii="Calibri" w:hAnsi="Calibri" w:cs="Calibri"/>
          <w:color w:val="000000" w:themeColor="text1"/>
          <w:sz w:val="24"/>
          <w:szCs w:val="24"/>
        </w:rPr>
        <w:t xml:space="preserve"> seven libraries have been damaged</w:t>
      </w:r>
      <w:r w:rsidR="00256398">
        <w:rPr>
          <w:rFonts w:ascii="Calibri" w:hAnsi="Calibri" w:cs="Calibri"/>
          <w:color w:val="000000" w:themeColor="text1"/>
          <w:sz w:val="24"/>
          <w:szCs w:val="24"/>
        </w:rPr>
        <w:t xml:space="preserve"> since the Russian invasion</w:t>
      </w:r>
      <w:r w:rsidR="009A76FB">
        <w:rPr>
          <w:rFonts w:ascii="Calibri" w:hAnsi="Calibri" w:cs="Calibri"/>
          <w:color w:val="000000" w:themeColor="text1"/>
          <w:sz w:val="24"/>
          <w:szCs w:val="24"/>
        </w:rPr>
        <w:t>,</w:t>
      </w:r>
      <w:r w:rsidR="00E51CD8" w:rsidRPr="00666FCB">
        <w:rPr>
          <w:rFonts w:ascii="Calibri" w:hAnsi="Calibri" w:cs="Calibri"/>
          <w:color w:val="000000" w:themeColor="text1"/>
          <w:sz w:val="24"/>
          <w:szCs w:val="24"/>
        </w:rPr>
        <w:t xml:space="preserve"> including</w:t>
      </w:r>
      <w:r w:rsidRPr="00666FCB">
        <w:rPr>
          <w:rFonts w:ascii="Calibri" w:hAnsi="Calibri" w:cs="Calibri"/>
          <w:color w:val="000000" w:themeColor="text1"/>
          <w:sz w:val="24"/>
          <w:szCs w:val="24"/>
        </w:rPr>
        <w:t xml:space="preserve"> </w:t>
      </w:r>
      <w:r w:rsidRPr="00666FCB">
        <w:rPr>
          <w:rFonts w:ascii="Calibri" w:hAnsi="Calibri" w:cs="Calibri"/>
          <w:color w:val="000000" w:themeColor="text1"/>
          <w:sz w:val="24"/>
          <w:szCs w:val="24"/>
          <w:shd w:val="clear" w:color="auto" w:fill="FFFFFF"/>
        </w:rPr>
        <w:t>the building of the regional children's library</w:t>
      </w:r>
      <w:r w:rsidR="00B46032">
        <w:rPr>
          <w:rFonts w:ascii="Calibri" w:hAnsi="Calibri" w:cs="Calibri"/>
          <w:color w:val="000000" w:themeColor="text1"/>
          <w:sz w:val="24"/>
          <w:szCs w:val="24"/>
          <w:shd w:val="clear" w:color="auto" w:fill="FFFFFF"/>
        </w:rPr>
        <w:t xml:space="preserve"> (</w:t>
      </w:r>
      <w:r w:rsidRPr="00666FCB">
        <w:rPr>
          <w:rFonts w:ascii="Calibri" w:hAnsi="Calibri" w:cs="Calibri"/>
          <w:color w:val="000000" w:themeColor="text1"/>
          <w:sz w:val="24"/>
          <w:szCs w:val="24"/>
          <w:shd w:val="clear" w:color="auto" w:fill="FFFFFF"/>
        </w:rPr>
        <w:t>former Vasyl Tarnovsky Museum of Ukrainian Antiquities</w:t>
      </w:r>
      <w:r w:rsidR="00B46032">
        <w:rPr>
          <w:rFonts w:ascii="Calibri" w:hAnsi="Calibri" w:cs="Calibri"/>
          <w:color w:val="000000" w:themeColor="text1"/>
          <w:sz w:val="24"/>
          <w:szCs w:val="24"/>
          <w:shd w:val="clear" w:color="auto" w:fill="FFFFFF"/>
        </w:rPr>
        <w:t>)</w:t>
      </w:r>
      <w:r w:rsidR="002C7CDC">
        <w:rPr>
          <w:rFonts w:ascii="Calibri" w:hAnsi="Calibri" w:cs="Calibri"/>
          <w:color w:val="000000" w:themeColor="text1"/>
          <w:sz w:val="24"/>
          <w:szCs w:val="24"/>
          <w:shd w:val="clear" w:color="auto" w:fill="FFFFFF"/>
        </w:rPr>
        <w:t xml:space="preserve"> -</w:t>
      </w:r>
      <w:r w:rsidRPr="00666FCB">
        <w:rPr>
          <w:rFonts w:ascii="Calibri" w:hAnsi="Calibri" w:cs="Calibri"/>
          <w:color w:val="000000" w:themeColor="text1"/>
          <w:sz w:val="24"/>
          <w:szCs w:val="24"/>
          <w:shd w:val="clear" w:color="auto" w:fill="FFFFFF"/>
        </w:rPr>
        <w:t xml:space="preserve"> (Chernihiv region); the </w:t>
      </w:r>
      <w:r w:rsidRPr="00666FCB">
        <w:rPr>
          <w:rFonts w:ascii="Calibri" w:eastAsia="Times New Roman" w:hAnsi="Calibri" w:cs="Calibri"/>
          <w:color w:val="000000" w:themeColor="text1"/>
          <w:sz w:val="24"/>
          <w:szCs w:val="24"/>
        </w:rPr>
        <w:t>Chernihiv Regional Universal Scientific Library V.G. Korolenko</w:t>
      </w:r>
      <w:r w:rsidR="002C7CDC">
        <w:rPr>
          <w:rFonts w:ascii="Calibri" w:eastAsia="Times New Roman" w:hAnsi="Calibri" w:cs="Calibri"/>
          <w:color w:val="000000" w:themeColor="text1"/>
          <w:sz w:val="24"/>
          <w:szCs w:val="24"/>
        </w:rPr>
        <w:t xml:space="preserve"> - </w:t>
      </w:r>
      <w:r w:rsidRPr="00666FCB">
        <w:rPr>
          <w:rFonts w:ascii="Calibri" w:eastAsia="Times New Roman" w:hAnsi="Calibri" w:cs="Calibri"/>
          <w:color w:val="000000" w:themeColor="text1"/>
          <w:sz w:val="24"/>
          <w:szCs w:val="24"/>
        </w:rPr>
        <w:t>(Chernihiv); the Central City Library</w:t>
      </w:r>
      <w:r w:rsidR="00B46032">
        <w:rPr>
          <w:rFonts w:ascii="Calibri" w:eastAsia="Times New Roman" w:hAnsi="Calibri" w:cs="Calibri"/>
          <w:color w:val="000000" w:themeColor="text1"/>
          <w:sz w:val="24"/>
          <w:szCs w:val="24"/>
        </w:rPr>
        <w:t xml:space="preserve"> </w:t>
      </w:r>
      <w:r w:rsidRPr="00666FCB">
        <w:rPr>
          <w:rFonts w:ascii="Calibri" w:eastAsia="Times New Roman" w:hAnsi="Calibri" w:cs="Calibri"/>
          <w:color w:val="000000" w:themeColor="text1"/>
          <w:sz w:val="24"/>
          <w:szCs w:val="24"/>
        </w:rPr>
        <w:t>M. Kotsiubynsky</w:t>
      </w:r>
      <w:r w:rsidR="002C7CDC">
        <w:rPr>
          <w:rFonts w:ascii="Calibri" w:eastAsia="Times New Roman" w:hAnsi="Calibri" w:cs="Calibri"/>
          <w:color w:val="000000" w:themeColor="text1"/>
          <w:sz w:val="24"/>
          <w:szCs w:val="24"/>
        </w:rPr>
        <w:t xml:space="preserve"> -</w:t>
      </w:r>
      <w:r w:rsidRPr="00666FCB">
        <w:rPr>
          <w:rFonts w:ascii="Calibri" w:eastAsia="Times New Roman" w:hAnsi="Calibri" w:cs="Calibri"/>
          <w:color w:val="000000" w:themeColor="text1"/>
          <w:sz w:val="24"/>
          <w:szCs w:val="24"/>
        </w:rPr>
        <w:t xml:space="preserve"> (Chernihiv); the Central City Library in Irpin</w:t>
      </w:r>
      <w:r w:rsidR="002C7CDC">
        <w:rPr>
          <w:rFonts w:ascii="Calibri" w:eastAsia="Times New Roman" w:hAnsi="Calibri" w:cs="Calibri"/>
          <w:color w:val="000000" w:themeColor="text1"/>
          <w:sz w:val="24"/>
          <w:szCs w:val="24"/>
        </w:rPr>
        <w:t xml:space="preserve"> – (</w:t>
      </w:r>
      <w:r w:rsidRPr="00B46032">
        <w:rPr>
          <w:rFonts w:ascii="Calibri" w:eastAsia="Times New Roman" w:hAnsi="Calibri" w:cs="Calibri"/>
          <w:color w:val="000000" w:themeColor="text1"/>
          <w:sz w:val="24"/>
          <w:szCs w:val="24"/>
        </w:rPr>
        <w:t>Kyiv region); the Makarivska Public Library</w:t>
      </w:r>
      <w:r w:rsidR="002C7CDC">
        <w:rPr>
          <w:rFonts w:ascii="Calibri" w:eastAsia="Times New Roman" w:hAnsi="Calibri" w:cs="Calibri"/>
          <w:color w:val="000000" w:themeColor="text1"/>
          <w:sz w:val="24"/>
          <w:szCs w:val="24"/>
        </w:rPr>
        <w:t xml:space="preserve"> -</w:t>
      </w:r>
      <w:r w:rsidRPr="00B46032">
        <w:rPr>
          <w:rFonts w:ascii="Calibri" w:eastAsia="Times New Roman" w:hAnsi="Calibri" w:cs="Calibri"/>
          <w:color w:val="000000" w:themeColor="text1"/>
          <w:sz w:val="24"/>
          <w:szCs w:val="24"/>
        </w:rPr>
        <w:t xml:space="preserve"> (Kyiv region); </w:t>
      </w:r>
      <w:r w:rsidR="00B46032" w:rsidRPr="00B46032">
        <w:rPr>
          <w:rFonts w:ascii="Calibri" w:eastAsia="Times New Roman" w:hAnsi="Calibri" w:cs="Calibri"/>
          <w:color w:val="000000" w:themeColor="text1"/>
          <w:sz w:val="24"/>
          <w:szCs w:val="24"/>
        </w:rPr>
        <w:t xml:space="preserve">the </w:t>
      </w:r>
      <w:r w:rsidR="00B46032" w:rsidRPr="00B46032">
        <w:rPr>
          <w:rFonts w:ascii="Calibri" w:eastAsia="Times New Roman" w:hAnsi="Calibri" w:cs="Calibri"/>
          <w:color w:val="212121"/>
          <w:sz w:val="24"/>
          <w:szCs w:val="24"/>
        </w:rPr>
        <w:t xml:space="preserve">Kharkiv State Scientific Library (Korolenko </w:t>
      </w:r>
      <w:r w:rsidR="00B46032" w:rsidRPr="009A76FB">
        <w:rPr>
          <w:rFonts w:ascii="Calibri" w:eastAsia="Times New Roman" w:hAnsi="Calibri" w:cs="Calibri"/>
          <w:color w:val="212121"/>
          <w:sz w:val="24"/>
          <w:szCs w:val="24"/>
        </w:rPr>
        <w:t>State Scientific Library</w:t>
      </w:r>
      <w:r w:rsidR="002C7CDC">
        <w:rPr>
          <w:rFonts w:ascii="Calibri" w:eastAsia="Times New Roman" w:hAnsi="Calibri" w:cs="Calibri"/>
          <w:color w:val="212121"/>
          <w:sz w:val="24"/>
          <w:szCs w:val="24"/>
        </w:rPr>
        <w:t>) -</w:t>
      </w:r>
      <w:r w:rsidR="00B46032" w:rsidRPr="009A76FB">
        <w:rPr>
          <w:rFonts w:ascii="Calibri" w:eastAsia="Times New Roman" w:hAnsi="Calibri" w:cs="Calibri"/>
          <w:color w:val="212121"/>
          <w:sz w:val="24"/>
          <w:szCs w:val="24"/>
        </w:rPr>
        <w:t xml:space="preserve"> (Kharkiv);</w:t>
      </w:r>
      <w:r w:rsidR="009A76FB" w:rsidRPr="009A76FB">
        <w:rPr>
          <w:rFonts w:ascii="Calibri" w:eastAsia="Times New Roman" w:hAnsi="Calibri" w:cs="Calibri"/>
          <w:color w:val="212121"/>
          <w:sz w:val="24"/>
          <w:szCs w:val="24"/>
        </w:rPr>
        <w:t xml:space="preserve"> </w:t>
      </w:r>
      <w:r w:rsidRPr="009A76FB">
        <w:rPr>
          <w:rFonts w:ascii="Calibri" w:eastAsia="Times New Roman" w:hAnsi="Calibri" w:cs="Calibri"/>
          <w:color w:val="000000" w:themeColor="text1"/>
          <w:sz w:val="24"/>
          <w:szCs w:val="24"/>
        </w:rPr>
        <w:t>and the Central City Library V.G.</w:t>
      </w:r>
      <w:r w:rsidR="002C7CDC">
        <w:rPr>
          <w:rFonts w:ascii="Calibri" w:eastAsia="Times New Roman" w:hAnsi="Calibri" w:cs="Calibri"/>
          <w:color w:val="000000" w:themeColor="text1"/>
          <w:sz w:val="24"/>
          <w:szCs w:val="24"/>
        </w:rPr>
        <w:t xml:space="preserve"> </w:t>
      </w:r>
      <w:r w:rsidRPr="009A76FB">
        <w:rPr>
          <w:rFonts w:ascii="Calibri" w:eastAsia="Times New Roman" w:hAnsi="Calibri" w:cs="Calibri"/>
          <w:color w:val="000000" w:themeColor="text1"/>
          <w:sz w:val="24"/>
          <w:szCs w:val="24"/>
        </w:rPr>
        <w:t xml:space="preserve">Korolenko </w:t>
      </w:r>
      <w:r w:rsidR="009A76FB" w:rsidRPr="009A76FB">
        <w:rPr>
          <w:rFonts w:ascii="Calibri" w:eastAsia="Times New Roman" w:hAnsi="Calibri" w:cs="Calibri"/>
          <w:color w:val="000000" w:themeColor="text1"/>
          <w:sz w:val="24"/>
          <w:szCs w:val="24"/>
        </w:rPr>
        <w:t xml:space="preserve">in </w:t>
      </w:r>
      <w:r w:rsidRPr="009A76FB">
        <w:rPr>
          <w:rFonts w:ascii="Calibri" w:eastAsia="Times New Roman" w:hAnsi="Calibri" w:cs="Calibri"/>
          <w:color w:val="000000" w:themeColor="text1"/>
          <w:sz w:val="24"/>
          <w:szCs w:val="24"/>
        </w:rPr>
        <w:t>Mariupol</w:t>
      </w:r>
      <w:r w:rsidR="002C7CDC">
        <w:rPr>
          <w:rFonts w:ascii="Calibri" w:eastAsia="Times New Roman" w:hAnsi="Calibri" w:cs="Calibri"/>
          <w:color w:val="000000" w:themeColor="text1"/>
          <w:sz w:val="24"/>
          <w:szCs w:val="24"/>
        </w:rPr>
        <w:t xml:space="preserve"> -</w:t>
      </w:r>
      <w:r w:rsidR="009A76FB" w:rsidRPr="009A76FB">
        <w:rPr>
          <w:rFonts w:ascii="Calibri" w:eastAsia="Times New Roman" w:hAnsi="Calibri" w:cs="Calibri"/>
          <w:color w:val="212121"/>
          <w:sz w:val="24"/>
          <w:szCs w:val="24"/>
        </w:rPr>
        <w:t xml:space="preserve"> (Donesk Region)</w:t>
      </w:r>
      <w:r w:rsidR="00366BC6">
        <w:rPr>
          <w:rFonts w:ascii="Calibri" w:eastAsia="Times New Roman" w:hAnsi="Calibri" w:cs="Calibri"/>
          <w:color w:val="000000" w:themeColor="text1"/>
          <w:sz w:val="24"/>
          <w:szCs w:val="24"/>
        </w:rPr>
        <w:t>;</w:t>
      </w:r>
      <w:r w:rsidRPr="009A76FB">
        <w:rPr>
          <w:rStyle w:val="EndnoteReference"/>
          <w:rFonts w:ascii="Calibri" w:eastAsia="Times New Roman" w:hAnsi="Calibri" w:cs="Calibri"/>
          <w:color w:val="000000" w:themeColor="text1"/>
          <w:sz w:val="24"/>
          <w:szCs w:val="24"/>
        </w:rPr>
        <w:endnoteReference w:id="3"/>
      </w:r>
      <w:r w:rsidRPr="009A76FB">
        <w:rPr>
          <w:rFonts w:ascii="Calibri" w:eastAsia="Times New Roman" w:hAnsi="Calibri" w:cs="Calibri"/>
          <w:color w:val="000000" w:themeColor="text1"/>
          <w:sz w:val="24"/>
          <w:szCs w:val="24"/>
        </w:rPr>
        <w:t xml:space="preserve"> </w:t>
      </w:r>
    </w:p>
    <w:p w14:paraId="74F0FBBA" w14:textId="78DDD045" w:rsidR="003F6725" w:rsidRPr="00F40C7B" w:rsidRDefault="003F6725" w:rsidP="003F6725">
      <w:pPr>
        <w:shd w:val="clear" w:color="auto" w:fill="FFFFFF"/>
        <w:spacing w:before="100" w:beforeAutospacing="1" w:after="100" w:afterAutospacing="1" w:line="240" w:lineRule="auto"/>
        <w:rPr>
          <w:rFonts w:ascii="Calibri" w:eastAsia="Times New Roman" w:hAnsi="Calibri" w:cs="Calibri"/>
          <w:color w:val="212121"/>
          <w:sz w:val="24"/>
          <w:szCs w:val="24"/>
        </w:rPr>
      </w:pPr>
      <w:r w:rsidRPr="00F40C7B">
        <w:rPr>
          <w:rFonts w:ascii="Calibri" w:eastAsia="Times New Roman" w:hAnsi="Calibri" w:cs="Calibri"/>
          <w:color w:val="212121"/>
          <w:sz w:val="24"/>
          <w:szCs w:val="24"/>
        </w:rPr>
        <w:t xml:space="preserve">Whereas, according to UNESCO, as of May 29, </w:t>
      </w:r>
      <w:r w:rsidR="00256398" w:rsidRPr="00F40C7B">
        <w:rPr>
          <w:rFonts w:ascii="Calibri" w:eastAsia="Times New Roman" w:hAnsi="Calibri" w:cs="Calibri"/>
          <w:color w:val="212121"/>
          <w:sz w:val="24"/>
          <w:szCs w:val="24"/>
        </w:rPr>
        <w:t>2022</w:t>
      </w:r>
      <w:r w:rsidR="00260E65">
        <w:rPr>
          <w:rFonts w:ascii="Calibri" w:eastAsia="Times New Roman" w:hAnsi="Calibri" w:cs="Calibri"/>
          <w:color w:val="212121"/>
          <w:sz w:val="24"/>
          <w:szCs w:val="24"/>
        </w:rPr>
        <w:t>,</w:t>
      </w:r>
      <w:r w:rsidRPr="00F40C7B">
        <w:rPr>
          <w:rFonts w:ascii="Calibri" w:eastAsia="Times New Roman" w:hAnsi="Calibri" w:cs="Calibri"/>
          <w:color w:val="212121"/>
          <w:sz w:val="24"/>
          <w:szCs w:val="24"/>
        </w:rPr>
        <w:t xml:space="preserve"> </w:t>
      </w:r>
      <w:r w:rsidRPr="00F40C7B">
        <w:rPr>
          <w:rFonts w:ascii="Calibri" w:hAnsi="Calibri" w:cs="Calibri"/>
          <w:color w:val="212121"/>
          <w:sz w:val="24"/>
          <w:szCs w:val="24"/>
          <w:shd w:val="clear" w:color="auto" w:fill="FFFFFF"/>
        </w:rPr>
        <w:t>1,888 education institutions have suffered bombing and shelling and 180 have been destroyed completely</w:t>
      </w:r>
      <w:r w:rsidR="00366BC6">
        <w:rPr>
          <w:rFonts w:ascii="Calibri" w:hAnsi="Calibri" w:cs="Calibri"/>
          <w:color w:val="212121"/>
          <w:sz w:val="24"/>
          <w:szCs w:val="24"/>
          <w:shd w:val="clear" w:color="auto" w:fill="FFFFFF"/>
        </w:rPr>
        <w:t>;</w:t>
      </w:r>
      <w:r w:rsidRPr="00F40C7B">
        <w:rPr>
          <w:rStyle w:val="EndnoteReference"/>
          <w:rFonts w:ascii="Calibri" w:hAnsi="Calibri" w:cs="Calibri"/>
          <w:color w:val="212121"/>
          <w:sz w:val="24"/>
          <w:szCs w:val="24"/>
          <w:shd w:val="clear" w:color="auto" w:fill="FFFFFF"/>
        </w:rPr>
        <w:endnoteReference w:id="4"/>
      </w:r>
      <w:r w:rsidRPr="00F40C7B">
        <w:rPr>
          <w:rFonts w:ascii="Calibri" w:hAnsi="Calibri" w:cs="Calibri"/>
          <w:color w:val="212121"/>
          <w:sz w:val="24"/>
          <w:szCs w:val="24"/>
          <w:shd w:val="clear" w:color="auto" w:fill="FFFFFF"/>
        </w:rPr>
        <w:t xml:space="preserve"> and</w:t>
      </w:r>
    </w:p>
    <w:p w14:paraId="5BF5F539" w14:textId="766FA580" w:rsidR="003F6725" w:rsidRPr="00813451" w:rsidRDefault="003F6725" w:rsidP="003F6725">
      <w:pPr>
        <w:shd w:val="clear" w:color="auto" w:fill="FFFFFF"/>
        <w:spacing w:before="100" w:beforeAutospacing="1" w:after="100" w:afterAutospacing="1" w:line="240" w:lineRule="auto"/>
        <w:rPr>
          <w:rFonts w:cstheme="minorHAnsi"/>
          <w:color w:val="212121"/>
          <w:sz w:val="24"/>
          <w:szCs w:val="24"/>
          <w:shd w:val="clear" w:color="auto" w:fill="FFFFFF"/>
        </w:rPr>
      </w:pPr>
      <w:r w:rsidRPr="00813451">
        <w:rPr>
          <w:rFonts w:eastAsia="Times New Roman" w:cstheme="minorHAnsi"/>
          <w:color w:val="212121"/>
          <w:sz w:val="24"/>
          <w:szCs w:val="24"/>
        </w:rPr>
        <w:t>Whereas, according to UNESCO</w:t>
      </w:r>
      <w:r w:rsidR="00E1232C">
        <w:rPr>
          <w:rFonts w:eastAsia="Times New Roman" w:cstheme="minorHAnsi"/>
          <w:color w:val="212121"/>
          <w:sz w:val="24"/>
          <w:szCs w:val="24"/>
        </w:rPr>
        <w:t>,</w:t>
      </w:r>
      <w:r w:rsidRPr="00813451">
        <w:rPr>
          <w:rFonts w:eastAsia="Times New Roman" w:cstheme="minorHAnsi"/>
          <w:color w:val="212121"/>
          <w:sz w:val="24"/>
          <w:szCs w:val="24"/>
        </w:rPr>
        <w:t xml:space="preserve"> as of May 30, </w:t>
      </w:r>
      <w:r w:rsidR="00256398" w:rsidRPr="00813451">
        <w:rPr>
          <w:rFonts w:eastAsia="Times New Roman" w:cstheme="minorHAnsi"/>
          <w:color w:val="212121"/>
          <w:sz w:val="24"/>
          <w:szCs w:val="24"/>
        </w:rPr>
        <w:t>2022,</w:t>
      </w:r>
      <w:r w:rsidRPr="00813451">
        <w:rPr>
          <w:rFonts w:eastAsia="Times New Roman" w:cstheme="minorHAnsi"/>
          <w:color w:val="212121"/>
          <w:sz w:val="24"/>
          <w:szCs w:val="24"/>
        </w:rPr>
        <w:t xml:space="preserve"> </w:t>
      </w:r>
      <w:r w:rsidRPr="00813451">
        <w:rPr>
          <w:rFonts w:cstheme="minorHAnsi"/>
          <w:color w:val="212121"/>
          <w:sz w:val="24"/>
          <w:szCs w:val="24"/>
          <w:shd w:val="clear" w:color="auto" w:fill="FFFFFF"/>
        </w:rPr>
        <w:t>62 religious sites, 12 museums, 26 historic buildings, 17 buildings dedicated to cultural activities, and 15 monuments have been damaged;</w:t>
      </w:r>
      <w:r>
        <w:rPr>
          <w:rStyle w:val="EndnoteReference"/>
          <w:rFonts w:cstheme="minorHAnsi"/>
          <w:color w:val="212121"/>
          <w:sz w:val="24"/>
          <w:szCs w:val="24"/>
          <w:shd w:val="clear" w:color="auto" w:fill="FFFFFF"/>
        </w:rPr>
        <w:endnoteReference w:id="5"/>
      </w:r>
      <w:r w:rsidRPr="00813451">
        <w:rPr>
          <w:rFonts w:cstheme="minorHAnsi"/>
          <w:color w:val="212121"/>
          <w:sz w:val="24"/>
          <w:szCs w:val="24"/>
          <w:shd w:val="clear" w:color="auto" w:fill="FFFFFF"/>
        </w:rPr>
        <w:t xml:space="preserve"> </w:t>
      </w:r>
      <w:r w:rsidR="009B4799">
        <w:rPr>
          <w:rFonts w:cstheme="minorHAnsi"/>
          <w:color w:val="212121"/>
          <w:sz w:val="24"/>
          <w:szCs w:val="24"/>
          <w:shd w:val="clear" w:color="auto" w:fill="FFFFFF"/>
        </w:rPr>
        <w:t xml:space="preserve">now </w:t>
      </w:r>
      <w:r w:rsidRPr="00813451">
        <w:rPr>
          <w:rFonts w:cstheme="minorHAnsi"/>
          <w:color w:val="212121"/>
          <w:sz w:val="24"/>
          <w:szCs w:val="24"/>
          <w:shd w:val="clear" w:color="auto" w:fill="FFFFFF"/>
        </w:rPr>
        <w:t>therefore be it</w:t>
      </w:r>
      <w:r>
        <w:rPr>
          <w:rFonts w:cstheme="minorHAnsi"/>
          <w:color w:val="212121"/>
          <w:sz w:val="24"/>
          <w:szCs w:val="24"/>
          <w:shd w:val="clear" w:color="auto" w:fill="FFFFFF"/>
        </w:rPr>
        <w:t xml:space="preserve"> </w:t>
      </w:r>
    </w:p>
    <w:p w14:paraId="05CD5FDB" w14:textId="7FE88334" w:rsidR="003F6725" w:rsidRPr="00CC7B77" w:rsidRDefault="003F6725" w:rsidP="003F6725">
      <w:pPr>
        <w:shd w:val="clear" w:color="auto" w:fill="FFFFFF"/>
        <w:spacing w:before="100" w:beforeAutospacing="1" w:after="100" w:afterAutospacing="1" w:line="240" w:lineRule="auto"/>
        <w:rPr>
          <w:rFonts w:cstheme="minorHAnsi"/>
          <w:color w:val="212121"/>
          <w:sz w:val="24"/>
          <w:szCs w:val="24"/>
          <w:shd w:val="clear" w:color="auto" w:fill="FFFFFF"/>
        </w:rPr>
      </w:pPr>
      <w:r w:rsidRPr="00CC7B77">
        <w:rPr>
          <w:rFonts w:cstheme="minorHAnsi"/>
          <w:color w:val="212121"/>
          <w:sz w:val="24"/>
          <w:szCs w:val="24"/>
          <w:shd w:val="clear" w:color="auto" w:fill="FFFFFF"/>
        </w:rPr>
        <w:t>Resolved, that the American</w:t>
      </w:r>
      <w:r w:rsidR="00677C70">
        <w:rPr>
          <w:rFonts w:cstheme="minorHAnsi"/>
          <w:color w:val="212121"/>
          <w:sz w:val="24"/>
          <w:szCs w:val="24"/>
          <w:shd w:val="clear" w:color="auto" w:fill="FFFFFF"/>
        </w:rPr>
        <w:t xml:space="preserve"> L</w:t>
      </w:r>
      <w:r w:rsidRPr="00CC7B77">
        <w:rPr>
          <w:rFonts w:cstheme="minorHAnsi"/>
          <w:color w:val="212121"/>
          <w:sz w:val="24"/>
          <w:szCs w:val="24"/>
          <w:shd w:val="clear" w:color="auto" w:fill="FFFFFF"/>
        </w:rPr>
        <w:t>ibrary Association (ALA)</w:t>
      </w:r>
    </w:p>
    <w:p w14:paraId="32E3075C" w14:textId="1EB2B930" w:rsidR="003F6725" w:rsidRPr="00CC7B77" w:rsidRDefault="003F6725" w:rsidP="003F6725">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CC7B77">
        <w:rPr>
          <w:sz w:val="24"/>
          <w:szCs w:val="24"/>
        </w:rPr>
        <w:t xml:space="preserve">Deplores the continuing and massive damage </w:t>
      </w:r>
      <w:r w:rsidR="00781324">
        <w:rPr>
          <w:sz w:val="24"/>
          <w:szCs w:val="24"/>
        </w:rPr>
        <w:t xml:space="preserve">and destruction </w:t>
      </w:r>
      <w:r w:rsidRPr="00CC7B77">
        <w:rPr>
          <w:sz w:val="24"/>
          <w:szCs w:val="24"/>
        </w:rPr>
        <w:t xml:space="preserve">of Ukrainian libraries, schools, and </w:t>
      </w:r>
      <w:r w:rsidR="00781324">
        <w:rPr>
          <w:sz w:val="24"/>
          <w:szCs w:val="24"/>
        </w:rPr>
        <w:t xml:space="preserve">other </w:t>
      </w:r>
      <w:r w:rsidRPr="00CC7B77">
        <w:rPr>
          <w:sz w:val="24"/>
          <w:szCs w:val="24"/>
        </w:rPr>
        <w:t>cultural institutions;</w:t>
      </w:r>
    </w:p>
    <w:p w14:paraId="3241C7ED" w14:textId="741AF017" w:rsidR="003F6725" w:rsidRPr="00CC7B77" w:rsidRDefault="003F6725" w:rsidP="003F6725">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CC7B77">
        <w:rPr>
          <w:sz w:val="24"/>
          <w:szCs w:val="24"/>
        </w:rPr>
        <w:t>Urges the government of the United States, as well as other governments, intergovernmental organizations, and nongovernmental organizations to provide material assistance for the reconstruction and restoration of Ukrainian libraries, schools, and cultural institutions as soon as that is practicable; and</w:t>
      </w:r>
    </w:p>
    <w:p w14:paraId="08F956A6" w14:textId="05264FB0" w:rsidR="00D51C26" w:rsidRDefault="003F6725" w:rsidP="00D51C26">
      <w:pPr>
        <w:pStyle w:val="ListParagraph"/>
        <w:numPr>
          <w:ilvl w:val="0"/>
          <w:numId w:val="1"/>
        </w:numPr>
        <w:shd w:val="clear" w:color="auto" w:fill="FFFFFF"/>
        <w:spacing w:before="100" w:beforeAutospacing="1" w:after="100" w:afterAutospacing="1" w:line="240" w:lineRule="auto"/>
        <w:rPr>
          <w:rFonts w:cstheme="minorHAnsi"/>
          <w:color w:val="212121"/>
          <w:sz w:val="24"/>
          <w:szCs w:val="24"/>
          <w:shd w:val="clear" w:color="auto" w:fill="FFFFFF"/>
        </w:rPr>
      </w:pPr>
      <w:r w:rsidRPr="00CC7B77">
        <w:rPr>
          <w:rFonts w:cstheme="minorHAnsi"/>
          <w:color w:val="212121"/>
          <w:sz w:val="24"/>
          <w:szCs w:val="24"/>
          <w:shd w:val="clear" w:color="auto" w:fill="FFFFFF"/>
        </w:rPr>
        <w:lastRenderedPageBreak/>
        <w:t>Encourages libraries and</w:t>
      </w:r>
      <w:r>
        <w:rPr>
          <w:rFonts w:cstheme="minorHAnsi"/>
          <w:color w:val="212121"/>
          <w:sz w:val="24"/>
          <w:szCs w:val="24"/>
          <w:shd w:val="clear" w:color="auto" w:fill="FFFFFF"/>
        </w:rPr>
        <w:t xml:space="preserve"> librarians everywhere to provide assistance to</w:t>
      </w:r>
      <w:r w:rsidR="00E51CD8">
        <w:rPr>
          <w:rFonts w:cstheme="minorHAnsi"/>
          <w:color w:val="212121"/>
          <w:sz w:val="24"/>
          <w:szCs w:val="24"/>
          <w:shd w:val="clear" w:color="auto" w:fill="FFFFFF"/>
        </w:rPr>
        <w:t xml:space="preserve"> </w:t>
      </w:r>
      <w:r>
        <w:rPr>
          <w:rFonts w:cstheme="minorHAnsi"/>
          <w:color w:val="212121"/>
          <w:sz w:val="24"/>
          <w:szCs w:val="24"/>
          <w:shd w:val="clear" w:color="auto" w:fill="FFFFFF"/>
        </w:rPr>
        <w:t>Ukrainian libraries</w:t>
      </w:r>
      <w:r w:rsidR="00767CB8">
        <w:rPr>
          <w:rFonts w:cstheme="minorHAnsi"/>
          <w:color w:val="212121"/>
          <w:sz w:val="24"/>
          <w:szCs w:val="24"/>
          <w:shd w:val="clear" w:color="auto" w:fill="FFFFFF"/>
        </w:rPr>
        <w:t xml:space="preserve">, including by contributing to the </w:t>
      </w:r>
      <w:r w:rsidR="004A5F03">
        <w:rPr>
          <w:rFonts w:cstheme="minorHAnsi"/>
          <w:color w:val="212121"/>
          <w:sz w:val="24"/>
          <w:szCs w:val="24"/>
          <w:shd w:val="clear" w:color="auto" w:fill="FFFFFF"/>
        </w:rPr>
        <w:t xml:space="preserve">ALA </w:t>
      </w:r>
      <w:r w:rsidR="00767CB8" w:rsidRPr="004A5F03">
        <w:rPr>
          <w:rFonts w:cstheme="minorHAnsi"/>
          <w:sz w:val="24"/>
          <w:szCs w:val="24"/>
          <w:shd w:val="clear" w:color="auto" w:fill="FFFFFF"/>
        </w:rPr>
        <w:t>Ukrainian Library Relief Fund</w:t>
      </w:r>
      <w:r>
        <w:rPr>
          <w:rFonts w:cstheme="minorHAnsi"/>
          <w:color w:val="212121"/>
          <w:sz w:val="24"/>
          <w:szCs w:val="24"/>
          <w:shd w:val="clear" w:color="auto" w:fill="FFFFFF"/>
        </w:rPr>
        <w:t>.</w:t>
      </w:r>
      <w:r w:rsidR="00767CB8">
        <w:rPr>
          <w:rStyle w:val="EndnoteReference"/>
          <w:rFonts w:cstheme="minorHAnsi"/>
          <w:color w:val="212121"/>
          <w:sz w:val="24"/>
          <w:szCs w:val="24"/>
          <w:shd w:val="clear" w:color="auto" w:fill="FFFFFF"/>
        </w:rPr>
        <w:endnoteReference w:id="6"/>
      </w:r>
    </w:p>
    <w:p w14:paraId="112C02BA" w14:textId="6056B1FF" w:rsidR="00D51C26" w:rsidRPr="00D51C26" w:rsidRDefault="00D51C26" w:rsidP="00D51C26">
      <w:pPr>
        <w:shd w:val="clear" w:color="auto" w:fill="FFFFFF"/>
        <w:spacing w:after="0" w:line="240" w:lineRule="auto"/>
        <w:rPr>
          <w:rFonts w:cstheme="minorHAnsi"/>
          <w:color w:val="212121"/>
          <w:sz w:val="24"/>
          <w:szCs w:val="24"/>
          <w:shd w:val="clear" w:color="auto" w:fill="FFFFFF"/>
        </w:rPr>
      </w:pPr>
      <w:r w:rsidRPr="00D51C26">
        <w:rPr>
          <w:rFonts w:ascii="Calibri" w:hAnsi="Calibri" w:cs="Calibri"/>
          <w:sz w:val="24"/>
          <w:szCs w:val="24"/>
        </w:rPr>
        <w:t xml:space="preserve">Mover: </w:t>
      </w:r>
      <w:r w:rsidR="00A518E7">
        <w:rPr>
          <w:rFonts w:ascii="Calibri" w:hAnsi="Calibri" w:cs="Calibri"/>
          <w:sz w:val="24"/>
          <w:szCs w:val="24"/>
        </w:rPr>
        <w:t>Mark Hudson</w:t>
      </w:r>
      <w:r w:rsidR="00EA1970">
        <w:rPr>
          <w:rFonts w:ascii="Calibri" w:hAnsi="Calibri" w:cs="Calibri"/>
          <w:sz w:val="24"/>
          <w:szCs w:val="24"/>
        </w:rPr>
        <w:t>, ALA Member</w:t>
      </w:r>
    </w:p>
    <w:p w14:paraId="314ADEFB" w14:textId="1D206317" w:rsidR="003F6725" w:rsidRDefault="00D51C26" w:rsidP="00D51C26">
      <w:pPr>
        <w:spacing w:after="0"/>
        <w:rPr>
          <w:rFonts w:ascii="Calibri" w:hAnsi="Calibri" w:cs="Calibri"/>
          <w:sz w:val="24"/>
          <w:szCs w:val="24"/>
        </w:rPr>
      </w:pPr>
      <w:r w:rsidRPr="00D51C26">
        <w:rPr>
          <w:rFonts w:ascii="Calibri" w:hAnsi="Calibri" w:cs="Calibri"/>
          <w:sz w:val="24"/>
          <w:szCs w:val="24"/>
        </w:rPr>
        <w:t xml:space="preserve">Seconder: </w:t>
      </w:r>
      <w:r w:rsidR="00A518E7" w:rsidRPr="00D51C26">
        <w:rPr>
          <w:rFonts w:ascii="Calibri" w:hAnsi="Calibri" w:cs="Calibri"/>
          <w:sz w:val="24"/>
          <w:szCs w:val="24"/>
        </w:rPr>
        <w:t>Tom Twiss</w:t>
      </w:r>
      <w:r w:rsidR="00EA1970">
        <w:rPr>
          <w:rFonts w:ascii="Calibri" w:hAnsi="Calibri" w:cs="Calibri"/>
          <w:sz w:val="24"/>
          <w:szCs w:val="24"/>
        </w:rPr>
        <w:t>, ALA Member</w:t>
      </w:r>
    </w:p>
    <w:p w14:paraId="69AF3E6A" w14:textId="7CB413C4" w:rsidR="00D51C26" w:rsidRDefault="00D51C26" w:rsidP="00D51C26">
      <w:pPr>
        <w:spacing w:after="0"/>
        <w:rPr>
          <w:rFonts w:ascii="Calibri" w:hAnsi="Calibri" w:cs="Calibri"/>
          <w:sz w:val="24"/>
          <w:szCs w:val="24"/>
        </w:rPr>
      </w:pPr>
    </w:p>
    <w:p w14:paraId="23674B47" w14:textId="19E7BA9B" w:rsidR="008F542F" w:rsidRDefault="00767409" w:rsidP="00D51C26">
      <w:pPr>
        <w:spacing w:after="0"/>
        <w:rPr>
          <w:rFonts w:ascii="Calibri" w:hAnsi="Calibri" w:cs="Calibri"/>
          <w:sz w:val="24"/>
          <w:szCs w:val="24"/>
        </w:rPr>
      </w:pPr>
      <w:r>
        <w:rPr>
          <w:rFonts w:ascii="Calibri" w:hAnsi="Calibri" w:cs="Calibri"/>
          <w:sz w:val="24"/>
          <w:szCs w:val="24"/>
        </w:rPr>
        <w:t>v</w:t>
      </w:r>
      <w:r w:rsidR="008F542F">
        <w:rPr>
          <w:rFonts w:ascii="Calibri" w:hAnsi="Calibri" w:cs="Calibri"/>
          <w:sz w:val="24"/>
          <w:szCs w:val="24"/>
        </w:rPr>
        <w:t xml:space="preserve">1.1 </w:t>
      </w:r>
      <w:r w:rsidR="006507BE">
        <w:rPr>
          <w:rFonts w:ascii="Calibri" w:hAnsi="Calibri" w:cs="Calibri"/>
          <w:sz w:val="24"/>
          <w:szCs w:val="24"/>
        </w:rPr>
        <w:t xml:space="preserve">– </w:t>
      </w:r>
      <w:r w:rsidR="008F542F">
        <w:rPr>
          <w:rFonts w:ascii="Calibri" w:hAnsi="Calibri" w:cs="Calibri"/>
          <w:sz w:val="24"/>
          <w:szCs w:val="24"/>
        </w:rPr>
        <w:t>2022.06.2</w:t>
      </w:r>
      <w:r w:rsidR="00E07E7E">
        <w:rPr>
          <w:rFonts w:ascii="Calibri" w:hAnsi="Calibri" w:cs="Calibri"/>
          <w:sz w:val="24"/>
          <w:szCs w:val="24"/>
        </w:rPr>
        <w:t>1</w:t>
      </w:r>
      <w:r w:rsidR="008F542F">
        <w:rPr>
          <w:rFonts w:ascii="Calibri" w:hAnsi="Calibri" w:cs="Calibri"/>
          <w:sz w:val="24"/>
          <w:szCs w:val="24"/>
        </w:rPr>
        <w:t xml:space="preserve"> @ </w:t>
      </w:r>
      <w:r w:rsidR="00E07E7E">
        <w:rPr>
          <w:rFonts w:ascii="Calibri" w:hAnsi="Calibri" w:cs="Calibri"/>
          <w:sz w:val="24"/>
          <w:szCs w:val="24"/>
        </w:rPr>
        <w:t>09</w:t>
      </w:r>
      <w:r w:rsidR="008F542F">
        <w:rPr>
          <w:rFonts w:ascii="Calibri" w:hAnsi="Calibri" w:cs="Calibri"/>
          <w:sz w:val="24"/>
          <w:szCs w:val="24"/>
        </w:rPr>
        <w:t>:</w:t>
      </w:r>
      <w:r w:rsidR="00E07E7E">
        <w:rPr>
          <w:rFonts w:ascii="Calibri" w:hAnsi="Calibri" w:cs="Calibri"/>
          <w:sz w:val="24"/>
          <w:szCs w:val="24"/>
        </w:rPr>
        <w:t>51</w:t>
      </w:r>
    </w:p>
    <w:p w14:paraId="4CBCA934" w14:textId="77777777" w:rsidR="008F542F" w:rsidRPr="00D51C26" w:rsidRDefault="008F542F" w:rsidP="00D51C26">
      <w:pPr>
        <w:spacing w:after="0"/>
        <w:rPr>
          <w:rFonts w:ascii="Calibri" w:hAnsi="Calibri" w:cs="Calibri"/>
          <w:sz w:val="24"/>
          <w:szCs w:val="24"/>
        </w:rPr>
      </w:pPr>
    </w:p>
    <w:sectPr w:rsidR="008F542F" w:rsidRPr="00D51C2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A085" w14:textId="77777777" w:rsidR="007F2174" w:rsidRDefault="007F2174" w:rsidP="003F6725">
      <w:pPr>
        <w:spacing w:after="0" w:line="240" w:lineRule="auto"/>
      </w:pPr>
      <w:r>
        <w:separator/>
      </w:r>
    </w:p>
  </w:endnote>
  <w:endnote w:type="continuationSeparator" w:id="0">
    <w:p w14:paraId="1F339FF7" w14:textId="77777777" w:rsidR="007F2174" w:rsidRDefault="007F2174" w:rsidP="003F6725">
      <w:pPr>
        <w:spacing w:after="0" w:line="240" w:lineRule="auto"/>
      </w:pPr>
      <w:r>
        <w:continuationSeparator/>
      </w:r>
    </w:p>
  </w:endnote>
  <w:endnote w:id="1">
    <w:p w14:paraId="4D5523F2" w14:textId="61B308F7" w:rsidR="00F10812" w:rsidRDefault="00F10812" w:rsidP="00F10812">
      <w:pPr>
        <w:pStyle w:val="EndnoteText"/>
      </w:pPr>
      <w:r>
        <w:rPr>
          <w:rStyle w:val="EndnoteReference"/>
        </w:rPr>
        <w:endnoteRef/>
      </w:r>
      <w:r>
        <w:t xml:space="preserve"> </w:t>
      </w:r>
      <w:r w:rsidR="00D41484">
        <w:t xml:space="preserve">ALA, </w:t>
      </w:r>
      <w:r>
        <w:t xml:space="preserve">B.2.8 Destruction of Libraries, ALA Policy Manual, </w:t>
      </w:r>
      <w:hyperlink r:id="rId1" w:anchor="B.2.8" w:history="1">
        <w:r w:rsidRPr="00304412">
          <w:rPr>
            <w:rStyle w:val="Hyperlink"/>
          </w:rPr>
          <w:t>https://www.ala.org/aboutala/governance/policymanual/updatedpolicymanual/section2/53intellfreedom#B.2.8</w:t>
        </w:r>
      </w:hyperlink>
      <w:r w:rsidR="00767CB8">
        <w:t>.</w:t>
      </w:r>
    </w:p>
  </w:endnote>
  <w:endnote w:id="2">
    <w:p w14:paraId="66F6A72D" w14:textId="2C6BCB7E" w:rsidR="003F6725" w:rsidRDefault="003F6725" w:rsidP="00256398">
      <w:pPr>
        <w:pStyle w:val="EndnoteText"/>
      </w:pPr>
      <w:r>
        <w:rPr>
          <w:rStyle w:val="EndnoteReference"/>
        </w:rPr>
        <w:endnoteRef/>
      </w:r>
      <w:r>
        <w:t xml:space="preserve"> </w:t>
      </w:r>
      <w:r w:rsidR="00D51C26">
        <w:t xml:space="preserve">ALA, </w:t>
      </w:r>
      <w:r>
        <w:t>Resolution on the Destruction of Palestinian Libraries, Archives, and Other Cultural Institutions</w:t>
      </w:r>
      <w:r w:rsidR="00D41484">
        <w:t>,</w:t>
      </w:r>
      <w:r w:rsidRPr="003F6725">
        <w:t xml:space="preserve"> </w:t>
      </w:r>
      <w:hyperlink r:id="rId2" w:history="1">
        <w:r w:rsidR="00676DEE" w:rsidRPr="00304412">
          <w:rPr>
            <w:rStyle w:val="Hyperlink"/>
          </w:rPr>
          <w:t>https://www.ala.org/aboutala/offices/iro/awardsactivities/resolutiondestrution</w:t>
        </w:r>
      </w:hyperlink>
      <w:r w:rsidR="00676DEE">
        <w:t>.</w:t>
      </w:r>
      <w:r w:rsidR="00676DEE">
        <w:rPr>
          <w:rStyle w:val="Hyperlink"/>
        </w:rPr>
        <w:t xml:space="preserve">  </w:t>
      </w:r>
    </w:p>
  </w:endnote>
  <w:endnote w:id="3">
    <w:p w14:paraId="286106E7" w14:textId="7FE81E51" w:rsidR="003F6725" w:rsidRPr="00256398" w:rsidRDefault="003F6725" w:rsidP="00256398">
      <w:pPr>
        <w:pStyle w:val="Heading1"/>
        <w:shd w:val="clear" w:color="auto" w:fill="FFFFFF"/>
        <w:spacing w:before="0" w:beforeAutospacing="0" w:after="0" w:afterAutospacing="0"/>
        <w:rPr>
          <w:rFonts w:asciiTheme="minorHAnsi" w:hAnsiTheme="minorHAnsi" w:cstheme="minorHAnsi"/>
          <w:b w:val="0"/>
          <w:bCs w:val="0"/>
          <w:color w:val="212121"/>
          <w:sz w:val="20"/>
          <w:szCs w:val="20"/>
        </w:rPr>
      </w:pPr>
      <w:r w:rsidRPr="00256398">
        <w:rPr>
          <w:rStyle w:val="EndnoteReference"/>
          <w:rFonts w:asciiTheme="minorHAnsi" w:hAnsiTheme="minorHAnsi" w:cstheme="minorHAnsi"/>
          <w:b w:val="0"/>
          <w:bCs w:val="0"/>
          <w:sz w:val="20"/>
          <w:szCs w:val="20"/>
        </w:rPr>
        <w:endnoteRef/>
      </w:r>
      <w:r w:rsidR="003E6F98">
        <w:rPr>
          <w:rFonts w:asciiTheme="minorHAnsi" w:hAnsiTheme="minorHAnsi" w:cstheme="minorHAnsi"/>
          <w:b w:val="0"/>
          <w:bCs w:val="0"/>
          <w:sz w:val="20"/>
          <w:szCs w:val="20"/>
        </w:rPr>
        <w:t xml:space="preserve"> </w:t>
      </w:r>
      <w:r w:rsidR="00256398" w:rsidRPr="00256398">
        <w:rPr>
          <w:rFonts w:asciiTheme="minorHAnsi" w:hAnsiTheme="minorHAnsi" w:cstheme="minorHAnsi"/>
          <w:b w:val="0"/>
          <w:bCs w:val="0"/>
          <w:sz w:val="20"/>
          <w:szCs w:val="20"/>
        </w:rPr>
        <w:t>UNESCO, “</w:t>
      </w:r>
      <w:r w:rsidR="00256398" w:rsidRPr="00256398">
        <w:rPr>
          <w:rFonts w:asciiTheme="minorHAnsi" w:hAnsiTheme="minorHAnsi" w:cstheme="minorHAnsi"/>
          <w:b w:val="0"/>
          <w:bCs w:val="0"/>
          <w:color w:val="212121"/>
          <w:sz w:val="20"/>
          <w:szCs w:val="20"/>
        </w:rPr>
        <w:t xml:space="preserve">Damaged cultural sites in Ukraine verified by UNESCO,” May 31, 2022, </w:t>
      </w:r>
      <w:hyperlink r:id="rId3" w:history="1">
        <w:r w:rsidR="00676DEE" w:rsidRPr="00C37FC5">
          <w:rPr>
            <w:rStyle w:val="Hyperlink"/>
            <w:rFonts w:asciiTheme="minorHAnsi" w:hAnsiTheme="minorHAnsi" w:cstheme="minorHAnsi"/>
            <w:b w:val="0"/>
            <w:bCs w:val="0"/>
            <w:sz w:val="20"/>
            <w:szCs w:val="20"/>
          </w:rPr>
          <w:t>https://www.unesco.org/en/articles/damaged-cultural-sites-ukraine-verified-unesco</w:t>
        </w:r>
      </w:hyperlink>
      <w:r w:rsidR="00676DEE">
        <w:rPr>
          <w:rFonts w:asciiTheme="minorHAnsi" w:hAnsiTheme="minorHAnsi" w:cstheme="minorHAnsi"/>
          <w:b w:val="0"/>
          <w:bCs w:val="0"/>
          <w:sz w:val="20"/>
          <w:szCs w:val="20"/>
        </w:rPr>
        <w:t>.</w:t>
      </w:r>
      <w:r w:rsidRPr="00256398">
        <w:rPr>
          <w:rFonts w:asciiTheme="minorHAnsi" w:hAnsiTheme="minorHAnsi" w:cstheme="minorHAnsi"/>
        </w:rPr>
        <w:t xml:space="preserve"> </w:t>
      </w:r>
    </w:p>
  </w:endnote>
  <w:endnote w:id="4">
    <w:p w14:paraId="67FD88D6" w14:textId="5B515DA5" w:rsidR="003F6725" w:rsidRPr="003E6F98" w:rsidRDefault="003F6725" w:rsidP="003E6F98">
      <w:pPr>
        <w:pStyle w:val="Heading1"/>
        <w:shd w:val="clear" w:color="auto" w:fill="FFFFFF"/>
        <w:spacing w:before="0" w:beforeAutospacing="0" w:after="0" w:afterAutospacing="0"/>
        <w:rPr>
          <w:rFonts w:asciiTheme="minorHAnsi" w:hAnsiTheme="minorHAnsi" w:cstheme="minorHAnsi"/>
          <w:b w:val="0"/>
          <w:bCs w:val="0"/>
          <w:color w:val="212121"/>
          <w:sz w:val="20"/>
          <w:szCs w:val="20"/>
        </w:rPr>
      </w:pPr>
      <w:r w:rsidRPr="003E6F98">
        <w:rPr>
          <w:rStyle w:val="EndnoteReference"/>
          <w:rFonts w:asciiTheme="minorHAnsi" w:hAnsiTheme="minorHAnsi" w:cstheme="minorHAnsi"/>
          <w:b w:val="0"/>
          <w:bCs w:val="0"/>
          <w:sz w:val="20"/>
          <w:szCs w:val="20"/>
        </w:rPr>
        <w:endnoteRef/>
      </w:r>
      <w:r w:rsidR="003E6F98" w:rsidRPr="003E6F98">
        <w:rPr>
          <w:rFonts w:asciiTheme="minorHAnsi" w:hAnsiTheme="minorHAnsi" w:cstheme="minorHAnsi"/>
          <w:b w:val="0"/>
          <w:bCs w:val="0"/>
          <w:sz w:val="20"/>
          <w:szCs w:val="20"/>
        </w:rPr>
        <w:t>UNESCO, “</w:t>
      </w:r>
      <w:r w:rsidR="003E6F98" w:rsidRPr="003E6F98">
        <w:rPr>
          <w:rFonts w:asciiTheme="minorHAnsi" w:hAnsiTheme="minorHAnsi" w:cstheme="minorHAnsi"/>
          <w:b w:val="0"/>
          <w:bCs w:val="0"/>
          <w:color w:val="212121"/>
          <w:sz w:val="20"/>
          <w:szCs w:val="20"/>
        </w:rPr>
        <w:t>Ensuring teaching and learning continues in Ukraine</w:t>
      </w:r>
      <w:r w:rsidR="003E6F98" w:rsidRPr="003E6F98">
        <w:rPr>
          <w:rFonts w:asciiTheme="minorHAnsi" w:hAnsiTheme="minorHAnsi" w:cstheme="minorHAnsi"/>
          <w:b w:val="0"/>
          <w:bCs w:val="0"/>
          <w:sz w:val="20"/>
          <w:szCs w:val="20"/>
        </w:rPr>
        <w:t xml:space="preserve">,” Last update June 8, 2022, </w:t>
      </w:r>
      <w:hyperlink r:id="rId4" w:anchor=":~:text=As%20of%2029%20May%2C%20a,Ukraine%20prior%20to%20the%20war" w:history="1">
        <w:r w:rsidR="003E6F98" w:rsidRPr="003E6F98">
          <w:rPr>
            <w:rStyle w:val="Hyperlink"/>
            <w:rFonts w:asciiTheme="minorHAnsi" w:hAnsiTheme="minorHAnsi" w:cstheme="minorHAnsi"/>
            <w:b w:val="0"/>
            <w:bCs w:val="0"/>
            <w:sz w:val="20"/>
            <w:szCs w:val="20"/>
          </w:rPr>
          <w:t>https://www.unesco.org/en/education/emergencies/ukraine#:~:text=As%20of%2029%20May%2C%20a,Ukraine%20prior%20to%20the%20war</w:t>
        </w:r>
      </w:hyperlink>
      <w:r w:rsidR="00676DEE">
        <w:rPr>
          <w:rFonts w:asciiTheme="minorHAnsi" w:hAnsiTheme="minorHAnsi" w:cstheme="minorHAnsi"/>
          <w:b w:val="0"/>
          <w:bCs w:val="0"/>
          <w:sz w:val="20"/>
          <w:szCs w:val="20"/>
        </w:rPr>
        <w:t>.</w:t>
      </w:r>
      <w:r w:rsidRPr="003E6F98">
        <w:rPr>
          <w:rFonts w:asciiTheme="minorHAnsi" w:hAnsiTheme="minorHAnsi" w:cstheme="minorHAnsi"/>
          <w:b w:val="0"/>
          <w:bCs w:val="0"/>
          <w:sz w:val="20"/>
          <w:szCs w:val="20"/>
        </w:rPr>
        <w:t xml:space="preserve"> </w:t>
      </w:r>
    </w:p>
  </w:endnote>
  <w:endnote w:id="5">
    <w:p w14:paraId="21F03D56" w14:textId="437FE864" w:rsidR="003F6725" w:rsidRDefault="003F6725">
      <w:pPr>
        <w:pStyle w:val="EndnoteText"/>
      </w:pPr>
      <w:r>
        <w:rPr>
          <w:rStyle w:val="EndnoteReference"/>
        </w:rPr>
        <w:endnoteRef/>
      </w:r>
      <w:r w:rsidR="00781324" w:rsidRPr="00781324">
        <w:t xml:space="preserve"> </w:t>
      </w:r>
      <w:r w:rsidR="00781324" w:rsidRPr="00781324">
        <w:rPr>
          <w:rFonts w:cstheme="minorHAnsi"/>
        </w:rPr>
        <w:t>UNESCO, “</w:t>
      </w:r>
      <w:r w:rsidR="00781324" w:rsidRPr="00781324">
        <w:rPr>
          <w:rFonts w:cstheme="minorHAnsi"/>
          <w:color w:val="212121"/>
        </w:rPr>
        <w:t xml:space="preserve">Damaged cultural sites in Ukraine verified by UNESCO,” May 31, 2022, </w:t>
      </w:r>
      <w:hyperlink r:id="rId5" w:history="1">
        <w:r w:rsidR="00676DEE" w:rsidRPr="00304412">
          <w:rPr>
            <w:rStyle w:val="Hyperlink"/>
          </w:rPr>
          <w:t>https://www.unesco.org/en/articles/damaged-cultural-sites-ukraine-verified-unesco</w:t>
        </w:r>
      </w:hyperlink>
      <w:r w:rsidR="00676DEE">
        <w:rPr>
          <w:rFonts w:cstheme="minorHAnsi"/>
          <w:color w:val="212121"/>
        </w:rPr>
        <w:t xml:space="preserve">. </w:t>
      </w:r>
    </w:p>
  </w:endnote>
  <w:endnote w:id="6">
    <w:p w14:paraId="1EAC2D1C" w14:textId="7CDAC04D" w:rsidR="00767CB8" w:rsidRDefault="00767CB8">
      <w:pPr>
        <w:pStyle w:val="EndnoteText"/>
      </w:pPr>
      <w:r>
        <w:rPr>
          <w:rStyle w:val="EndnoteReference"/>
        </w:rPr>
        <w:endnoteRef/>
      </w:r>
      <w:r>
        <w:t xml:space="preserve"> ALA, Ukrainian Library Relief Fund, </w:t>
      </w:r>
      <w:hyperlink r:id="rId6" w:history="1">
        <w:r w:rsidR="00676DEE" w:rsidRPr="00C37FC5">
          <w:rPr>
            <w:rStyle w:val="Hyperlink"/>
          </w:rPr>
          <w:t>https://www.ala.org/aboutala/ukraine-library-relief-fund</w:t>
        </w:r>
      </w:hyperlink>
      <w:r w:rsidR="00676DEE">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E8DC" w14:textId="77777777" w:rsidR="007F2174" w:rsidRDefault="007F2174" w:rsidP="003F6725">
      <w:pPr>
        <w:spacing w:after="0" w:line="240" w:lineRule="auto"/>
      </w:pPr>
      <w:r>
        <w:separator/>
      </w:r>
    </w:p>
  </w:footnote>
  <w:footnote w:type="continuationSeparator" w:id="0">
    <w:p w14:paraId="10285668" w14:textId="77777777" w:rsidR="007F2174" w:rsidRDefault="007F2174" w:rsidP="003F6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BFE"/>
    <w:multiLevelType w:val="multilevel"/>
    <w:tmpl w:val="71EA8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7BE1FEC"/>
    <w:multiLevelType w:val="hybridMultilevel"/>
    <w:tmpl w:val="8FA2BF80"/>
    <w:lvl w:ilvl="0" w:tplc="7BFA9646">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36614">
    <w:abstractNumId w:val="1"/>
  </w:num>
  <w:num w:numId="2" w16cid:durableId="106085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25"/>
    <w:rsid w:val="00256398"/>
    <w:rsid w:val="00260E65"/>
    <w:rsid w:val="002C7CDC"/>
    <w:rsid w:val="003625CA"/>
    <w:rsid w:val="00366BC6"/>
    <w:rsid w:val="003E6F98"/>
    <w:rsid w:val="003F6725"/>
    <w:rsid w:val="00410AA4"/>
    <w:rsid w:val="00415E4F"/>
    <w:rsid w:val="00472D59"/>
    <w:rsid w:val="004A5F03"/>
    <w:rsid w:val="004F6948"/>
    <w:rsid w:val="006507BE"/>
    <w:rsid w:val="00666FCB"/>
    <w:rsid w:val="00676DEE"/>
    <w:rsid w:val="00677C70"/>
    <w:rsid w:val="00684222"/>
    <w:rsid w:val="006C572C"/>
    <w:rsid w:val="00767409"/>
    <w:rsid w:val="00767CB8"/>
    <w:rsid w:val="00781324"/>
    <w:rsid w:val="00782450"/>
    <w:rsid w:val="007F2174"/>
    <w:rsid w:val="008F542F"/>
    <w:rsid w:val="009A76FB"/>
    <w:rsid w:val="009B4799"/>
    <w:rsid w:val="00A45D78"/>
    <w:rsid w:val="00A518E7"/>
    <w:rsid w:val="00A94E62"/>
    <w:rsid w:val="00B46032"/>
    <w:rsid w:val="00B562C4"/>
    <w:rsid w:val="00B96AC2"/>
    <w:rsid w:val="00BB39C5"/>
    <w:rsid w:val="00D41484"/>
    <w:rsid w:val="00D51C26"/>
    <w:rsid w:val="00DA5193"/>
    <w:rsid w:val="00E07E7E"/>
    <w:rsid w:val="00E1232C"/>
    <w:rsid w:val="00E51CD8"/>
    <w:rsid w:val="00EA1970"/>
    <w:rsid w:val="00EC382A"/>
    <w:rsid w:val="00F10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07D7"/>
  <w15:chartTrackingRefBased/>
  <w15:docId w15:val="{4EE6ACF5-7A35-41C2-9DB7-BA7A3893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25"/>
  </w:style>
  <w:style w:type="paragraph" w:styleId="Heading1">
    <w:name w:val="heading 1"/>
    <w:basedOn w:val="Normal"/>
    <w:link w:val="Heading1Char"/>
    <w:uiPriority w:val="9"/>
    <w:qFormat/>
    <w:rsid w:val="002563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725"/>
    <w:rPr>
      <w:color w:val="0000FF"/>
      <w:u w:val="single"/>
    </w:rPr>
  </w:style>
  <w:style w:type="character" w:styleId="Strong">
    <w:name w:val="Strong"/>
    <w:basedOn w:val="DefaultParagraphFont"/>
    <w:uiPriority w:val="22"/>
    <w:qFormat/>
    <w:rsid w:val="003F6725"/>
    <w:rPr>
      <w:b/>
      <w:bCs/>
    </w:rPr>
  </w:style>
  <w:style w:type="paragraph" w:styleId="EndnoteText">
    <w:name w:val="endnote text"/>
    <w:basedOn w:val="Normal"/>
    <w:link w:val="EndnoteTextChar"/>
    <w:uiPriority w:val="99"/>
    <w:semiHidden/>
    <w:unhideWhenUsed/>
    <w:rsid w:val="003F6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725"/>
    <w:rPr>
      <w:sz w:val="20"/>
      <w:szCs w:val="20"/>
    </w:rPr>
  </w:style>
  <w:style w:type="character" w:styleId="EndnoteReference">
    <w:name w:val="endnote reference"/>
    <w:basedOn w:val="DefaultParagraphFont"/>
    <w:uiPriority w:val="99"/>
    <w:semiHidden/>
    <w:unhideWhenUsed/>
    <w:rsid w:val="003F6725"/>
    <w:rPr>
      <w:vertAlign w:val="superscript"/>
    </w:rPr>
  </w:style>
  <w:style w:type="paragraph" w:styleId="ListParagraph">
    <w:name w:val="List Paragraph"/>
    <w:basedOn w:val="Normal"/>
    <w:uiPriority w:val="34"/>
    <w:qFormat/>
    <w:rsid w:val="003F6725"/>
    <w:pPr>
      <w:ind w:left="720"/>
      <w:contextualSpacing/>
    </w:pPr>
  </w:style>
  <w:style w:type="character" w:styleId="CommentReference">
    <w:name w:val="annotation reference"/>
    <w:basedOn w:val="DefaultParagraphFont"/>
    <w:uiPriority w:val="99"/>
    <w:semiHidden/>
    <w:unhideWhenUsed/>
    <w:rsid w:val="003F6725"/>
    <w:rPr>
      <w:sz w:val="16"/>
      <w:szCs w:val="16"/>
    </w:rPr>
  </w:style>
  <w:style w:type="paragraph" w:styleId="CommentText">
    <w:name w:val="annotation text"/>
    <w:basedOn w:val="Normal"/>
    <w:link w:val="CommentTextChar"/>
    <w:uiPriority w:val="99"/>
    <w:semiHidden/>
    <w:unhideWhenUsed/>
    <w:rsid w:val="003F6725"/>
    <w:pPr>
      <w:spacing w:line="240" w:lineRule="auto"/>
    </w:pPr>
    <w:rPr>
      <w:sz w:val="20"/>
      <w:szCs w:val="20"/>
    </w:rPr>
  </w:style>
  <w:style w:type="character" w:customStyle="1" w:styleId="CommentTextChar">
    <w:name w:val="Comment Text Char"/>
    <w:basedOn w:val="DefaultParagraphFont"/>
    <w:link w:val="CommentText"/>
    <w:uiPriority w:val="99"/>
    <w:semiHidden/>
    <w:rsid w:val="003F6725"/>
    <w:rPr>
      <w:sz w:val="20"/>
      <w:szCs w:val="20"/>
    </w:rPr>
  </w:style>
  <w:style w:type="paragraph" w:styleId="CommentSubject">
    <w:name w:val="annotation subject"/>
    <w:basedOn w:val="CommentText"/>
    <w:next w:val="CommentText"/>
    <w:link w:val="CommentSubjectChar"/>
    <w:uiPriority w:val="99"/>
    <w:semiHidden/>
    <w:unhideWhenUsed/>
    <w:rsid w:val="003F6725"/>
    <w:rPr>
      <w:b/>
      <w:bCs/>
    </w:rPr>
  </w:style>
  <w:style w:type="character" w:customStyle="1" w:styleId="CommentSubjectChar">
    <w:name w:val="Comment Subject Char"/>
    <w:basedOn w:val="CommentTextChar"/>
    <w:link w:val="CommentSubject"/>
    <w:uiPriority w:val="99"/>
    <w:semiHidden/>
    <w:rsid w:val="003F6725"/>
    <w:rPr>
      <w:b/>
      <w:bCs/>
      <w:sz w:val="20"/>
      <w:szCs w:val="20"/>
    </w:rPr>
  </w:style>
  <w:style w:type="character" w:styleId="UnresolvedMention">
    <w:name w:val="Unresolved Mention"/>
    <w:basedOn w:val="DefaultParagraphFont"/>
    <w:uiPriority w:val="99"/>
    <w:semiHidden/>
    <w:unhideWhenUsed/>
    <w:rsid w:val="003F6725"/>
    <w:rPr>
      <w:color w:val="605E5C"/>
      <w:shd w:val="clear" w:color="auto" w:fill="E1DFDD"/>
    </w:rPr>
  </w:style>
  <w:style w:type="character" w:styleId="FollowedHyperlink">
    <w:name w:val="FollowedHyperlink"/>
    <w:basedOn w:val="DefaultParagraphFont"/>
    <w:uiPriority w:val="99"/>
    <w:semiHidden/>
    <w:unhideWhenUsed/>
    <w:rsid w:val="003F6725"/>
    <w:rPr>
      <w:color w:val="954F72" w:themeColor="followedHyperlink"/>
      <w:u w:val="single"/>
    </w:rPr>
  </w:style>
  <w:style w:type="character" w:customStyle="1" w:styleId="Heading1Char">
    <w:name w:val="Heading 1 Char"/>
    <w:basedOn w:val="DefaultParagraphFont"/>
    <w:link w:val="Heading1"/>
    <w:uiPriority w:val="9"/>
    <w:rsid w:val="002563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525">
      <w:bodyDiv w:val="1"/>
      <w:marLeft w:val="0"/>
      <w:marRight w:val="0"/>
      <w:marTop w:val="0"/>
      <w:marBottom w:val="0"/>
      <w:divBdr>
        <w:top w:val="none" w:sz="0" w:space="0" w:color="auto"/>
        <w:left w:val="none" w:sz="0" w:space="0" w:color="auto"/>
        <w:bottom w:val="none" w:sz="0" w:space="0" w:color="auto"/>
        <w:right w:val="none" w:sz="0" w:space="0" w:color="auto"/>
      </w:divBdr>
    </w:div>
    <w:div w:id="2072195745">
      <w:bodyDiv w:val="1"/>
      <w:marLeft w:val="0"/>
      <w:marRight w:val="0"/>
      <w:marTop w:val="0"/>
      <w:marBottom w:val="0"/>
      <w:divBdr>
        <w:top w:val="none" w:sz="0" w:space="0" w:color="auto"/>
        <w:left w:val="none" w:sz="0" w:space="0" w:color="auto"/>
        <w:bottom w:val="none" w:sz="0" w:space="0" w:color="auto"/>
        <w:right w:val="none" w:sz="0" w:space="0" w:color="auto"/>
      </w:divBdr>
    </w:div>
    <w:div w:id="21299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nesco.org/en/articles/damaged-cultural-sites-ukraine-verified-unesco" TargetMode="External"/><Relationship Id="rId2" Type="http://schemas.openxmlformats.org/officeDocument/2006/relationships/hyperlink" Target="https://www.ala.org/aboutala/offices/iro/awardsactivities/resolutiondestrution" TargetMode="External"/><Relationship Id="rId1" Type="http://schemas.openxmlformats.org/officeDocument/2006/relationships/hyperlink" Target="https://www.ala.org/aboutala/governance/policymanual/updatedpolicymanual/section2/53intellfreedom" TargetMode="External"/><Relationship Id="rId6" Type="http://schemas.openxmlformats.org/officeDocument/2006/relationships/hyperlink" Target="https://www.ala.org/aboutala/ukraine-library-relief-fund" TargetMode="External"/><Relationship Id="rId5" Type="http://schemas.openxmlformats.org/officeDocument/2006/relationships/hyperlink" Target="https://www.unesco.org/en/articles/damaged-cultural-sites-ukraine-verified-unesco" TargetMode="External"/><Relationship Id="rId4" Type="http://schemas.openxmlformats.org/officeDocument/2006/relationships/hyperlink" Target="https://www.unesco.org/en/education/emergencie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510F-35E1-49CC-AB04-EC9C877E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Twiss, Thomas Marshall</dc:creator>
  <cp:keywords/>
  <dc:description/>
  <cp:lastModifiedBy>Dobbs, Aaron</cp:lastModifiedBy>
  <cp:revision>15</cp:revision>
  <dcterms:created xsi:type="dcterms:W3CDTF">2022-06-08T20:55:00Z</dcterms:created>
  <dcterms:modified xsi:type="dcterms:W3CDTF">2022-06-21T13:51:00Z</dcterms:modified>
</cp:coreProperties>
</file>