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B8647" w14:textId="77777777" w:rsidR="00B76E1A" w:rsidRPr="00B76E1A" w:rsidRDefault="00B76E1A" w:rsidP="00B76E1A">
      <w:pPr>
        <w:spacing w:after="0" w:line="240" w:lineRule="auto"/>
        <w:rPr>
          <w:bCs/>
        </w:rPr>
      </w:pPr>
      <w:r w:rsidRPr="00B76E1A">
        <w:rPr>
          <w:b/>
        </w:rPr>
        <w:t xml:space="preserve">TO: </w:t>
      </w:r>
      <w:r w:rsidRPr="00B76E1A">
        <w:rPr>
          <w:b/>
        </w:rPr>
        <w:tab/>
      </w:r>
      <w:r w:rsidRPr="00B76E1A">
        <w:rPr>
          <w:b/>
        </w:rPr>
        <w:tab/>
      </w:r>
      <w:r w:rsidRPr="00B76E1A">
        <w:rPr>
          <w:bCs/>
        </w:rPr>
        <w:t>PLA Board of Directors</w:t>
      </w:r>
    </w:p>
    <w:p w14:paraId="2FAB1E5F" w14:textId="77777777" w:rsidR="00B76E1A" w:rsidRPr="00B76E1A" w:rsidRDefault="00B76E1A" w:rsidP="00B76E1A">
      <w:pPr>
        <w:spacing w:after="0" w:line="240" w:lineRule="auto"/>
      </w:pPr>
      <w:r w:rsidRPr="00B76E1A">
        <w:rPr>
          <w:b/>
        </w:rPr>
        <w:t>RE:</w:t>
      </w:r>
      <w:r w:rsidRPr="00B76E1A">
        <w:tab/>
      </w:r>
      <w:r w:rsidRPr="00B76E1A">
        <w:tab/>
      </w:r>
      <w:r>
        <w:t xml:space="preserve">FY20 </w:t>
      </w:r>
      <w:r w:rsidR="00F94CED">
        <w:t>Budget for Final Approval</w:t>
      </w:r>
    </w:p>
    <w:p w14:paraId="52B8EE6A" w14:textId="77777777" w:rsidR="00B76E1A" w:rsidRPr="00B76E1A" w:rsidRDefault="00B76E1A" w:rsidP="00B76E1A">
      <w:pPr>
        <w:spacing w:after="0" w:line="240" w:lineRule="auto"/>
      </w:pPr>
      <w:r w:rsidRPr="00B76E1A">
        <w:rPr>
          <w:b/>
        </w:rPr>
        <w:t>DATE:</w:t>
      </w:r>
      <w:r w:rsidRPr="00B76E1A">
        <w:tab/>
      </w:r>
      <w:r w:rsidRPr="00B76E1A">
        <w:tab/>
      </w:r>
      <w:r w:rsidR="00F94CED">
        <w:t>August 23, 2019</w:t>
      </w:r>
      <w:bookmarkStart w:id="0" w:name="_GoBack"/>
      <w:bookmarkEnd w:id="0"/>
    </w:p>
    <w:p w14:paraId="1B9F326D" w14:textId="77777777" w:rsidR="00B76E1A" w:rsidRDefault="00B76E1A" w:rsidP="00B76E1A">
      <w:pPr>
        <w:spacing w:after="0" w:line="240" w:lineRule="auto"/>
      </w:pPr>
    </w:p>
    <w:p w14:paraId="455E31E0" w14:textId="77777777" w:rsidR="007A18CD" w:rsidRPr="00B76E1A" w:rsidRDefault="007A18CD" w:rsidP="00B76E1A">
      <w:pPr>
        <w:spacing w:after="0" w:line="240" w:lineRule="auto"/>
      </w:pPr>
    </w:p>
    <w:p w14:paraId="49AC33A5" w14:textId="77777777" w:rsidR="00B76E1A" w:rsidRPr="00B76E1A" w:rsidRDefault="00B76E1A" w:rsidP="00B76E1A">
      <w:pPr>
        <w:spacing w:after="0" w:line="240" w:lineRule="auto"/>
        <w:rPr>
          <w:b/>
        </w:rPr>
      </w:pPr>
      <w:r w:rsidRPr="00B76E1A">
        <w:rPr>
          <w:b/>
        </w:rPr>
        <w:t>ACTION REQUESTED/INFORMATION/REPORT:</w:t>
      </w:r>
    </w:p>
    <w:p w14:paraId="6E460F8A" w14:textId="77777777" w:rsidR="00B76E1A" w:rsidRPr="00B76E1A" w:rsidRDefault="00EC0317" w:rsidP="00B76E1A">
      <w:pPr>
        <w:spacing w:after="0" w:line="240" w:lineRule="auto"/>
        <w:ind w:firstLine="720"/>
      </w:pPr>
      <w:r>
        <w:t>ACTION</w:t>
      </w:r>
    </w:p>
    <w:p w14:paraId="10CF0FBB" w14:textId="77777777" w:rsidR="00B76E1A" w:rsidRPr="00B76E1A" w:rsidRDefault="00B76E1A" w:rsidP="00391876">
      <w:pPr>
        <w:spacing w:after="0" w:line="240" w:lineRule="auto"/>
      </w:pPr>
      <w:r w:rsidRPr="00B76E1A">
        <w:rPr>
          <w:b/>
        </w:rPr>
        <w:t>ACTION REQUESTED BY:</w:t>
      </w:r>
      <w:r w:rsidRPr="00B76E1A">
        <w:rPr>
          <w:b/>
        </w:rPr>
        <w:tab/>
      </w:r>
      <w:r w:rsidRPr="00B76E1A">
        <w:t>N/A</w:t>
      </w:r>
    </w:p>
    <w:p w14:paraId="729B304E" w14:textId="77777777" w:rsidR="00B76E1A" w:rsidRDefault="00B76E1A" w:rsidP="00391876">
      <w:pPr>
        <w:spacing w:after="0" w:line="240" w:lineRule="auto"/>
      </w:pPr>
      <w:r w:rsidRPr="00B76E1A">
        <w:rPr>
          <w:b/>
        </w:rPr>
        <w:t>DRAFT OF MOTION:</w:t>
      </w:r>
      <w:r w:rsidR="00391876">
        <w:rPr>
          <w:b/>
        </w:rPr>
        <w:tab/>
      </w:r>
      <w:r w:rsidR="00391876">
        <w:rPr>
          <w:b/>
        </w:rPr>
        <w:tab/>
      </w:r>
    </w:p>
    <w:p w14:paraId="46990317" w14:textId="77777777" w:rsidR="00EC0317" w:rsidRPr="00B76E1A" w:rsidRDefault="00CA43AF" w:rsidP="00391876">
      <w:pPr>
        <w:spacing w:after="0" w:line="240" w:lineRule="auto"/>
      </w:pPr>
      <w:r>
        <w:t>That the PLA B</w:t>
      </w:r>
      <w:r w:rsidR="00EC0317">
        <w:t>oard</w:t>
      </w:r>
      <w:r>
        <w:t xml:space="preserve"> of Directors</w:t>
      </w:r>
      <w:r w:rsidR="00EC0317">
        <w:t xml:space="preserve"> approve the FY20 budget as presented.  </w:t>
      </w:r>
    </w:p>
    <w:p w14:paraId="771872C7" w14:textId="77777777" w:rsidR="00F47C2C" w:rsidRDefault="00F47C2C" w:rsidP="00B76E1A">
      <w:pPr>
        <w:spacing w:after="0" w:line="240" w:lineRule="auto"/>
      </w:pPr>
    </w:p>
    <w:p w14:paraId="7FF82BEF" w14:textId="77777777" w:rsidR="00CA43AF" w:rsidRDefault="00CA43AF" w:rsidP="00B76E1A">
      <w:pPr>
        <w:spacing w:after="0" w:line="240" w:lineRule="auto"/>
      </w:pPr>
    </w:p>
    <w:p w14:paraId="6EBA6289" w14:textId="77777777" w:rsidR="00EC0317" w:rsidRPr="00EC0317" w:rsidRDefault="00EC0317" w:rsidP="00B76E1A">
      <w:pPr>
        <w:spacing w:after="0" w:line="240" w:lineRule="auto"/>
        <w:rPr>
          <w:u w:val="single"/>
        </w:rPr>
      </w:pPr>
      <w:r w:rsidRPr="00EC0317">
        <w:rPr>
          <w:u w:val="single"/>
        </w:rPr>
        <w:t>FY20 Budget Overview</w:t>
      </w:r>
    </w:p>
    <w:p w14:paraId="7F632591" w14:textId="77777777" w:rsidR="00B76E1A" w:rsidRDefault="00B76E1A" w:rsidP="00B76E1A">
      <w:pPr>
        <w:spacing w:after="0" w:line="240" w:lineRule="auto"/>
      </w:pPr>
      <w:r>
        <w:t>In accordance with ALA’s budgeting deadlines, PLA has completed a</w:t>
      </w:r>
      <w:r w:rsidR="0063336E">
        <w:t xml:space="preserve"> </w:t>
      </w:r>
      <w:r w:rsidR="00F94CED">
        <w:t>third</w:t>
      </w:r>
      <w:r w:rsidR="001B1E75">
        <w:t xml:space="preserve"> draft</w:t>
      </w:r>
      <w:r w:rsidR="00F03950">
        <w:t xml:space="preserve"> </w:t>
      </w:r>
      <w:r w:rsidR="0063336E">
        <w:t xml:space="preserve">of </w:t>
      </w:r>
      <w:r>
        <w:t>its</w:t>
      </w:r>
      <w:r w:rsidR="0063336E">
        <w:t xml:space="preserve"> </w:t>
      </w:r>
      <w:r w:rsidR="007302EF">
        <w:t>FY20</w:t>
      </w:r>
      <w:r w:rsidR="00784F0E">
        <w:t>20</w:t>
      </w:r>
      <w:r w:rsidR="001B1E75">
        <w:t xml:space="preserve"> </w:t>
      </w:r>
      <w:r w:rsidR="007A18CD">
        <w:t xml:space="preserve">budget </w:t>
      </w:r>
      <w:r w:rsidR="007302EF">
        <w:t>(September 1, 201</w:t>
      </w:r>
      <w:r w:rsidR="00784F0E">
        <w:t>9</w:t>
      </w:r>
      <w:r w:rsidR="007302EF">
        <w:t>-August 31, 20</w:t>
      </w:r>
      <w:r w:rsidR="00784F0E">
        <w:t>20</w:t>
      </w:r>
      <w:r w:rsidR="00BA3DF0">
        <w:t>)</w:t>
      </w:r>
      <w:r w:rsidR="007A18CD">
        <w:t xml:space="preserve">. </w:t>
      </w:r>
      <w:r w:rsidR="00F94CED">
        <w:t>This version includes changes dete</w:t>
      </w:r>
      <w:r w:rsidR="007A18CD">
        <w:t>rmined at the 2019 Annual C</w:t>
      </w:r>
      <w:r w:rsidR="00F94CED">
        <w:t xml:space="preserve">onference PLA board meeting. </w:t>
      </w:r>
      <w:r>
        <w:t>A summary by project</w:t>
      </w:r>
      <w:r w:rsidR="00F94CED">
        <w:t xml:space="preserve"> as well as a summary of the general fund (non-grant) budget by line are</w:t>
      </w:r>
      <w:r>
        <w:t xml:space="preserve"> </w:t>
      </w:r>
      <w:r w:rsidR="00F47C2C">
        <w:t>attached to this report.</w:t>
      </w:r>
    </w:p>
    <w:p w14:paraId="19A51900" w14:textId="77777777" w:rsidR="00B76E1A" w:rsidRDefault="00B76E1A" w:rsidP="00B76E1A">
      <w:pPr>
        <w:spacing w:after="0" w:line="240" w:lineRule="auto"/>
      </w:pPr>
    </w:p>
    <w:tbl>
      <w:tblPr>
        <w:tblStyle w:val="TableGrid"/>
        <w:tblW w:w="0" w:type="auto"/>
        <w:tblInd w:w="828" w:type="dxa"/>
        <w:tblLook w:val="04A0" w:firstRow="1" w:lastRow="0" w:firstColumn="1" w:lastColumn="0" w:noHBand="0" w:noVBand="1"/>
      </w:tblPr>
      <w:tblGrid>
        <w:gridCol w:w="1530"/>
        <w:gridCol w:w="1590"/>
        <w:gridCol w:w="1590"/>
        <w:gridCol w:w="1590"/>
        <w:gridCol w:w="1590"/>
      </w:tblGrid>
      <w:tr w:rsidR="003C15AC" w:rsidRPr="00B76E1A" w14:paraId="0D584780" w14:textId="77777777" w:rsidTr="003C15AC">
        <w:tc>
          <w:tcPr>
            <w:tcW w:w="1530" w:type="dxa"/>
          </w:tcPr>
          <w:p w14:paraId="6DBCC913" w14:textId="77777777" w:rsidR="003C15AC" w:rsidRPr="00B76E1A" w:rsidRDefault="003C15AC" w:rsidP="00B76E1A">
            <w:pPr>
              <w:rPr>
                <w:b/>
              </w:rPr>
            </w:pPr>
            <w:r w:rsidRPr="00B76E1A">
              <w:rPr>
                <w:b/>
              </w:rPr>
              <w:t>Projects</w:t>
            </w:r>
          </w:p>
        </w:tc>
        <w:tc>
          <w:tcPr>
            <w:tcW w:w="1590" w:type="dxa"/>
          </w:tcPr>
          <w:p w14:paraId="7E7AC0F4" w14:textId="77777777" w:rsidR="003C15AC" w:rsidRPr="00B76E1A" w:rsidRDefault="003C15AC" w:rsidP="00B76E1A">
            <w:pPr>
              <w:rPr>
                <w:b/>
              </w:rPr>
            </w:pPr>
            <w:r w:rsidRPr="00B76E1A">
              <w:rPr>
                <w:b/>
              </w:rPr>
              <w:t xml:space="preserve">Revenue </w:t>
            </w:r>
          </w:p>
        </w:tc>
        <w:tc>
          <w:tcPr>
            <w:tcW w:w="1590" w:type="dxa"/>
          </w:tcPr>
          <w:p w14:paraId="464955F0" w14:textId="77777777" w:rsidR="003C15AC" w:rsidRPr="00B76E1A" w:rsidRDefault="003C15AC" w:rsidP="00B76E1A">
            <w:pPr>
              <w:rPr>
                <w:b/>
              </w:rPr>
            </w:pPr>
            <w:r w:rsidRPr="00B76E1A">
              <w:rPr>
                <w:b/>
              </w:rPr>
              <w:t>Expenses</w:t>
            </w:r>
          </w:p>
        </w:tc>
        <w:tc>
          <w:tcPr>
            <w:tcW w:w="1590" w:type="dxa"/>
          </w:tcPr>
          <w:p w14:paraId="0672B76D" w14:textId="77777777" w:rsidR="003C15AC" w:rsidRPr="00B76E1A" w:rsidRDefault="003C15AC" w:rsidP="00B76E1A">
            <w:pPr>
              <w:rPr>
                <w:b/>
              </w:rPr>
            </w:pPr>
            <w:r>
              <w:rPr>
                <w:b/>
              </w:rPr>
              <w:t>Overhead</w:t>
            </w:r>
          </w:p>
        </w:tc>
        <w:tc>
          <w:tcPr>
            <w:tcW w:w="1590" w:type="dxa"/>
          </w:tcPr>
          <w:p w14:paraId="79F37EE6" w14:textId="77777777" w:rsidR="003C15AC" w:rsidRPr="00B76E1A" w:rsidRDefault="003C15AC" w:rsidP="00B76E1A">
            <w:pPr>
              <w:rPr>
                <w:b/>
              </w:rPr>
            </w:pPr>
            <w:r w:rsidRPr="00B76E1A">
              <w:rPr>
                <w:b/>
              </w:rPr>
              <w:t>Net</w:t>
            </w:r>
          </w:p>
        </w:tc>
      </w:tr>
      <w:tr w:rsidR="003C15AC" w14:paraId="2258872E" w14:textId="77777777" w:rsidTr="003C15AC">
        <w:tc>
          <w:tcPr>
            <w:tcW w:w="1530" w:type="dxa"/>
          </w:tcPr>
          <w:p w14:paraId="0EBBBC6A" w14:textId="77777777" w:rsidR="003C15AC" w:rsidRDefault="003C15AC" w:rsidP="00B76E1A">
            <w:r>
              <w:t>General Fund</w:t>
            </w:r>
          </w:p>
        </w:tc>
        <w:tc>
          <w:tcPr>
            <w:tcW w:w="1590" w:type="dxa"/>
          </w:tcPr>
          <w:p w14:paraId="5337E9DA" w14:textId="77777777" w:rsidR="003C15AC" w:rsidRDefault="003C15AC" w:rsidP="003C4E66">
            <w:pPr>
              <w:jc w:val="right"/>
            </w:pPr>
            <w:r>
              <w:t>$1,006,250</w:t>
            </w:r>
          </w:p>
        </w:tc>
        <w:tc>
          <w:tcPr>
            <w:tcW w:w="1590" w:type="dxa"/>
          </w:tcPr>
          <w:p w14:paraId="231324A4" w14:textId="77777777" w:rsidR="003C15AC" w:rsidRDefault="003C15AC" w:rsidP="003C4E66">
            <w:pPr>
              <w:jc w:val="right"/>
            </w:pPr>
            <w:r>
              <w:t>$1,</w:t>
            </w:r>
            <w:r w:rsidR="00F94CED">
              <w:t>769,532</w:t>
            </w:r>
          </w:p>
        </w:tc>
        <w:tc>
          <w:tcPr>
            <w:tcW w:w="1590" w:type="dxa"/>
          </w:tcPr>
          <w:p w14:paraId="30717641" w14:textId="77777777" w:rsidR="003C15AC" w:rsidRDefault="003C15AC" w:rsidP="003C4E66">
            <w:pPr>
              <w:jc w:val="right"/>
            </w:pPr>
            <w:r>
              <w:t>$66,613</w:t>
            </w:r>
          </w:p>
        </w:tc>
        <w:tc>
          <w:tcPr>
            <w:tcW w:w="1590" w:type="dxa"/>
          </w:tcPr>
          <w:p w14:paraId="0BD26AD1" w14:textId="77777777" w:rsidR="003C15AC" w:rsidRDefault="00F94CED" w:rsidP="003C4E66">
            <w:pPr>
              <w:jc w:val="right"/>
            </w:pPr>
            <w:r>
              <w:t>($829,895)</w:t>
            </w:r>
          </w:p>
        </w:tc>
      </w:tr>
      <w:tr w:rsidR="003C15AC" w14:paraId="6FC0B0EA" w14:textId="77777777" w:rsidTr="003C15AC">
        <w:tc>
          <w:tcPr>
            <w:tcW w:w="1530" w:type="dxa"/>
          </w:tcPr>
          <w:p w14:paraId="3946AC7B" w14:textId="77777777" w:rsidR="003C15AC" w:rsidRDefault="003C15AC" w:rsidP="00B76E1A">
            <w:r>
              <w:t>Conference</w:t>
            </w:r>
          </w:p>
        </w:tc>
        <w:tc>
          <w:tcPr>
            <w:tcW w:w="1590" w:type="dxa"/>
          </w:tcPr>
          <w:p w14:paraId="6753AA12" w14:textId="77777777" w:rsidR="003C15AC" w:rsidRDefault="003C15AC" w:rsidP="003C4E66">
            <w:pPr>
              <w:jc w:val="right"/>
            </w:pPr>
            <w:r>
              <w:t>$3,712,365</w:t>
            </w:r>
          </w:p>
        </w:tc>
        <w:tc>
          <w:tcPr>
            <w:tcW w:w="1590" w:type="dxa"/>
          </w:tcPr>
          <w:p w14:paraId="0FB06802" w14:textId="77777777" w:rsidR="003C15AC" w:rsidRDefault="003C15AC" w:rsidP="003C4E66">
            <w:pPr>
              <w:jc w:val="right"/>
            </w:pPr>
            <w:r>
              <w:t>$1,</w:t>
            </w:r>
            <w:r w:rsidR="00F94CED">
              <w:t>895,476</w:t>
            </w:r>
          </w:p>
        </w:tc>
        <w:tc>
          <w:tcPr>
            <w:tcW w:w="1590" w:type="dxa"/>
          </w:tcPr>
          <w:p w14:paraId="7D92C4AD" w14:textId="77777777" w:rsidR="003C15AC" w:rsidRDefault="003C15AC" w:rsidP="003C4E66">
            <w:pPr>
              <w:jc w:val="right"/>
            </w:pPr>
            <w:r>
              <w:t>$874,730</w:t>
            </w:r>
          </w:p>
        </w:tc>
        <w:tc>
          <w:tcPr>
            <w:tcW w:w="1590" w:type="dxa"/>
          </w:tcPr>
          <w:p w14:paraId="02902AA5" w14:textId="77777777" w:rsidR="003C15AC" w:rsidRDefault="00F94CED" w:rsidP="003C4E66">
            <w:pPr>
              <w:jc w:val="right"/>
            </w:pPr>
            <w:r>
              <w:t>$942,159</w:t>
            </w:r>
          </w:p>
        </w:tc>
      </w:tr>
      <w:tr w:rsidR="003C15AC" w14:paraId="21E71A4F" w14:textId="77777777" w:rsidTr="003C15AC">
        <w:tc>
          <w:tcPr>
            <w:tcW w:w="1530" w:type="dxa"/>
          </w:tcPr>
          <w:p w14:paraId="4E4FEAF5" w14:textId="77777777" w:rsidR="003C15AC" w:rsidRDefault="003C15AC" w:rsidP="00B76E1A">
            <w:r>
              <w:t>Grants</w:t>
            </w:r>
          </w:p>
        </w:tc>
        <w:tc>
          <w:tcPr>
            <w:tcW w:w="1590" w:type="dxa"/>
          </w:tcPr>
          <w:p w14:paraId="6AF5A3C6" w14:textId="77777777" w:rsidR="003C15AC" w:rsidRDefault="003C15AC" w:rsidP="003C4E66">
            <w:pPr>
              <w:jc w:val="right"/>
            </w:pPr>
            <w:r>
              <w:t>$1,</w:t>
            </w:r>
            <w:r w:rsidR="00F94CED">
              <w:t>934,813</w:t>
            </w:r>
          </w:p>
        </w:tc>
        <w:tc>
          <w:tcPr>
            <w:tcW w:w="1590" w:type="dxa"/>
          </w:tcPr>
          <w:p w14:paraId="6C98DCE9" w14:textId="77777777" w:rsidR="003C15AC" w:rsidRDefault="00F94CED" w:rsidP="003C4E66">
            <w:pPr>
              <w:jc w:val="right"/>
            </w:pPr>
            <w:r>
              <w:t>$1,879,091</w:t>
            </w:r>
          </w:p>
        </w:tc>
        <w:tc>
          <w:tcPr>
            <w:tcW w:w="1590" w:type="dxa"/>
          </w:tcPr>
          <w:p w14:paraId="3F5FCBC2" w14:textId="77777777" w:rsidR="003C15AC" w:rsidRDefault="00F94CED" w:rsidP="003C4E66">
            <w:pPr>
              <w:jc w:val="right"/>
            </w:pPr>
            <w:r>
              <w:t>$55,722</w:t>
            </w:r>
          </w:p>
        </w:tc>
        <w:tc>
          <w:tcPr>
            <w:tcW w:w="1590" w:type="dxa"/>
          </w:tcPr>
          <w:p w14:paraId="5918A7B8" w14:textId="77777777" w:rsidR="003C15AC" w:rsidRDefault="003C15AC" w:rsidP="003C4E66">
            <w:pPr>
              <w:jc w:val="right"/>
            </w:pPr>
            <w:r>
              <w:t>$0</w:t>
            </w:r>
          </w:p>
        </w:tc>
      </w:tr>
      <w:tr w:rsidR="003C15AC" w:rsidRPr="003C4E66" w14:paraId="5463CDBE" w14:textId="77777777" w:rsidTr="003C15AC">
        <w:tc>
          <w:tcPr>
            <w:tcW w:w="1530" w:type="dxa"/>
          </w:tcPr>
          <w:p w14:paraId="39E901B8" w14:textId="77777777" w:rsidR="003C15AC" w:rsidRPr="003C4E66" w:rsidRDefault="003C15AC" w:rsidP="00B76E1A">
            <w:pPr>
              <w:jc w:val="right"/>
              <w:rPr>
                <w:b/>
              </w:rPr>
            </w:pPr>
            <w:r w:rsidRPr="003C4E66">
              <w:rPr>
                <w:b/>
              </w:rPr>
              <w:t>TOTALS</w:t>
            </w:r>
          </w:p>
        </w:tc>
        <w:tc>
          <w:tcPr>
            <w:tcW w:w="1590" w:type="dxa"/>
          </w:tcPr>
          <w:p w14:paraId="3AF3D273" w14:textId="77777777" w:rsidR="003C15AC" w:rsidRPr="003C4E66" w:rsidRDefault="003C15AC" w:rsidP="003C4E66">
            <w:pPr>
              <w:jc w:val="right"/>
              <w:rPr>
                <w:b/>
              </w:rPr>
            </w:pPr>
            <w:r>
              <w:rPr>
                <w:b/>
              </w:rPr>
              <w:t>$6,</w:t>
            </w:r>
            <w:r w:rsidR="00F94CED">
              <w:rPr>
                <w:b/>
              </w:rPr>
              <w:t>653,428</w:t>
            </w:r>
          </w:p>
        </w:tc>
        <w:tc>
          <w:tcPr>
            <w:tcW w:w="1590" w:type="dxa"/>
          </w:tcPr>
          <w:p w14:paraId="36DD611E" w14:textId="77777777" w:rsidR="003C15AC" w:rsidRPr="003C4E66" w:rsidRDefault="00F94CED" w:rsidP="003C4E66">
            <w:pPr>
              <w:jc w:val="right"/>
              <w:rPr>
                <w:b/>
              </w:rPr>
            </w:pPr>
            <w:r>
              <w:rPr>
                <w:b/>
              </w:rPr>
              <w:t>$5,544,099</w:t>
            </w:r>
          </w:p>
        </w:tc>
        <w:tc>
          <w:tcPr>
            <w:tcW w:w="1590" w:type="dxa"/>
          </w:tcPr>
          <w:p w14:paraId="65E37F7B" w14:textId="77777777" w:rsidR="003C15AC" w:rsidRDefault="00F94CED" w:rsidP="003C4E66">
            <w:pPr>
              <w:jc w:val="right"/>
              <w:rPr>
                <w:b/>
              </w:rPr>
            </w:pPr>
            <w:r>
              <w:rPr>
                <w:b/>
              </w:rPr>
              <w:t>$997,065</w:t>
            </w:r>
          </w:p>
        </w:tc>
        <w:tc>
          <w:tcPr>
            <w:tcW w:w="1590" w:type="dxa"/>
          </w:tcPr>
          <w:p w14:paraId="639E8BBD" w14:textId="77777777" w:rsidR="003C15AC" w:rsidRPr="003C4E66" w:rsidRDefault="00F94CED" w:rsidP="003C4E66">
            <w:pPr>
              <w:jc w:val="right"/>
              <w:rPr>
                <w:b/>
              </w:rPr>
            </w:pPr>
            <w:r>
              <w:rPr>
                <w:b/>
              </w:rPr>
              <w:t>$112,264</w:t>
            </w:r>
          </w:p>
        </w:tc>
      </w:tr>
    </w:tbl>
    <w:p w14:paraId="13D8C413" w14:textId="77777777" w:rsidR="00F47C2C" w:rsidRDefault="00F47C2C" w:rsidP="00F47C2C">
      <w:pPr>
        <w:spacing w:after="0" w:line="240" w:lineRule="auto"/>
      </w:pPr>
    </w:p>
    <w:p w14:paraId="7DE6BC67" w14:textId="77777777" w:rsidR="00E5774D" w:rsidRDefault="00E5774D" w:rsidP="00E5774D">
      <w:pPr>
        <w:spacing w:after="0" w:line="240" w:lineRule="auto"/>
      </w:pPr>
      <w:r>
        <w:t>As noted in the June board meeting materials, the net loss in our general fund projects (about $830,000) is higher than previous years due to investments in new and expanded projects. Conference net revenue ($942,000) is in line with previous years, so PLA will end the year with positive net revenue as usual for a conference year, but the predicted amount ($112,000) is atypically low.</w:t>
      </w:r>
    </w:p>
    <w:p w14:paraId="17D6C1C4" w14:textId="77777777" w:rsidR="00E5774D" w:rsidRDefault="00E5774D" w:rsidP="00E5774D">
      <w:pPr>
        <w:spacing w:after="0" w:line="240" w:lineRule="auto"/>
      </w:pPr>
    </w:p>
    <w:p w14:paraId="24D449E8" w14:textId="77777777" w:rsidR="00E5774D" w:rsidRDefault="00E5774D" w:rsidP="00E5774D">
      <w:pPr>
        <w:spacing w:after="0" w:line="240" w:lineRule="auto"/>
      </w:pPr>
      <w:r>
        <w:t xml:space="preserve">PLA will spend about $1.9 million in grants. This is lower than the three previous </w:t>
      </w:r>
      <w:r w:rsidR="00BD40D0">
        <w:t>fiscal years ($3 million in FY17, $2.6 million in FY18, and $2.3 million budgeted in FY19), as some of PLA’s largest grants have ended (specifically, the Gates Foundation support for Project Outcome and African leadership training).</w:t>
      </w:r>
    </w:p>
    <w:p w14:paraId="7F240A9D" w14:textId="77777777" w:rsidR="00CA43AF" w:rsidRDefault="00CA43AF" w:rsidP="00F47C2C">
      <w:pPr>
        <w:spacing w:after="0" w:line="240" w:lineRule="auto"/>
      </w:pPr>
    </w:p>
    <w:p w14:paraId="24B8383A" w14:textId="77777777" w:rsidR="00E5774D" w:rsidRDefault="00E5774D" w:rsidP="00F47C2C">
      <w:pPr>
        <w:spacing w:after="0" w:line="240" w:lineRule="auto"/>
      </w:pPr>
    </w:p>
    <w:p w14:paraId="4A51C10B" w14:textId="77777777" w:rsidR="00CA43AF" w:rsidRPr="00EC0317" w:rsidRDefault="00CA43AF" w:rsidP="00CA43AF">
      <w:pPr>
        <w:spacing w:after="0" w:line="240" w:lineRule="auto"/>
        <w:rPr>
          <w:u w:val="single"/>
        </w:rPr>
      </w:pPr>
      <w:r>
        <w:rPr>
          <w:u w:val="single"/>
        </w:rPr>
        <w:t>Changes Since Last Budget Review</w:t>
      </w:r>
    </w:p>
    <w:p w14:paraId="3D6790C6" w14:textId="77777777" w:rsidR="00F94CED" w:rsidRDefault="00683EA4" w:rsidP="00F47C2C">
      <w:pPr>
        <w:spacing w:after="0" w:line="240" w:lineRule="auto"/>
      </w:pPr>
      <w:r>
        <w:t xml:space="preserve">Revisions since the PLA board met in </w:t>
      </w:r>
      <w:r w:rsidR="00F94CED">
        <w:t>June</w:t>
      </w:r>
      <w:r w:rsidR="00FC789E">
        <w:t>, other than a few minor adjustments and corrections,</w:t>
      </w:r>
      <w:r>
        <w:t xml:space="preserve"> include</w:t>
      </w:r>
      <w:r w:rsidR="007A18CD">
        <w:t xml:space="preserve"> the following.</w:t>
      </w:r>
    </w:p>
    <w:p w14:paraId="4929C43C" w14:textId="77777777" w:rsidR="00251CCB" w:rsidRDefault="00251CCB" w:rsidP="00F47C2C">
      <w:pPr>
        <w:spacing w:after="0" w:line="240" w:lineRule="auto"/>
      </w:pPr>
    </w:p>
    <w:p w14:paraId="625A1680" w14:textId="10C94778" w:rsidR="00F94CED" w:rsidRDefault="00CA43AF" w:rsidP="00F94CED">
      <w:pPr>
        <w:pStyle w:val="ListParagraph"/>
        <w:numPr>
          <w:ilvl w:val="0"/>
          <w:numId w:val="6"/>
        </w:numPr>
        <w:spacing w:after="0" w:line="240" w:lineRule="auto"/>
      </w:pPr>
      <w:proofErr w:type="gramStart"/>
      <w:r>
        <w:t>All of</w:t>
      </w:r>
      <w:proofErr w:type="gramEnd"/>
      <w:r>
        <w:t xml:space="preserve"> the a</w:t>
      </w:r>
      <w:r w:rsidR="00F94CED">
        <w:t>mounts budgeted as</w:t>
      </w:r>
      <w:r w:rsidR="00F94CED" w:rsidRPr="00F94CED">
        <w:t xml:space="preserve"> spend down investments </w:t>
      </w:r>
      <w:r w:rsidR="00F94CED">
        <w:t>approved</w:t>
      </w:r>
      <w:r w:rsidR="00F94CED" w:rsidRPr="00F94CED">
        <w:t xml:space="preserve"> by the PLA board </w:t>
      </w:r>
      <w:r>
        <w:t>were increased (typically doubled). These funds will support</w:t>
      </w:r>
      <w:r w:rsidR="007A18CD">
        <w:t xml:space="preserve"> </w:t>
      </w:r>
      <w:r w:rsidR="00F94CED" w:rsidRPr="00F94CED">
        <w:t>growth of equity and leadership training</w:t>
      </w:r>
      <w:r w:rsidR="00F94CED">
        <w:t>;</w:t>
      </w:r>
      <w:r w:rsidR="00F94CED" w:rsidRPr="00F94CED">
        <w:t xml:space="preserve"> communications support to help libraries promote themselves; and a speaker/facilitator training initiative</w:t>
      </w:r>
      <w:r w:rsidR="007A18CD">
        <w:t xml:space="preserve">; and the </w:t>
      </w:r>
      <w:r w:rsidR="00F94CED" w:rsidRPr="00F94CED">
        <w:t>sustainability consultant</w:t>
      </w:r>
      <w:r w:rsidR="00F94CED">
        <w:t>.</w:t>
      </w:r>
      <w:r w:rsidR="00251CCB">
        <w:t xml:space="preserve"> This increased expenses in PLA’s Administrative </w:t>
      </w:r>
      <w:r>
        <w:t>project line</w:t>
      </w:r>
      <w:r w:rsidR="00251CCB">
        <w:t xml:space="preserve"> </w:t>
      </w:r>
      <w:r w:rsidR="001A6256">
        <w:t>approximately</w:t>
      </w:r>
      <w:r w:rsidR="00251CCB">
        <w:t xml:space="preserve"> $11</w:t>
      </w:r>
      <w:r w:rsidR="001A6256">
        <w:t>0</w:t>
      </w:r>
      <w:r w:rsidR="00251CCB">
        <w:t>,000, to $967,000.</w:t>
      </w:r>
    </w:p>
    <w:p w14:paraId="351E0B23" w14:textId="77777777" w:rsidR="00251CCB" w:rsidRDefault="00251CCB" w:rsidP="00251CCB">
      <w:pPr>
        <w:pStyle w:val="ListParagraph"/>
        <w:spacing w:after="0" w:line="240" w:lineRule="auto"/>
      </w:pPr>
    </w:p>
    <w:p w14:paraId="5C9E0100" w14:textId="77777777" w:rsidR="00251CCB" w:rsidRDefault="00251CCB" w:rsidP="00251CCB">
      <w:pPr>
        <w:pStyle w:val="ListParagraph"/>
        <w:numPr>
          <w:ilvl w:val="0"/>
          <w:numId w:val="6"/>
        </w:numPr>
        <w:spacing w:after="0" w:line="240" w:lineRule="auto"/>
      </w:pPr>
      <w:r>
        <w:t xml:space="preserve">Funds budgeted for the Family Engagement project were roughly doubled, to $100,000, to support consulting and other costs to bring a continuing education product online in FY20. </w:t>
      </w:r>
      <w:r w:rsidR="00CA43AF">
        <w:t>This will likely be partially offset by revenue, however timing and amounts are yet to be determined, so no revenue has been budgeted.</w:t>
      </w:r>
    </w:p>
    <w:p w14:paraId="34993B30" w14:textId="77777777" w:rsidR="00251CCB" w:rsidRDefault="00251CCB" w:rsidP="00251CCB">
      <w:pPr>
        <w:pStyle w:val="ListParagraph"/>
      </w:pPr>
    </w:p>
    <w:p w14:paraId="75806046" w14:textId="77777777" w:rsidR="00251CCB" w:rsidRDefault="00251CCB" w:rsidP="00251CCB">
      <w:pPr>
        <w:pStyle w:val="ListParagraph"/>
        <w:numPr>
          <w:ilvl w:val="0"/>
          <w:numId w:val="6"/>
        </w:numPr>
        <w:spacing w:after="0" w:line="240" w:lineRule="auto"/>
      </w:pPr>
      <w:r>
        <w:t>About $45,000 in expenses was added to the PLA 2020 Conference budget for additional promotion and related expenses, reducing Conference net revenue slightly to $942,000.</w:t>
      </w:r>
    </w:p>
    <w:p w14:paraId="58FA5457" w14:textId="77777777" w:rsidR="00CA43AF" w:rsidRDefault="00CA43AF" w:rsidP="00CA43AF">
      <w:pPr>
        <w:pStyle w:val="ListParagraph"/>
      </w:pPr>
    </w:p>
    <w:p w14:paraId="460D3083" w14:textId="6B49BB49" w:rsidR="00F94CED" w:rsidRDefault="00CA43AF" w:rsidP="00FC789E">
      <w:pPr>
        <w:pStyle w:val="ListParagraph"/>
        <w:numPr>
          <w:ilvl w:val="0"/>
          <w:numId w:val="6"/>
        </w:numPr>
        <w:spacing w:after="0" w:line="240" w:lineRule="auto"/>
      </w:pPr>
      <w:r>
        <w:t>G</w:t>
      </w:r>
      <w:r w:rsidR="00F94CED">
        <w:t>rants confirme</w:t>
      </w:r>
      <w:r w:rsidR="009713CA">
        <w:t>d in August 2019</w:t>
      </w:r>
      <w:r>
        <w:t xml:space="preserve"> were incorporated</w:t>
      </w:r>
      <w:r w:rsidR="009713CA">
        <w:t>. As with all grants,</w:t>
      </w:r>
      <w:r w:rsidR="00497424">
        <w:t xml:space="preserve"> these increased PLA’s total FY20 budget, but they</w:t>
      </w:r>
      <w:r w:rsidR="009713CA">
        <w:t xml:space="preserve"> are budget neutral, with revenue equaling expenses. They </w:t>
      </w:r>
      <w:r w:rsidR="00497424">
        <w:t>typically</w:t>
      </w:r>
      <w:r w:rsidR="009713CA">
        <w:t xml:space="preserve"> benefit PLA’s bottom line, however, by shifting </w:t>
      </w:r>
      <w:r w:rsidR="00497424">
        <w:t>certain</w:t>
      </w:r>
      <w:r w:rsidR="009713CA">
        <w:t xml:space="preserve"> personnel costs from th</w:t>
      </w:r>
      <w:r w:rsidR="00FC789E">
        <w:t>e general fund or other grants. For instance, the grants below contribute to a reduction of about $111,000 in spending down of the Gates General Operating grant, which helps extend the life of that unrestricted grant. Many grants also ge</w:t>
      </w:r>
      <w:r w:rsidR="00497424">
        <w:t>nerat</w:t>
      </w:r>
      <w:r w:rsidR="00FC789E">
        <w:t>e</w:t>
      </w:r>
      <w:r w:rsidR="00497424">
        <w:t xml:space="preserve"> revenue for other PLA projects, </w:t>
      </w:r>
      <w:r w:rsidR="00FC789E">
        <w:t>for instance by</w:t>
      </w:r>
      <w:r w:rsidR="00497424">
        <w:t xml:space="preserve"> underwriting ad space in </w:t>
      </w:r>
      <w:r w:rsidR="00497424" w:rsidRPr="00FC789E">
        <w:rPr>
          <w:i/>
        </w:rPr>
        <w:t xml:space="preserve">Public Libraries </w:t>
      </w:r>
      <w:r w:rsidR="00497424">
        <w:t xml:space="preserve">magazine. They may </w:t>
      </w:r>
      <w:r w:rsidR="009713CA">
        <w:t xml:space="preserve">also benefit ALA </w:t>
      </w:r>
      <w:r w:rsidR="00497424">
        <w:t>through</w:t>
      </w:r>
      <w:r w:rsidR="009713CA">
        <w:t xml:space="preserve"> additional overhead.</w:t>
      </w:r>
    </w:p>
    <w:p w14:paraId="030AEC68" w14:textId="77777777" w:rsidR="00FC789E" w:rsidRDefault="00FC789E" w:rsidP="00FC789E">
      <w:pPr>
        <w:spacing w:after="0" w:line="240" w:lineRule="auto"/>
      </w:pPr>
    </w:p>
    <w:p w14:paraId="551C0AF3" w14:textId="77777777" w:rsidR="00F94CED" w:rsidRDefault="00F94CED" w:rsidP="00F94CED">
      <w:pPr>
        <w:pStyle w:val="ListParagraph"/>
        <w:numPr>
          <w:ilvl w:val="1"/>
          <w:numId w:val="6"/>
        </w:numPr>
        <w:spacing w:after="0" w:line="240" w:lineRule="auto"/>
      </w:pPr>
      <w:proofErr w:type="gramStart"/>
      <w:r>
        <w:t>A fourth cycle of the Inclu</w:t>
      </w:r>
      <w:r w:rsidR="007A18CD">
        <w:t>sive Internship Initiative</w:t>
      </w:r>
      <w:r w:rsidR="00CA43AF">
        <w:t>,</w:t>
      </w:r>
      <w:proofErr w:type="gramEnd"/>
      <w:r w:rsidR="009713CA">
        <w:t xml:space="preserve"> funded by IMLS</w:t>
      </w:r>
      <w:r w:rsidR="007A18CD">
        <w:t>. This added $308,0</w:t>
      </w:r>
      <w:r w:rsidR="00251CCB">
        <w:t>00 (including $6,00</w:t>
      </w:r>
      <w:r w:rsidR="007A18CD">
        <w:t xml:space="preserve">0 in ALA overhead) in grant revenue and expenses to </w:t>
      </w:r>
      <w:proofErr w:type="gramStart"/>
      <w:r w:rsidR="007A18CD">
        <w:t>FY20, and</w:t>
      </w:r>
      <w:proofErr w:type="gramEnd"/>
      <w:r w:rsidR="007A18CD">
        <w:t xml:space="preserve"> shifted 5-30% of</w:t>
      </w:r>
      <w:r w:rsidR="009713CA">
        <w:t xml:space="preserve"> calendar year 2020</w:t>
      </w:r>
      <w:r w:rsidR="007A18CD">
        <w:t xml:space="preserve"> salaries for </w:t>
      </w:r>
      <w:r w:rsidR="00CA43AF">
        <w:t>six</w:t>
      </w:r>
      <w:r w:rsidR="007A18CD">
        <w:t xml:space="preserve"> positions to the PLA cost share for the Initiative. It will also impact FY21 because PLA will spend an additional $140,000 of its </w:t>
      </w:r>
      <w:r w:rsidR="00497424">
        <w:t>operating reserve</w:t>
      </w:r>
      <w:r w:rsidR="007A18CD">
        <w:t xml:space="preserve"> </w:t>
      </w:r>
      <w:r w:rsidR="00497424">
        <w:t>for the required</w:t>
      </w:r>
      <w:r w:rsidR="007A18CD">
        <w:t xml:space="preserve"> cost share </w:t>
      </w:r>
      <w:r w:rsidR="00497424">
        <w:t>to pay for</w:t>
      </w:r>
      <w:r w:rsidR="007A18CD">
        <w:t xml:space="preserve"> activity occurring in the fall of 2020.</w:t>
      </w:r>
    </w:p>
    <w:p w14:paraId="2FDCFCD3" w14:textId="77777777" w:rsidR="00FC789E" w:rsidRDefault="00FC789E" w:rsidP="00FC789E">
      <w:pPr>
        <w:spacing w:after="0" w:line="240" w:lineRule="auto"/>
        <w:ind w:left="1080"/>
      </w:pPr>
    </w:p>
    <w:p w14:paraId="4BDBEE63" w14:textId="3D460FE2" w:rsidR="00F94CED" w:rsidRDefault="00F94CED" w:rsidP="00F94CED">
      <w:pPr>
        <w:pStyle w:val="ListParagraph"/>
        <w:numPr>
          <w:ilvl w:val="1"/>
          <w:numId w:val="6"/>
        </w:numPr>
        <w:spacing w:after="0" w:line="240" w:lineRule="auto"/>
      </w:pPr>
      <w:r>
        <w:t xml:space="preserve">A second cycle of the Libraries Connecting You to Coverage </w:t>
      </w:r>
      <w:r w:rsidR="007A18CD">
        <w:t>insurance enrollment project, funded by Community Catalyst and the Robert Wood Johnson Foundation.</w:t>
      </w:r>
      <w:r w:rsidR="009713CA">
        <w:t xml:space="preserve"> This added </w:t>
      </w:r>
      <w:r w:rsidR="00497424">
        <w:t>$115,</w:t>
      </w:r>
      <w:r w:rsidR="00CA43AF">
        <w:t>000</w:t>
      </w:r>
      <w:r w:rsidR="00497424">
        <w:t xml:space="preserve"> (including $7,0</w:t>
      </w:r>
      <w:r w:rsidR="00CA43AF">
        <w:t>00 in ALA overhead</w:t>
      </w:r>
      <w:r w:rsidR="00497424">
        <w:t xml:space="preserve">) in grant revenue and expenses to </w:t>
      </w:r>
      <w:proofErr w:type="gramStart"/>
      <w:r w:rsidR="00497424">
        <w:t>FY20, and</w:t>
      </w:r>
      <w:proofErr w:type="gramEnd"/>
      <w:r w:rsidR="00497424">
        <w:t xml:space="preserve"> shifted about $</w:t>
      </w:r>
      <w:r w:rsidR="00251CCB">
        <w:t>24,000 in personnel costs from the Gates Gene</w:t>
      </w:r>
      <w:r w:rsidR="00497424">
        <w:t>r</w:t>
      </w:r>
      <w:r w:rsidR="00251CCB">
        <w:t>a</w:t>
      </w:r>
      <w:r w:rsidR="00497424">
        <w:t xml:space="preserve">l Operating Grant to </w:t>
      </w:r>
      <w:r w:rsidR="00251CCB">
        <w:t>this project.</w:t>
      </w:r>
    </w:p>
    <w:p w14:paraId="6D1B173E" w14:textId="77777777" w:rsidR="00BC2D89" w:rsidRDefault="00BC2D89" w:rsidP="00BC2D89">
      <w:pPr>
        <w:pStyle w:val="ListParagraph"/>
      </w:pPr>
    </w:p>
    <w:p w14:paraId="43DC14E9" w14:textId="7CC9E5CA" w:rsidR="00BC2D89" w:rsidRDefault="00BC2D89" w:rsidP="00BC2D89">
      <w:pPr>
        <w:pStyle w:val="ListParagraph"/>
        <w:numPr>
          <w:ilvl w:val="1"/>
          <w:numId w:val="6"/>
        </w:numPr>
        <w:spacing w:after="0" w:line="240" w:lineRule="auto"/>
      </w:pPr>
      <w:r>
        <w:t>In addition, expenses in the Gates General Operating grant were further reduced since the last draft budget, based on elimination of two vacant positions. The Program Officer, Project Outcome (PO) position became vacant with the internal promotion of Samantha Lopez to Manager, Membership and Marketing, and given PLA’s goal to better integrate PO into core PLA activity and reduce dedicated effort to PO since its grant funding ended, the position is not being refilled. In addition, PLA has no current plans to fill an intern position in FY20, so the approximately $13,000 budgeted for that position was removed.</w:t>
      </w:r>
    </w:p>
    <w:p w14:paraId="4F552D99" w14:textId="77777777" w:rsidR="00FC789E" w:rsidRDefault="00FC789E" w:rsidP="00F47C2C">
      <w:pPr>
        <w:spacing w:after="0" w:line="240" w:lineRule="auto"/>
      </w:pPr>
    </w:p>
    <w:p w14:paraId="11C31410" w14:textId="77777777" w:rsidR="00FC789E" w:rsidRDefault="00FC789E" w:rsidP="00F47C2C">
      <w:pPr>
        <w:spacing w:after="0" w:line="240" w:lineRule="auto"/>
      </w:pPr>
    </w:p>
    <w:sectPr w:rsidR="00FC789E" w:rsidSect="00AB70A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D4383" w14:textId="77777777" w:rsidR="00557A05" w:rsidRDefault="00557A05" w:rsidP="0011078E">
      <w:pPr>
        <w:spacing w:after="0" w:line="240" w:lineRule="auto"/>
      </w:pPr>
      <w:r>
        <w:separator/>
      </w:r>
    </w:p>
  </w:endnote>
  <w:endnote w:type="continuationSeparator" w:id="0">
    <w:p w14:paraId="74F263AC" w14:textId="77777777" w:rsidR="00557A05" w:rsidRDefault="00557A05" w:rsidP="0011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77CB" w14:textId="77777777" w:rsidR="0063240F" w:rsidRDefault="0063240F">
    <w:pPr>
      <w:pStyle w:val="Footer"/>
      <w:jc w:val="right"/>
    </w:pPr>
  </w:p>
  <w:p w14:paraId="5A8D9A22" w14:textId="77777777" w:rsidR="0063240F" w:rsidRPr="00ED0FD8" w:rsidRDefault="0063240F" w:rsidP="00ED0FD8">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08F67" w14:textId="77777777" w:rsidR="00557A05" w:rsidRDefault="00557A05" w:rsidP="0011078E">
      <w:pPr>
        <w:spacing w:after="0" w:line="240" w:lineRule="auto"/>
      </w:pPr>
      <w:r>
        <w:separator/>
      </w:r>
    </w:p>
  </w:footnote>
  <w:footnote w:type="continuationSeparator" w:id="0">
    <w:p w14:paraId="67D8520E" w14:textId="77777777" w:rsidR="00557A05" w:rsidRDefault="00557A05" w:rsidP="00110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7EF7" w14:textId="77777777" w:rsidR="00D44576" w:rsidRPr="007077E5" w:rsidRDefault="00D44576" w:rsidP="00D44576">
    <w:pPr>
      <w:pStyle w:val="Header"/>
      <w:jc w:val="right"/>
    </w:pPr>
    <w:r w:rsidRPr="007077E5">
      <w:t>PLA Board of Directors</w:t>
    </w:r>
  </w:p>
  <w:p w14:paraId="0D79BD20" w14:textId="2C5E8DD9" w:rsidR="00213294" w:rsidRDefault="00F94CED" w:rsidP="00213294">
    <w:pPr>
      <w:pStyle w:val="Header"/>
      <w:tabs>
        <w:tab w:val="left" w:pos="5280"/>
      </w:tabs>
      <w:jc w:val="right"/>
      <w:rPr>
        <w:rFonts w:cs="Arial"/>
      </w:rPr>
    </w:pPr>
    <w:r>
      <w:rPr>
        <w:rFonts w:cs="Arial"/>
      </w:rPr>
      <w:t xml:space="preserve">September </w:t>
    </w:r>
    <w:r w:rsidR="00B51A88">
      <w:rPr>
        <w:rFonts w:cs="Arial"/>
      </w:rPr>
      <w:t xml:space="preserve">5, </w:t>
    </w:r>
    <w:r>
      <w:rPr>
        <w:rFonts w:cs="Arial"/>
      </w:rPr>
      <w:t>2019 Conference Call</w:t>
    </w:r>
  </w:p>
  <w:p w14:paraId="12591D9D" w14:textId="377BAE6D" w:rsidR="00F94CED" w:rsidRPr="005D40B0" w:rsidRDefault="00F94CED" w:rsidP="00F94CED">
    <w:pPr>
      <w:pStyle w:val="Header"/>
      <w:tabs>
        <w:tab w:val="left" w:pos="5280"/>
      </w:tabs>
      <w:jc w:val="right"/>
      <w:rPr>
        <w:rFonts w:cs="Arial"/>
      </w:rPr>
    </w:pPr>
    <w:r>
      <w:rPr>
        <w:rFonts w:cs="Arial"/>
      </w:rPr>
      <w:t>Document No. 2020.</w:t>
    </w:r>
    <w:r w:rsidR="00DE15C5">
      <w:rPr>
        <w:rFonts w:cs="Arial"/>
      </w:rPr>
      <w:t>4</w:t>
    </w:r>
  </w:p>
  <w:p w14:paraId="7FD1D138" w14:textId="77777777" w:rsidR="0063240F" w:rsidRPr="00913926" w:rsidRDefault="0063240F" w:rsidP="00913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6F6"/>
    <w:multiLevelType w:val="hybridMultilevel"/>
    <w:tmpl w:val="09BA8272"/>
    <w:lvl w:ilvl="0" w:tplc="868E8C50">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83B5B"/>
    <w:multiLevelType w:val="hybridMultilevel"/>
    <w:tmpl w:val="7E7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52628"/>
    <w:multiLevelType w:val="hybridMultilevel"/>
    <w:tmpl w:val="3B3247D0"/>
    <w:lvl w:ilvl="0" w:tplc="868E8C50">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44A9D"/>
    <w:multiLevelType w:val="hybridMultilevel"/>
    <w:tmpl w:val="A9BAB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C4015"/>
    <w:multiLevelType w:val="hybridMultilevel"/>
    <w:tmpl w:val="521097A2"/>
    <w:lvl w:ilvl="0" w:tplc="2C44AA3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03"/>
    <w:rsid w:val="000040B5"/>
    <w:rsid w:val="00017506"/>
    <w:rsid w:val="00037846"/>
    <w:rsid w:val="00046FBF"/>
    <w:rsid w:val="00053B7D"/>
    <w:rsid w:val="00091201"/>
    <w:rsid w:val="0009748B"/>
    <w:rsid w:val="000B1A22"/>
    <w:rsid w:val="000B6646"/>
    <w:rsid w:val="000D5771"/>
    <w:rsid w:val="000E4E64"/>
    <w:rsid w:val="000F6976"/>
    <w:rsid w:val="000F76AA"/>
    <w:rsid w:val="0011078E"/>
    <w:rsid w:val="001A6256"/>
    <w:rsid w:val="001B1E75"/>
    <w:rsid w:val="001F2FF7"/>
    <w:rsid w:val="002061EA"/>
    <w:rsid w:val="00213294"/>
    <w:rsid w:val="002136A3"/>
    <w:rsid w:val="002222AD"/>
    <w:rsid w:val="00251CCB"/>
    <w:rsid w:val="00257BD4"/>
    <w:rsid w:val="002618EC"/>
    <w:rsid w:val="00267575"/>
    <w:rsid w:val="002951C6"/>
    <w:rsid w:val="002A7C4B"/>
    <w:rsid w:val="002B3D91"/>
    <w:rsid w:val="002C5A9C"/>
    <w:rsid w:val="002D4C74"/>
    <w:rsid w:val="002D7F40"/>
    <w:rsid w:val="00314E14"/>
    <w:rsid w:val="00332A22"/>
    <w:rsid w:val="00343276"/>
    <w:rsid w:val="00353253"/>
    <w:rsid w:val="00391876"/>
    <w:rsid w:val="0039721A"/>
    <w:rsid w:val="003979E3"/>
    <w:rsid w:val="003A20B2"/>
    <w:rsid w:val="003A3B14"/>
    <w:rsid w:val="003A76DA"/>
    <w:rsid w:val="003B54EC"/>
    <w:rsid w:val="003C15AC"/>
    <w:rsid w:val="003C4E66"/>
    <w:rsid w:val="003F18C4"/>
    <w:rsid w:val="003F2164"/>
    <w:rsid w:val="00442869"/>
    <w:rsid w:val="004446B2"/>
    <w:rsid w:val="004502C5"/>
    <w:rsid w:val="00472735"/>
    <w:rsid w:val="00474F4C"/>
    <w:rsid w:val="004814E2"/>
    <w:rsid w:val="00497424"/>
    <w:rsid w:val="004B1B12"/>
    <w:rsid w:val="004D0F04"/>
    <w:rsid w:val="004D5063"/>
    <w:rsid w:val="004E478A"/>
    <w:rsid w:val="00557A05"/>
    <w:rsid w:val="005732FB"/>
    <w:rsid w:val="00576F8F"/>
    <w:rsid w:val="00586629"/>
    <w:rsid w:val="005933A4"/>
    <w:rsid w:val="005960C4"/>
    <w:rsid w:val="005973F8"/>
    <w:rsid w:val="005A353E"/>
    <w:rsid w:val="005D40B0"/>
    <w:rsid w:val="0060461C"/>
    <w:rsid w:val="00620053"/>
    <w:rsid w:val="0062042E"/>
    <w:rsid w:val="0063240F"/>
    <w:rsid w:val="0063336E"/>
    <w:rsid w:val="00647A8C"/>
    <w:rsid w:val="00661C7B"/>
    <w:rsid w:val="00683EA4"/>
    <w:rsid w:val="0069282A"/>
    <w:rsid w:val="00694275"/>
    <w:rsid w:val="00695049"/>
    <w:rsid w:val="006A2B85"/>
    <w:rsid w:val="006E4032"/>
    <w:rsid w:val="006E4491"/>
    <w:rsid w:val="006F4F54"/>
    <w:rsid w:val="007212A8"/>
    <w:rsid w:val="00724068"/>
    <w:rsid w:val="007302EF"/>
    <w:rsid w:val="0074629E"/>
    <w:rsid w:val="007509C6"/>
    <w:rsid w:val="00752158"/>
    <w:rsid w:val="00783180"/>
    <w:rsid w:val="007841FA"/>
    <w:rsid w:val="00784C80"/>
    <w:rsid w:val="00784F0E"/>
    <w:rsid w:val="00787D0F"/>
    <w:rsid w:val="007A18CD"/>
    <w:rsid w:val="007A1B3E"/>
    <w:rsid w:val="007A1FA6"/>
    <w:rsid w:val="007A65D7"/>
    <w:rsid w:val="007C3709"/>
    <w:rsid w:val="007C7830"/>
    <w:rsid w:val="00801200"/>
    <w:rsid w:val="00836D59"/>
    <w:rsid w:val="00862CE7"/>
    <w:rsid w:val="008646F3"/>
    <w:rsid w:val="0087391D"/>
    <w:rsid w:val="00886CCA"/>
    <w:rsid w:val="008941DA"/>
    <w:rsid w:val="008A5D06"/>
    <w:rsid w:val="008B1C62"/>
    <w:rsid w:val="008D432E"/>
    <w:rsid w:val="008F6A16"/>
    <w:rsid w:val="00906AF5"/>
    <w:rsid w:val="00913926"/>
    <w:rsid w:val="00937625"/>
    <w:rsid w:val="0094311F"/>
    <w:rsid w:val="00952F29"/>
    <w:rsid w:val="00967CAB"/>
    <w:rsid w:val="009713CA"/>
    <w:rsid w:val="009A4A7D"/>
    <w:rsid w:val="009B5C6D"/>
    <w:rsid w:val="009B5D65"/>
    <w:rsid w:val="009B5E5A"/>
    <w:rsid w:val="009E7CFE"/>
    <w:rsid w:val="009F1C50"/>
    <w:rsid w:val="00A038BA"/>
    <w:rsid w:val="00A12578"/>
    <w:rsid w:val="00A149CF"/>
    <w:rsid w:val="00A4086D"/>
    <w:rsid w:val="00A609EF"/>
    <w:rsid w:val="00A830FA"/>
    <w:rsid w:val="00A95E32"/>
    <w:rsid w:val="00A96DA5"/>
    <w:rsid w:val="00AB70A9"/>
    <w:rsid w:val="00AC2EE9"/>
    <w:rsid w:val="00AC78FC"/>
    <w:rsid w:val="00AF192C"/>
    <w:rsid w:val="00AF42AA"/>
    <w:rsid w:val="00B12D85"/>
    <w:rsid w:val="00B44801"/>
    <w:rsid w:val="00B51A88"/>
    <w:rsid w:val="00B76E1A"/>
    <w:rsid w:val="00B82B6B"/>
    <w:rsid w:val="00B9718C"/>
    <w:rsid w:val="00BA3604"/>
    <w:rsid w:val="00BA3DF0"/>
    <w:rsid w:val="00BC2D89"/>
    <w:rsid w:val="00BC4001"/>
    <w:rsid w:val="00BD3CCB"/>
    <w:rsid w:val="00BD40D0"/>
    <w:rsid w:val="00BE08BA"/>
    <w:rsid w:val="00BE5CE8"/>
    <w:rsid w:val="00BE6688"/>
    <w:rsid w:val="00BE7ED0"/>
    <w:rsid w:val="00C01B63"/>
    <w:rsid w:val="00C067B4"/>
    <w:rsid w:val="00C15AD0"/>
    <w:rsid w:val="00C20000"/>
    <w:rsid w:val="00C22270"/>
    <w:rsid w:val="00C367D6"/>
    <w:rsid w:val="00C5274C"/>
    <w:rsid w:val="00C54333"/>
    <w:rsid w:val="00C6602A"/>
    <w:rsid w:val="00C66F39"/>
    <w:rsid w:val="00C94803"/>
    <w:rsid w:val="00CA43AF"/>
    <w:rsid w:val="00CA4B32"/>
    <w:rsid w:val="00CB595B"/>
    <w:rsid w:val="00CC4B8D"/>
    <w:rsid w:val="00CF3D95"/>
    <w:rsid w:val="00D04C30"/>
    <w:rsid w:val="00D26591"/>
    <w:rsid w:val="00D44576"/>
    <w:rsid w:val="00DE15C5"/>
    <w:rsid w:val="00E31F7E"/>
    <w:rsid w:val="00E4353B"/>
    <w:rsid w:val="00E46097"/>
    <w:rsid w:val="00E47D3A"/>
    <w:rsid w:val="00E52633"/>
    <w:rsid w:val="00E56603"/>
    <w:rsid w:val="00E5774D"/>
    <w:rsid w:val="00E6386F"/>
    <w:rsid w:val="00E67F39"/>
    <w:rsid w:val="00E90905"/>
    <w:rsid w:val="00E96AAF"/>
    <w:rsid w:val="00EA4CBE"/>
    <w:rsid w:val="00EC0317"/>
    <w:rsid w:val="00EC44D5"/>
    <w:rsid w:val="00ED0FD8"/>
    <w:rsid w:val="00ED4042"/>
    <w:rsid w:val="00F03950"/>
    <w:rsid w:val="00F1006B"/>
    <w:rsid w:val="00F13371"/>
    <w:rsid w:val="00F42CA0"/>
    <w:rsid w:val="00F45B6C"/>
    <w:rsid w:val="00F47C2C"/>
    <w:rsid w:val="00F64255"/>
    <w:rsid w:val="00F81813"/>
    <w:rsid w:val="00F94CED"/>
    <w:rsid w:val="00FB6C1A"/>
    <w:rsid w:val="00FC789E"/>
    <w:rsid w:val="00FD2913"/>
    <w:rsid w:val="00FE0517"/>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9583FD"/>
  <w15:docId w15:val="{A7364B78-29DB-49E2-A9DB-E38AC67C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C80"/>
  </w:style>
  <w:style w:type="paragraph" w:styleId="Heading2">
    <w:name w:val="heading 2"/>
    <w:basedOn w:val="Normal"/>
    <w:next w:val="Normal"/>
    <w:link w:val="Heading2Char"/>
    <w:uiPriority w:val="9"/>
    <w:unhideWhenUsed/>
    <w:qFormat/>
    <w:rsid w:val="00A830F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F8"/>
    <w:pPr>
      <w:ind w:left="720"/>
      <w:contextualSpacing/>
    </w:pPr>
  </w:style>
  <w:style w:type="paragraph" w:styleId="Header">
    <w:name w:val="header"/>
    <w:basedOn w:val="Normal"/>
    <w:link w:val="HeaderChar"/>
    <w:unhideWhenUsed/>
    <w:rsid w:val="0011078E"/>
    <w:pPr>
      <w:tabs>
        <w:tab w:val="center" w:pos="4680"/>
        <w:tab w:val="right" w:pos="9360"/>
      </w:tabs>
      <w:spacing w:after="0" w:line="240" w:lineRule="auto"/>
    </w:pPr>
  </w:style>
  <w:style w:type="character" w:customStyle="1" w:styleId="HeaderChar">
    <w:name w:val="Header Char"/>
    <w:basedOn w:val="DefaultParagraphFont"/>
    <w:link w:val="Header"/>
    <w:rsid w:val="0011078E"/>
  </w:style>
  <w:style w:type="paragraph" w:styleId="Footer">
    <w:name w:val="footer"/>
    <w:basedOn w:val="Normal"/>
    <w:link w:val="FooterChar"/>
    <w:uiPriority w:val="99"/>
    <w:unhideWhenUsed/>
    <w:rsid w:val="00110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8E"/>
  </w:style>
  <w:style w:type="character" w:customStyle="1" w:styleId="Heading2Char">
    <w:name w:val="Heading 2 Char"/>
    <w:basedOn w:val="DefaultParagraphFont"/>
    <w:link w:val="Heading2"/>
    <w:uiPriority w:val="9"/>
    <w:rsid w:val="00A830FA"/>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39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21A"/>
    <w:rPr>
      <w:rFonts w:ascii="Segoe UI" w:hAnsi="Segoe UI" w:cs="Segoe UI"/>
      <w:sz w:val="18"/>
      <w:szCs w:val="18"/>
    </w:rPr>
  </w:style>
  <w:style w:type="table" w:styleId="TableGrid">
    <w:name w:val="Table Grid"/>
    <w:basedOn w:val="TableNormal"/>
    <w:uiPriority w:val="59"/>
    <w:rsid w:val="00B7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46F3"/>
    <w:rPr>
      <w:sz w:val="16"/>
      <w:szCs w:val="16"/>
    </w:rPr>
  </w:style>
  <w:style w:type="paragraph" w:styleId="CommentText">
    <w:name w:val="annotation text"/>
    <w:basedOn w:val="Normal"/>
    <w:link w:val="CommentTextChar"/>
    <w:uiPriority w:val="99"/>
    <w:semiHidden/>
    <w:unhideWhenUsed/>
    <w:rsid w:val="008646F3"/>
    <w:pPr>
      <w:spacing w:line="240" w:lineRule="auto"/>
    </w:pPr>
    <w:rPr>
      <w:sz w:val="20"/>
      <w:szCs w:val="20"/>
    </w:rPr>
  </w:style>
  <w:style w:type="character" w:customStyle="1" w:styleId="CommentTextChar">
    <w:name w:val="Comment Text Char"/>
    <w:basedOn w:val="DefaultParagraphFont"/>
    <w:link w:val="CommentText"/>
    <w:uiPriority w:val="99"/>
    <w:semiHidden/>
    <w:rsid w:val="008646F3"/>
    <w:rPr>
      <w:sz w:val="20"/>
      <w:szCs w:val="20"/>
    </w:rPr>
  </w:style>
  <w:style w:type="paragraph" w:styleId="CommentSubject">
    <w:name w:val="annotation subject"/>
    <w:basedOn w:val="CommentText"/>
    <w:next w:val="CommentText"/>
    <w:link w:val="CommentSubjectChar"/>
    <w:uiPriority w:val="99"/>
    <w:semiHidden/>
    <w:unhideWhenUsed/>
    <w:rsid w:val="008646F3"/>
    <w:rPr>
      <w:b/>
      <w:bCs/>
    </w:rPr>
  </w:style>
  <w:style w:type="character" w:customStyle="1" w:styleId="CommentSubjectChar">
    <w:name w:val="Comment Subject Char"/>
    <w:basedOn w:val="CommentTextChar"/>
    <w:link w:val="CommentSubject"/>
    <w:uiPriority w:val="99"/>
    <w:semiHidden/>
    <w:rsid w:val="008646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5389">
      <w:bodyDiv w:val="1"/>
      <w:marLeft w:val="0"/>
      <w:marRight w:val="0"/>
      <w:marTop w:val="0"/>
      <w:marBottom w:val="0"/>
      <w:divBdr>
        <w:top w:val="none" w:sz="0" w:space="0" w:color="auto"/>
        <w:left w:val="none" w:sz="0" w:space="0" w:color="auto"/>
        <w:bottom w:val="none" w:sz="0" w:space="0" w:color="auto"/>
        <w:right w:val="none" w:sz="0" w:space="0" w:color="auto"/>
      </w:divBdr>
    </w:div>
    <w:div w:id="403574371">
      <w:bodyDiv w:val="1"/>
      <w:marLeft w:val="0"/>
      <w:marRight w:val="0"/>
      <w:marTop w:val="0"/>
      <w:marBottom w:val="0"/>
      <w:divBdr>
        <w:top w:val="none" w:sz="0" w:space="0" w:color="auto"/>
        <w:left w:val="none" w:sz="0" w:space="0" w:color="auto"/>
        <w:bottom w:val="none" w:sz="0" w:space="0" w:color="auto"/>
        <w:right w:val="none" w:sz="0" w:space="0" w:color="auto"/>
      </w:divBdr>
    </w:div>
    <w:div w:id="460340415">
      <w:bodyDiv w:val="1"/>
      <w:marLeft w:val="0"/>
      <w:marRight w:val="0"/>
      <w:marTop w:val="0"/>
      <w:marBottom w:val="0"/>
      <w:divBdr>
        <w:top w:val="none" w:sz="0" w:space="0" w:color="auto"/>
        <w:left w:val="none" w:sz="0" w:space="0" w:color="auto"/>
        <w:bottom w:val="none" w:sz="0" w:space="0" w:color="auto"/>
        <w:right w:val="none" w:sz="0" w:space="0" w:color="auto"/>
      </w:divBdr>
    </w:div>
    <w:div w:id="723483605">
      <w:bodyDiv w:val="1"/>
      <w:marLeft w:val="0"/>
      <w:marRight w:val="0"/>
      <w:marTop w:val="0"/>
      <w:marBottom w:val="0"/>
      <w:divBdr>
        <w:top w:val="none" w:sz="0" w:space="0" w:color="auto"/>
        <w:left w:val="none" w:sz="0" w:space="0" w:color="auto"/>
        <w:bottom w:val="none" w:sz="0" w:space="0" w:color="auto"/>
        <w:right w:val="none" w:sz="0" w:space="0" w:color="auto"/>
      </w:divBdr>
    </w:div>
    <w:div w:id="948438456">
      <w:bodyDiv w:val="1"/>
      <w:marLeft w:val="0"/>
      <w:marRight w:val="0"/>
      <w:marTop w:val="0"/>
      <w:marBottom w:val="0"/>
      <w:divBdr>
        <w:top w:val="none" w:sz="0" w:space="0" w:color="auto"/>
        <w:left w:val="none" w:sz="0" w:space="0" w:color="auto"/>
        <w:bottom w:val="none" w:sz="0" w:space="0" w:color="auto"/>
        <w:right w:val="none" w:sz="0" w:space="0" w:color="auto"/>
      </w:divBdr>
    </w:div>
    <w:div w:id="1015574388">
      <w:bodyDiv w:val="1"/>
      <w:marLeft w:val="0"/>
      <w:marRight w:val="0"/>
      <w:marTop w:val="0"/>
      <w:marBottom w:val="0"/>
      <w:divBdr>
        <w:top w:val="none" w:sz="0" w:space="0" w:color="auto"/>
        <w:left w:val="none" w:sz="0" w:space="0" w:color="auto"/>
        <w:bottom w:val="none" w:sz="0" w:space="0" w:color="auto"/>
        <w:right w:val="none" w:sz="0" w:space="0" w:color="auto"/>
      </w:divBdr>
    </w:div>
    <w:div w:id="1272401357">
      <w:bodyDiv w:val="1"/>
      <w:marLeft w:val="0"/>
      <w:marRight w:val="0"/>
      <w:marTop w:val="0"/>
      <w:marBottom w:val="0"/>
      <w:divBdr>
        <w:top w:val="none" w:sz="0" w:space="0" w:color="auto"/>
        <w:left w:val="none" w:sz="0" w:space="0" w:color="auto"/>
        <w:bottom w:val="none" w:sz="0" w:space="0" w:color="auto"/>
        <w:right w:val="none" w:sz="0" w:space="0" w:color="auto"/>
      </w:divBdr>
    </w:div>
    <w:div w:id="1736123343">
      <w:bodyDiv w:val="1"/>
      <w:marLeft w:val="0"/>
      <w:marRight w:val="0"/>
      <w:marTop w:val="0"/>
      <w:marBottom w:val="0"/>
      <w:divBdr>
        <w:top w:val="none" w:sz="0" w:space="0" w:color="auto"/>
        <w:left w:val="none" w:sz="0" w:space="0" w:color="auto"/>
        <w:bottom w:val="none" w:sz="0" w:space="0" w:color="auto"/>
        <w:right w:val="none" w:sz="0" w:space="0" w:color="auto"/>
      </w:divBdr>
    </w:div>
    <w:div w:id="19661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bmacikas</dc:creator>
  <cp:lastModifiedBy>Megan Stewart</cp:lastModifiedBy>
  <cp:revision>4</cp:revision>
  <cp:lastPrinted>2019-05-22T22:19:00Z</cp:lastPrinted>
  <dcterms:created xsi:type="dcterms:W3CDTF">2019-09-03T18:50:00Z</dcterms:created>
  <dcterms:modified xsi:type="dcterms:W3CDTF">2019-09-03T20:16:00Z</dcterms:modified>
</cp:coreProperties>
</file>