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DRAFT: Library-Initiated Programs and Displays as a Resource: An Interpretation of the </w:t>
      </w:r>
      <w:r w:rsidDel="00000000" w:rsidR="00000000" w:rsidRPr="00000000">
        <w:rPr>
          <w:rFonts w:ascii="Times New Roman" w:cs="Times New Roman" w:eastAsia="Times New Roman" w:hAnsi="Times New Roman"/>
          <w:i w:val="1"/>
          <w:sz w:val="48"/>
          <w:szCs w:val="48"/>
          <w:rtl w:val="0"/>
        </w:rPr>
        <w:t xml:space="preserve">Library Bill of Right</w:t>
      </w:r>
      <w:r w:rsidDel="00000000" w:rsidR="00000000" w:rsidRPr="00000000">
        <w:rPr>
          <w:rFonts w:ascii="Times New Roman" w:cs="Times New Roman" w:eastAsia="Times New Roman" w:hAnsi="Times New Roman"/>
          <w:i w:val="1"/>
          <w:sz w:val="48"/>
          <w:szCs w:val="48"/>
          <w:rtl w:val="0"/>
        </w:rPr>
        <w:t xml:space="preserve">s</w:t>
      </w:r>
      <w:r w:rsidDel="00000000" w:rsidR="00000000" w:rsidRPr="00000000">
        <w:rPr>
          <w:rtl w:val="0"/>
        </w:rPr>
      </w:r>
    </w:p>
    <w:p w:rsidR="00000000" w:rsidDel="00000000" w:rsidP="00000000" w:rsidRDefault="00000000" w:rsidRPr="00000000" w14:paraId="00000002">
      <w:pPr>
        <w:spacing w:line="360" w:lineRule="auto"/>
        <w:rPr>
          <w:rFonts w:ascii="Times New Roman" w:cs="Times New Roman" w:eastAsia="Times New Roman" w:hAnsi="Times New Roman"/>
          <w:color w:val="333333"/>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Library-initiated programs support the mission of the library by providing users with additional opportunities for accessing information, education, and recreation. Article I of the </w:t>
      </w:r>
      <w:r w:rsidDel="00000000" w:rsidR="00000000" w:rsidRPr="00000000">
        <w:rPr>
          <w:rFonts w:ascii="Times New Roman" w:cs="Times New Roman" w:eastAsia="Times New Roman" w:hAnsi="Times New Roman"/>
          <w:i w:val="1"/>
          <w:sz w:val="24"/>
          <w:szCs w:val="24"/>
          <w:rtl w:val="0"/>
        </w:rPr>
        <w:t xml:space="preserve">Library Bill of Rights</w:t>
      </w:r>
      <w:r w:rsidDel="00000000" w:rsidR="00000000" w:rsidRPr="00000000">
        <w:rPr>
          <w:rFonts w:ascii="Times New Roman" w:cs="Times New Roman" w:eastAsia="Times New Roman" w:hAnsi="Times New Roman"/>
          <w:sz w:val="24"/>
          <w:szCs w:val="24"/>
          <w:rtl w:val="0"/>
        </w:rPr>
        <w:t xml:space="preserve"> states, “Books and other library resources should be provided for the interest, information, and enlightenment of all people of the community the library serves.” Library displays increase awareness of programs, resources, and services.</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Library-initiated programs include, but are not limited to, lectures, displays, exhibits, community forums, performing and visual arts,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participatory workshops, technology programming, creative learning programming, wellness programs, </w:t>
      </w:r>
      <w:r w:rsidDel="00000000" w:rsidR="00000000" w:rsidRPr="00000000">
        <w:rPr>
          <w:rFonts w:ascii="Times New Roman" w:cs="Times New Roman" w:eastAsia="Times New Roman" w:hAnsi="Times New Roman"/>
          <w:sz w:val="24"/>
          <w:szCs w:val="24"/>
          <w:rtl w:val="0"/>
        </w:rPr>
        <w:t xml:space="preserve">story times</w:t>
      </w:r>
      <w:r w:rsidDel="00000000" w:rsidR="00000000" w:rsidRPr="00000000">
        <w:rPr>
          <w:rFonts w:ascii="Times New Roman" w:cs="Times New Roman" w:eastAsia="Times New Roman" w:hAnsi="Times New Roman"/>
          <w:sz w:val="24"/>
          <w:szCs w:val="24"/>
          <w:rtl w:val="0"/>
        </w:rPr>
        <w:t xml:space="preserve">, continuing education, fairs and conventions, book clubs, discussion groups, demonstrations, and presentations for social, cultural, educational, or entertainment purposes. Library-initiated programs may take place on-site at the library, </w:t>
      </w:r>
      <w:r w:rsidDel="00000000" w:rsidR="00000000" w:rsidRPr="00000000">
        <w:rPr>
          <w:rFonts w:ascii="Times New Roman" w:cs="Times New Roman" w:eastAsia="Times New Roman" w:hAnsi="Times New Roman"/>
          <w:sz w:val="24"/>
          <w:szCs w:val="24"/>
          <w:rtl w:val="0"/>
        </w:rPr>
        <w:t xml:space="preserve">off-site</w:t>
      </w:r>
      <w:r w:rsidDel="00000000" w:rsidR="00000000" w:rsidRPr="00000000">
        <w:rPr>
          <w:rFonts w:ascii="Times New Roman" w:cs="Times New Roman" w:eastAsia="Times New Roman" w:hAnsi="Times New Roman"/>
          <w:sz w:val="24"/>
          <w:szCs w:val="24"/>
          <w:rtl w:val="0"/>
        </w:rPr>
        <w:t xml:space="preserve"> at other locations, or online, and may be provided by library workers, volunteers, or partners. Libraries may also choose to promote their programs, services, and resources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though displays and digital signs. </w:t>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Library-initiated programs and displays utilize library worker expertise for community interests, collections, services, facilities, and providing access to information and information resources. They introduce users and potential users to library resources and the library’s role as a facilitator of information access. The library may participate in cooperative or joint programs with other agencies, organizations, institutions, or individuals to facilitate information access in the community the library serves.</w:t>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Libraries should not discriminate against individuals with disabilities and shall ensure they have equitable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access to library resources. Library-initiated programs and displays should comply with all applicable laws, including the standards and requirements of The Americans with </w:t>
      </w:r>
      <w:r w:rsidDel="00000000" w:rsidR="00000000" w:rsidRPr="00000000">
        <w:rPr>
          <w:rFonts w:ascii="Times New Roman" w:cs="Times New Roman" w:eastAsia="Times New Roman" w:hAnsi="Times New Roman"/>
          <w:sz w:val="24"/>
          <w:szCs w:val="24"/>
          <w:rtl w:val="0"/>
        </w:rPr>
        <w:t xml:space="preserve">Disabilities</w:t>
      </w:r>
      <w:r w:rsidDel="00000000" w:rsidR="00000000" w:rsidRPr="00000000">
        <w:rPr>
          <w:rFonts w:ascii="Times New Roman" w:cs="Times New Roman" w:eastAsia="Times New Roman" w:hAnsi="Times New Roman"/>
          <w:sz w:val="24"/>
          <w:szCs w:val="24"/>
          <w:rtl w:val="0"/>
        </w:rPr>
        <w:t xml:space="preserve"> Act and state 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local disability accessibility guidelines.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If a program is held in a location not controlled by the library, the library should assure that the space is accessible to all users. If users overflow designated event areas during library events, libraries should secure accessible public spaces (e.g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ramps, pathways, and emergency exit routes) to ensure access and safety for everyone. Reasonable accommodations should also be made to have interpretation or real-time captioning for the deaf or hard of hearing at library-initiated programs when needed or requested by library users.</w:t>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“Socially excluded, marginalized, and underrepresented people, not just the mainstream majority, should be able to see themselves reflected in the resources and programs that libraries offer.”</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Libraries should actively seek to include a variety of programming options representing diversity of genres, formats, ideas, and expressions with a multitude of viewpoints and cultural perspectives that reflect the diversity in our communities. Library-initiated programs that cross language and cultural barriers introduce community members to the library’s resources and provide access to information. Libraries serving multilingual or multicultural communities should make efforts to accommodate the information needs of those who speak and read languages other than English, including advertising for such events.</w:t>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Concerns, questions, or complaints about library-initiated programs and displays are handled according to the same written policy and procedures that govern reconsiderations of other library resources. These policies should apply equally to all people, including, but not limited to, library users, staff, and members of the governing body.  The policies should set forth the library’s commitment to free and open access to information and ideas for all users.</w:t>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Programs should not be canceled because of the ideas or topics of the program or the views expressed by the participants or speakers, nor should library workers censor or remove displays because someone may disagree with the content. Library sponsorship of a program does not constitute an endorsement of the program content or the views expressed by the participants or speakers, any more than the purchase of resources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for the library collection or curation of a display constitutes an endorsement of the resources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content or its creator’s views. Libraries should vigorously defend the First Amendment right of speakers and participants to express themselves. </w:t>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V of the </w:t>
      </w:r>
      <w:r w:rsidDel="00000000" w:rsidR="00000000" w:rsidRPr="00000000">
        <w:rPr>
          <w:rFonts w:ascii="Times New Roman" w:cs="Times New Roman" w:eastAsia="Times New Roman" w:hAnsi="Times New Roman"/>
          <w:i w:val="1"/>
          <w:sz w:val="24"/>
          <w:szCs w:val="24"/>
          <w:rtl w:val="0"/>
        </w:rPr>
        <w:t xml:space="preserve">Library Bill of Rights</w:t>
      </w:r>
      <w:r w:rsidDel="00000000" w:rsidR="00000000" w:rsidRPr="00000000">
        <w:rPr>
          <w:rFonts w:ascii="Times New Roman" w:cs="Times New Roman" w:eastAsia="Times New Roman" w:hAnsi="Times New Roman"/>
          <w:sz w:val="24"/>
          <w:szCs w:val="24"/>
          <w:rtl w:val="0"/>
        </w:rPr>
        <w:t xml:space="preserve"> states, “A person’s right to use a library should not be denied or abridged because of origin, age, background, or views.” The </w:t>
      </w:r>
      <w:r w:rsidDel="00000000" w:rsidR="00000000" w:rsidRPr="00000000">
        <w:rPr>
          <w:rFonts w:ascii="Times New Roman" w:cs="Times New Roman" w:eastAsia="Times New Roman" w:hAnsi="Times New Roman"/>
          <w:sz w:val="24"/>
          <w:szCs w:val="24"/>
          <w:rtl w:val="0"/>
        </w:rPr>
        <w:t xml:space="preserve">right to use a library </w:t>
      </w:r>
      <w:r w:rsidDel="00000000" w:rsidR="00000000" w:rsidRPr="00000000">
        <w:rPr>
          <w:rFonts w:ascii="Times New Roman" w:cs="Times New Roman" w:eastAsia="Times New Roman" w:hAnsi="Times New Roman"/>
          <w:sz w:val="24"/>
          <w:szCs w:val="24"/>
          <w:rtl w:val="0"/>
        </w:rPr>
        <w:t xml:space="preserve">encompasses all the resources the library offers, including the right to attend library-initiated programs. Libraries create programs for an intended age group or audience based on educational suitability and audience interest; however, restrictions on participation based solely on the gender, chronological age, or educational level of users </w:t>
      </w:r>
      <w:r w:rsidDel="00000000" w:rsidR="00000000" w:rsidRPr="00000000">
        <w:rPr>
          <w:rFonts w:ascii="Times New Roman" w:cs="Times New Roman" w:eastAsia="Times New Roman" w:hAnsi="Times New Roman"/>
          <w:sz w:val="24"/>
          <w:szCs w:val="24"/>
          <w:rtl w:val="0"/>
        </w:rPr>
        <w:t xml:space="preserve">violate </w:t>
      </w:r>
      <w:r w:rsidDel="00000000" w:rsidR="00000000" w:rsidRPr="00000000">
        <w:rPr>
          <w:rFonts w:ascii="Times New Roman" w:cs="Times New Roman" w:eastAsia="Times New Roman" w:hAnsi="Times New Roman"/>
          <w:sz w:val="24"/>
          <w:szCs w:val="24"/>
          <w:rtl w:val="0"/>
        </w:rPr>
        <w:t xml:space="preserve">this right and should be enforced only when not doing so would adversely impact the safety of the participants. Parents and guardians may restrict their own children’s access to library programs, but no person or organization can interfere in others’ access and participation. A parent or guardian may discuss their child’s access to and participation in library programs with their child, but may not impose those decisions on others, including other people’s children.</w:t>
      </w:r>
    </w:p>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Libraries should not deny access to library-initiated programs if patrons owe the library for overdue fines or other fees. If libraries charge program participants for supplies used, they should make every effort to reduce economic barriers to participation. </w:t>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collection and retention of program participants’ personal information should be on an opt-in basis only. While attendees may need to demonstrate their eligibility to attend the program by showing a library card or student ID, they should not be required to share their personal information in order to attend a library program. </w:t>
      </w:r>
    </w:p>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Adopted January 27, 1982, by the ALA Council; amended June 26, 1990; July 12, 2000; June 26, 2018. Revisions proposed for ALA Annual Conference 2019. </w:t>
      </w:r>
    </w:p>
    <w:p w:rsidR="00000000" w:rsidDel="00000000" w:rsidP="00000000" w:rsidRDefault="00000000" w:rsidRPr="00000000" w14:paraId="0000001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See Also </w:t>
      </w: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numPr>
          <w:ilvl w:val="0"/>
          <w:numId w:val="1"/>
        </w:numPr>
        <w:spacing w:line="240" w:lineRule="auto"/>
        <w:ind w:left="720" w:hanging="360"/>
        <w:rPr>
          <w:rFonts w:ascii="Times New Roman" w:cs="Times New Roman" w:eastAsia="Times New Roman" w:hAnsi="Times New Roman"/>
          <w:color w:val="494949"/>
          <w:sz w:val="24"/>
          <w:szCs w:val="24"/>
        </w:rPr>
      </w:pPr>
      <w:r w:rsidDel="00000000" w:rsidR="00000000" w:rsidRPr="00000000">
        <w:rPr>
          <w:rFonts w:ascii="Times New Roman" w:cs="Times New Roman" w:eastAsia="Times New Roman" w:hAnsi="Times New Roman"/>
          <w:color w:val="494949"/>
          <w:sz w:val="24"/>
          <w:szCs w:val="24"/>
          <w:rtl w:val="0"/>
        </w:rPr>
        <w:t xml:space="preserve">“</w:t>
      </w:r>
      <w:hyperlink r:id="rId7">
        <w:r w:rsidDel="00000000" w:rsidR="00000000" w:rsidRPr="00000000">
          <w:rPr>
            <w:rFonts w:ascii="Times New Roman" w:cs="Times New Roman" w:eastAsia="Times New Roman" w:hAnsi="Times New Roman"/>
            <w:color w:val="1155cc"/>
            <w:sz w:val="24"/>
            <w:szCs w:val="24"/>
            <w:u w:val="single"/>
            <w:rtl w:val="0"/>
          </w:rPr>
          <w:t xml:space="preserve">Selection &amp; Reconsideration Policy Toolkit for Public, School, &amp; Academic Libraries</w:t>
        </w:r>
      </w:hyperlink>
      <w:r w:rsidDel="00000000" w:rsidR="00000000" w:rsidRPr="00000000">
        <w:rPr>
          <w:rFonts w:ascii="Times New Roman" w:cs="Times New Roman" w:eastAsia="Times New Roman" w:hAnsi="Times New Roman"/>
          <w:color w:val="494949"/>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ALA Office for Intellectual Freedom, January 2018. </w:t>
      </w:r>
      <w:r w:rsidDel="00000000" w:rsidR="00000000" w:rsidRPr="00000000">
        <w:rPr>
          <w:rtl w:val="0"/>
        </w:rPr>
      </w:r>
    </w:p>
    <w:p w:rsidR="00000000" w:rsidDel="00000000" w:rsidP="00000000" w:rsidRDefault="00000000" w:rsidRPr="00000000" w14:paraId="0000001D">
      <w:pPr>
        <w:numPr>
          <w:ilvl w:val="0"/>
          <w:numId w:val="1"/>
        </w:numPr>
        <w:spacing w:line="240" w:lineRule="auto"/>
        <w:ind w:left="720" w:hanging="360"/>
        <w:rPr>
          <w:rFonts w:ascii="Times New Roman" w:cs="Times New Roman" w:eastAsia="Times New Roman" w:hAnsi="Times New Roman"/>
          <w:color w:val="494949"/>
          <w:sz w:val="24"/>
          <w:szCs w:val="24"/>
        </w:rPr>
      </w:pPr>
      <w:r w:rsidDel="00000000" w:rsidR="00000000" w:rsidRPr="00000000">
        <w:rPr>
          <w:rFonts w:ascii="Times New Roman" w:cs="Times New Roman" w:eastAsia="Times New Roman" w:hAnsi="Times New Roman"/>
          <w:color w:val="494949"/>
          <w:sz w:val="24"/>
          <w:szCs w:val="24"/>
          <w:rtl w:val="0"/>
        </w:rPr>
        <w:t xml:space="preserve">“</w:t>
      </w:r>
      <w:hyperlink r:id="rId8">
        <w:r w:rsidDel="00000000" w:rsidR="00000000" w:rsidRPr="00000000">
          <w:rPr>
            <w:rFonts w:ascii="Times New Roman" w:cs="Times New Roman" w:eastAsia="Times New Roman" w:hAnsi="Times New Roman"/>
            <w:color w:val="1155cc"/>
            <w:sz w:val="24"/>
            <w:szCs w:val="24"/>
            <w:u w:val="single"/>
            <w:rtl w:val="0"/>
          </w:rPr>
          <w:t xml:space="preserve">Responding to and Preparing for Controversial Programs and Speakers Q&amp;A,</w:t>
        </w:r>
      </w:hyperlink>
      <w:r w:rsidDel="00000000" w:rsidR="00000000" w:rsidRPr="00000000">
        <w:rPr>
          <w:rFonts w:ascii="Times New Roman" w:cs="Times New Roman" w:eastAsia="Times New Roman" w:hAnsi="Times New Roman"/>
          <w:color w:val="494949"/>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Intellectual Freedom Committee, June 2018.</w:t>
      </w: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333333"/>
          <w:sz w:val="20"/>
          <w:szCs w:val="20"/>
          <w:rtl w:val="0"/>
        </w:rPr>
        <w:t xml:space="preserve">“</w:t>
      </w:r>
      <w:hyperlink r:id="rId1">
        <w:r w:rsidDel="00000000" w:rsidR="00000000" w:rsidRPr="00000000">
          <w:rPr>
            <w:color w:val="337ab7"/>
            <w:sz w:val="20"/>
            <w:szCs w:val="20"/>
            <w:u w:val="single"/>
            <w:rtl w:val="0"/>
          </w:rPr>
          <w:t xml:space="preserve">Visual and Performing Arts in Libraries: An Interpretation of the </w:t>
        </w:r>
      </w:hyperlink>
      <w:hyperlink r:id="rId2">
        <w:r w:rsidDel="00000000" w:rsidR="00000000" w:rsidRPr="00000000">
          <w:rPr>
            <w:i w:val="1"/>
            <w:color w:val="337ab7"/>
            <w:sz w:val="20"/>
            <w:szCs w:val="20"/>
            <w:u w:val="single"/>
            <w:rtl w:val="0"/>
          </w:rPr>
          <w:t xml:space="preserve">Library Bill of Rights</w:t>
        </w:r>
      </w:hyperlink>
      <w:r w:rsidDel="00000000" w:rsidR="00000000" w:rsidRPr="00000000">
        <w:rPr>
          <w:color w:val="333333"/>
          <w:sz w:val="20"/>
          <w:szCs w:val="20"/>
          <w:rtl w:val="0"/>
        </w:rPr>
        <w:t xml:space="preserve">,” adopted February 13, 2018, by ALA Council.</w:t>
      </w:r>
      <w:r w:rsidDel="00000000" w:rsidR="00000000" w:rsidRPr="00000000">
        <w:rPr>
          <w:rtl w:val="0"/>
        </w:rPr>
      </w:r>
    </w:p>
  </w:footnote>
  <w:footnote w:id="1">
    <w:p w:rsidR="00000000" w:rsidDel="00000000" w:rsidP="00000000" w:rsidRDefault="00000000" w:rsidRPr="00000000" w14:paraId="0000001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w:t>
      </w:r>
      <w:hyperlink r:id="rId3">
        <w:r w:rsidDel="00000000" w:rsidR="00000000" w:rsidRPr="00000000">
          <w:rPr>
            <w:sz w:val="20"/>
            <w:szCs w:val="20"/>
            <w:rtl w:val="0"/>
          </w:rPr>
          <w:t xml:space="preserve">Services to People with Disabilities: An Interpretation of the</w:t>
        </w:r>
      </w:hyperlink>
      <w:hyperlink r:id="rId4">
        <w:r w:rsidDel="00000000" w:rsidR="00000000" w:rsidRPr="00000000">
          <w:rPr>
            <w:i w:val="1"/>
            <w:sz w:val="20"/>
            <w:szCs w:val="20"/>
            <w:rtl w:val="0"/>
          </w:rPr>
          <w:t xml:space="preserve"> Library Bill of Rights</w:t>
        </w:r>
      </w:hyperlink>
      <w:r w:rsidDel="00000000" w:rsidR="00000000" w:rsidRPr="00000000">
        <w:rPr>
          <w:sz w:val="20"/>
          <w:szCs w:val="20"/>
          <w:rtl w:val="0"/>
        </w:rPr>
        <w:t xml:space="preserve">,” adopted January 28, 2009, by the ALA Council; amended June 26, 2018.</w:t>
      </w:r>
      <w:r w:rsidDel="00000000" w:rsidR="00000000" w:rsidRPr="00000000">
        <w:rPr>
          <w:rtl w:val="0"/>
        </w:rPr>
      </w:r>
    </w:p>
  </w:footnote>
  <w:footnote w:id="2">
    <w:p w:rsidR="00000000" w:rsidDel="00000000" w:rsidP="00000000" w:rsidRDefault="00000000" w:rsidRPr="00000000" w14:paraId="0000002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color w:val="1155cc"/>
            <w:sz w:val="20"/>
            <w:szCs w:val="20"/>
            <w:u w:val="single"/>
            <w:rtl w:val="0"/>
          </w:rPr>
          <w:t xml:space="preserve">Equity, Diversity, Inclusion: An Interpretation of the</w:t>
        </w:r>
      </w:hyperlink>
      <w:hyperlink r:id="rId6">
        <w:r w:rsidDel="00000000" w:rsidR="00000000" w:rsidRPr="00000000">
          <w:rPr>
            <w:i w:val="1"/>
            <w:color w:val="1155cc"/>
            <w:sz w:val="20"/>
            <w:szCs w:val="20"/>
            <w:u w:val="single"/>
            <w:rtl w:val="0"/>
          </w:rPr>
          <w:t xml:space="preserve"> Library Bill of Rights</w:t>
        </w:r>
      </w:hyperlink>
      <w:r w:rsidDel="00000000" w:rsidR="00000000" w:rsidRPr="00000000">
        <w:rPr>
          <w:sz w:val="20"/>
          <w:szCs w:val="20"/>
          <w:rtl w:val="0"/>
        </w:rPr>
        <w:t xml:space="preserve">,” adopted June 27, 2017, by the ALA Council.</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right"/>
      <w:rPr>
        <w:sz w:val="20"/>
        <w:szCs w:val="20"/>
      </w:rPr>
    </w:pPr>
    <w:r w:rsidDel="00000000" w:rsidR="00000000" w:rsidRPr="00000000">
      <w:rPr>
        <w:sz w:val="20"/>
        <w:szCs w:val="20"/>
        <w:rtl w:val="0"/>
      </w:rPr>
      <w:t xml:space="preserve">Exhibit V.2</w:t>
    </w:r>
  </w:p>
  <w:p w:rsidR="00000000" w:rsidDel="00000000" w:rsidP="00000000" w:rsidRDefault="00000000" w:rsidRPr="00000000" w14:paraId="00000022">
    <w:pPr>
      <w:jc w:val="right"/>
      <w:rPr>
        <w:sz w:val="20"/>
        <w:szCs w:val="20"/>
      </w:rPr>
    </w:pPr>
    <w:r w:rsidDel="00000000" w:rsidR="00000000" w:rsidRPr="00000000">
      <w:rPr>
        <w:sz w:val="20"/>
        <w:szCs w:val="20"/>
        <w:rtl w:val="0"/>
      </w:rPr>
      <w:t xml:space="preserve">DRAFT</w:t>
    </w:r>
  </w:p>
  <w:p w:rsidR="00000000" w:rsidDel="00000000" w:rsidP="00000000" w:rsidRDefault="00000000" w:rsidRPr="00000000" w14:paraId="00000023">
    <w:pPr>
      <w:jc w:val="right"/>
      <w:rPr>
        <w:sz w:val="20"/>
        <w:szCs w:val="20"/>
      </w:rPr>
    </w:pPr>
    <w:r w:rsidDel="00000000" w:rsidR="00000000" w:rsidRPr="00000000">
      <w:rPr>
        <w:sz w:val="20"/>
        <w:szCs w:val="20"/>
        <w:rtl w:val="0"/>
      </w:rPr>
      <w:t xml:space="preserve">Committee voted to take to Council as amended</w:t>
    </w:r>
  </w:p>
  <w:p w:rsidR="00000000" w:rsidDel="00000000" w:rsidP="00000000" w:rsidRDefault="00000000" w:rsidRPr="00000000" w14:paraId="00000024">
    <w:pPr>
      <w:jc w:val="right"/>
      <w:rPr>
        <w:sz w:val="20"/>
        <w:szCs w:val="20"/>
      </w:rPr>
    </w:pPr>
    <w:r w:rsidDel="00000000" w:rsidR="00000000" w:rsidRPr="00000000">
      <w:rPr>
        <w:sz w:val="20"/>
        <w:szCs w:val="20"/>
        <w:rtl w:val="0"/>
      </w:rPr>
      <w:t xml:space="preserve">Council Forum I</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ala.org/tools/challengesupport/selectionpolicytoolkit" TargetMode="External"/><Relationship Id="rId8" Type="http://schemas.openxmlformats.org/officeDocument/2006/relationships/hyperlink" Target="http://www.ala.org/advocacy/intfreedom/controversialprogramsq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la.org/advocacy/intfreedom/librarybill/interpretations/arts" TargetMode="External"/><Relationship Id="rId2" Type="http://schemas.openxmlformats.org/officeDocument/2006/relationships/hyperlink" Target="http://www.ala.org/advocacy/intfreedom/librarybill/interpretations/arts" TargetMode="External"/><Relationship Id="rId3" Type="http://schemas.openxmlformats.org/officeDocument/2006/relationships/hyperlink" Target="http://www.ala.org/advocacy/intfreedom/librarybill/interpretations/servicespeopledisabilities" TargetMode="External"/><Relationship Id="rId4" Type="http://schemas.openxmlformats.org/officeDocument/2006/relationships/hyperlink" Target="http://www.ala.org/advocacy/intfreedom/librarybill/interpretations/servicespeopledisabilities" TargetMode="External"/><Relationship Id="rId5" Type="http://schemas.openxmlformats.org/officeDocument/2006/relationships/hyperlink" Target="http://www.ala.org/advocacy/intfreedom/librarybill/interpretations/EDI" TargetMode="External"/><Relationship Id="rId6" Type="http://schemas.openxmlformats.org/officeDocument/2006/relationships/hyperlink" Target="http://www.ala.org/advocacy/intfreedom/librarybill/interpretations/E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