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8EEA" w14:textId="77777777" w:rsidR="00EA50CC" w:rsidRPr="003D5C05" w:rsidRDefault="00EA50CC" w:rsidP="0068318B">
      <w:pPr>
        <w:rPr>
          <w:rFonts w:asciiTheme="minorHAnsi" w:hAnsiTheme="minorHAnsi"/>
          <w:b/>
          <w:sz w:val="24"/>
          <w:szCs w:val="24"/>
        </w:rPr>
      </w:pPr>
    </w:p>
    <w:p w14:paraId="1F31C4FF" w14:textId="77777777" w:rsidR="00ED7166" w:rsidRPr="00E718F3" w:rsidRDefault="00ED7166" w:rsidP="0068318B">
      <w:pPr>
        <w:rPr>
          <w:rFonts w:asciiTheme="minorHAnsi" w:hAnsiTheme="minorHAnsi"/>
          <w:b/>
          <w:sz w:val="24"/>
          <w:szCs w:val="24"/>
        </w:rPr>
      </w:pPr>
    </w:p>
    <w:p w14:paraId="30355CDC" w14:textId="5810FFCA" w:rsidR="00792607" w:rsidRPr="00E718F3" w:rsidRDefault="00DA25E3" w:rsidP="0068318B">
      <w:pPr>
        <w:rPr>
          <w:rFonts w:asciiTheme="minorHAnsi" w:hAnsiTheme="minorHAnsi"/>
          <w:bCs/>
          <w:sz w:val="24"/>
          <w:szCs w:val="24"/>
        </w:rPr>
      </w:pPr>
      <w:r w:rsidRPr="00E718F3">
        <w:rPr>
          <w:rFonts w:asciiTheme="minorHAnsi" w:hAnsiTheme="minorHAnsi"/>
          <w:b/>
          <w:sz w:val="24"/>
          <w:szCs w:val="24"/>
        </w:rPr>
        <w:t>TO:</w:t>
      </w:r>
      <w:r w:rsidR="00667DAE" w:rsidRPr="00E718F3">
        <w:rPr>
          <w:rFonts w:asciiTheme="minorHAnsi" w:hAnsiTheme="minorHAnsi"/>
          <w:b/>
          <w:sz w:val="24"/>
          <w:szCs w:val="24"/>
        </w:rPr>
        <w:t xml:space="preserve"> </w:t>
      </w:r>
      <w:r w:rsidRPr="00E718F3">
        <w:rPr>
          <w:rFonts w:asciiTheme="minorHAnsi" w:hAnsiTheme="minorHAnsi"/>
          <w:b/>
          <w:sz w:val="24"/>
          <w:szCs w:val="24"/>
        </w:rPr>
        <w:tab/>
      </w:r>
      <w:r w:rsidRPr="00E718F3">
        <w:rPr>
          <w:rFonts w:asciiTheme="minorHAnsi" w:hAnsiTheme="minorHAnsi"/>
          <w:b/>
          <w:sz w:val="24"/>
          <w:szCs w:val="24"/>
        </w:rPr>
        <w:tab/>
      </w:r>
      <w:r w:rsidRPr="00E718F3">
        <w:rPr>
          <w:rFonts w:asciiTheme="minorHAnsi" w:hAnsiTheme="minorHAnsi"/>
          <w:bCs/>
          <w:sz w:val="24"/>
          <w:szCs w:val="24"/>
        </w:rPr>
        <w:t>PLA Board of Director</w:t>
      </w:r>
      <w:r w:rsidR="00861C04" w:rsidRPr="00E718F3">
        <w:rPr>
          <w:rFonts w:asciiTheme="minorHAnsi" w:hAnsiTheme="minorHAnsi"/>
          <w:bCs/>
          <w:sz w:val="24"/>
          <w:szCs w:val="24"/>
        </w:rPr>
        <w:t>s</w:t>
      </w:r>
    </w:p>
    <w:p w14:paraId="06EA66F4" w14:textId="77777777" w:rsidR="00A85F73" w:rsidRPr="00E718F3" w:rsidRDefault="004846F0" w:rsidP="0068318B">
      <w:pPr>
        <w:tabs>
          <w:tab w:val="left" w:pos="720"/>
          <w:tab w:val="left" w:pos="1440"/>
          <w:tab w:val="left" w:pos="2160"/>
          <w:tab w:val="left" w:pos="3120"/>
        </w:tabs>
        <w:rPr>
          <w:rFonts w:asciiTheme="minorHAnsi" w:hAnsiTheme="minorHAnsi"/>
          <w:sz w:val="24"/>
          <w:szCs w:val="24"/>
        </w:rPr>
      </w:pPr>
      <w:r w:rsidRPr="00E718F3">
        <w:rPr>
          <w:rFonts w:asciiTheme="minorHAnsi" w:hAnsiTheme="minorHAnsi"/>
          <w:b/>
          <w:sz w:val="24"/>
          <w:szCs w:val="24"/>
        </w:rPr>
        <w:t>FROM:</w:t>
      </w:r>
      <w:r w:rsidRPr="00E718F3">
        <w:rPr>
          <w:rFonts w:asciiTheme="minorHAnsi" w:hAnsiTheme="minorHAnsi"/>
          <w:b/>
          <w:sz w:val="24"/>
          <w:szCs w:val="24"/>
        </w:rPr>
        <w:tab/>
      </w:r>
      <w:r w:rsidRPr="00E718F3">
        <w:rPr>
          <w:rFonts w:asciiTheme="minorHAnsi" w:hAnsiTheme="minorHAnsi"/>
          <w:b/>
          <w:sz w:val="24"/>
          <w:szCs w:val="24"/>
        </w:rPr>
        <w:tab/>
      </w:r>
      <w:r w:rsidR="00FE099E" w:rsidRPr="00E718F3">
        <w:rPr>
          <w:rFonts w:asciiTheme="minorHAnsi" w:hAnsiTheme="minorHAnsi"/>
          <w:sz w:val="24"/>
          <w:szCs w:val="24"/>
        </w:rPr>
        <w:t>Melissa Johnson, Conference Manager</w:t>
      </w:r>
    </w:p>
    <w:p w14:paraId="72C53FC3" w14:textId="6B03FF90" w:rsidR="004846F0" w:rsidRPr="00E718F3" w:rsidRDefault="00A85F73" w:rsidP="00A85F73">
      <w:pPr>
        <w:shd w:val="clear" w:color="auto" w:fill="FFFFFF"/>
        <w:rPr>
          <w:rFonts w:asciiTheme="minorHAnsi" w:hAnsiTheme="minorHAnsi"/>
          <w:color w:val="000000"/>
          <w:sz w:val="24"/>
          <w:szCs w:val="24"/>
        </w:rPr>
      </w:pPr>
      <w:r w:rsidRPr="00E718F3">
        <w:rPr>
          <w:rFonts w:asciiTheme="minorHAnsi" w:hAnsiTheme="minorHAnsi"/>
          <w:sz w:val="24"/>
          <w:szCs w:val="24"/>
        </w:rPr>
        <w:tab/>
      </w:r>
      <w:r w:rsidRPr="00E718F3">
        <w:rPr>
          <w:rFonts w:asciiTheme="minorHAnsi" w:hAnsiTheme="minorHAnsi"/>
          <w:sz w:val="24"/>
          <w:szCs w:val="24"/>
        </w:rPr>
        <w:tab/>
        <w:t xml:space="preserve">Angela Maycock, </w:t>
      </w:r>
      <w:r w:rsidRPr="00E718F3">
        <w:rPr>
          <w:rFonts w:asciiTheme="minorHAnsi" w:hAnsiTheme="minorHAnsi"/>
          <w:color w:val="000000"/>
          <w:sz w:val="24"/>
          <w:szCs w:val="24"/>
        </w:rPr>
        <w:t>Manager, Continuing Education</w:t>
      </w:r>
    </w:p>
    <w:p w14:paraId="0BD8A3B7" w14:textId="5648C301" w:rsidR="00861C04" w:rsidRPr="00E718F3" w:rsidRDefault="006B491B" w:rsidP="006B491B">
      <w:pPr>
        <w:rPr>
          <w:rFonts w:asciiTheme="minorHAnsi" w:hAnsiTheme="minorHAnsi"/>
          <w:sz w:val="24"/>
          <w:szCs w:val="24"/>
        </w:rPr>
      </w:pPr>
      <w:r w:rsidRPr="00E718F3">
        <w:rPr>
          <w:rFonts w:asciiTheme="minorHAnsi" w:hAnsiTheme="minorHAnsi"/>
          <w:b/>
          <w:sz w:val="24"/>
          <w:szCs w:val="24"/>
        </w:rPr>
        <w:t>RE:</w:t>
      </w:r>
      <w:r w:rsidRPr="00E718F3">
        <w:rPr>
          <w:rFonts w:asciiTheme="minorHAnsi" w:hAnsiTheme="minorHAnsi"/>
          <w:sz w:val="24"/>
          <w:szCs w:val="24"/>
        </w:rPr>
        <w:tab/>
      </w:r>
      <w:r w:rsidRPr="00E718F3">
        <w:rPr>
          <w:rFonts w:asciiTheme="minorHAnsi" w:hAnsiTheme="minorHAnsi"/>
          <w:sz w:val="24"/>
          <w:szCs w:val="24"/>
        </w:rPr>
        <w:tab/>
      </w:r>
      <w:r w:rsidR="00A85F73" w:rsidRPr="00E718F3">
        <w:rPr>
          <w:rFonts w:asciiTheme="minorHAnsi" w:hAnsiTheme="minorHAnsi"/>
          <w:sz w:val="24"/>
          <w:szCs w:val="24"/>
        </w:rPr>
        <w:t>PLA 202</w:t>
      </w:r>
      <w:r w:rsidR="009C1376" w:rsidRPr="00E718F3">
        <w:rPr>
          <w:rFonts w:asciiTheme="minorHAnsi" w:hAnsiTheme="minorHAnsi"/>
          <w:sz w:val="24"/>
          <w:szCs w:val="24"/>
        </w:rPr>
        <w:t>2</w:t>
      </w:r>
      <w:r w:rsidR="00A85F73" w:rsidRPr="00E718F3">
        <w:rPr>
          <w:rFonts w:asciiTheme="minorHAnsi" w:hAnsiTheme="minorHAnsi"/>
          <w:sz w:val="24"/>
          <w:szCs w:val="24"/>
        </w:rPr>
        <w:t xml:space="preserve"> Update</w:t>
      </w:r>
    </w:p>
    <w:p w14:paraId="0D1B3B46" w14:textId="213D2CDE" w:rsidR="00DA25E3" w:rsidRPr="00E718F3" w:rsidRDefault="00DA25E3" w:rsidP="0068318B">
      <w:pPr>
        <w:tabs>
          <w:tab w:val="left" w:pos="720"/>
          <w:tab w:val="left" w:pos="1440"/>
          <w:tab w:val="left" w:pos="2160"/>
          <w:tab w:val="left" w:pos="3120"/>
        </w:tabs>
        <w:rPr>
          <w:rFonts w:asciiTheme="minorHAnsi" w:hAnsiTheme="minorHAnsi"/>
          <w:sz w:val="24"/>
          <w:szCs w:val="24"/>
        </w:rPr>
      </w:pPr>
      <w:r w:rsidRPr="00E718F3">
        <w:rPr>
          <w:rFonts w:asciiTheme="minorHAnsi" w:hAnsiTheme="minorHAnsi"/>
          <w:b/>
          <w:sz w:val="24"/>
          <w:szCs w:val="24"/>
        </w:rPr>
        <w:t>DATE:</w:t>
      </w:r>
      <w:r w:rsidRPr="00E718F3">
        <w:rPr>
          <w:rFonts w:asciiTheme="minorHAnsi" w:hAnsiTheme="minorHAnsi"/>
          <w:sz w:val="24"/>
          <w:szCs w:val="24"/>
        </w:rPr>
        <w:tab/>
      </w:r>
      <w:r w:rsidRPr="00E718F3">
        <w:rPr>
          <w:rFonts w:asciiTheme="minorHAnsi" w:hAnsiTheme="minorHAnsi"/>
          <w:sz w:val="24"/>
          <w:szCs w:val="24"/>
        </w:rPr>
        <w:tab/>
      </w:r>
      <w:r w:rsidR="009C1376" w:rsidRPr="00E718F3">
        <w:rPr>
          <w:rFonts w:asciiTheme="minorHAnsi" w:hAnsiTheme="minorHAnsi"/>
          <w:sz w:val="24"/>
          <w:szCs w:val="24"/>
        </w:rPr>
        <w:t>February 2</w:t>
      </w:r>
      <w:r w:rsidR="0067055A">
        <w:rPr>
          <w:rFonts w:asciiTheme="minorHAnsi" w:hAnsiTheme="minorHAnsi"/>
          <w:sz w:val="24"/>
          <w:szCs w:val="24"/>
        </w:rPr>
        <w:t>5,</w:t>
      </w:r>
      <w:r w:rsidR="009C1376" w:rsidRPr="00E718F3">
        <w:rPr>
          <w:rFonts w:asciiTheme="minorHAnsi" w:hAnsiTheme="minorHAnsi"/>
          <w:sz w:val="24"/>
          <w:szCs w:val="24"/>
        </w:rPr>
        <w:t xml:space="preserve"> 2022</w:t>
      </w:r>
    </w:p>
    <w:p w14:paraId="68BDA812" w14:textId="77777777" w:rsidR="00744EC4" w:rsidRPr="00E718F3" w:rsidRDefault="00744EC4" w:rsidP="0068318B">
      <w:pPr>
        <w:tabs>
          <w:tab w:val="left" w:pos="720"/>
          <w:tab w:val="left" w:pos="1440"/>
          <w:tab w:val="left" w:pos="2160"/>
          <w:tab w:val="left" w:pos="3120"/>
        </w:tabs>
        <w:rPr>
          <w:rFonts w:asciiTheme="minorHAnsi" w:hAnsiTheme="minorHAnsi"/>
          <w:sz w:val="24"/>
          <w:szCs w:val="24"/>
        </w:rPr>
      </w:pPr>
    </w:p>
    <w:p w14:paraId="4EE5AADB" w14:textId="63BA0DBE" w:rsidR="00DA25E3" w:rsidRPr="00E718F3" w:rsidRDefault="00DA25E3" w:rsidP="00260E42">
      <w:pPr>
        <w:ind w:left="2160" w:hanging="2160"/>
        <w:rPr>
          <w:rFonts w:asciiTheme="minorHAnsi" w:hAnsiTheme="minorHAnsi"/>
          <w:i/>
          <w:sz w:val="24"/>
          <w:szCs w:val="24"/>
        </w:rPr>
      </w:pPr>
      <w:r w:rsidRPr="00E718F3">
        <w:rPr>
          <w:rFonts w:asciiTheme="minorHAnsi" w:hAnsiTheme="minorHAnsi"/>
          <w:b/>
          <w:sz w:val="24"/>
          <w:szCs w:val="24"/>
        </w:rPr>
        <w:t>ACTION REQUESTED/INFORMATION/REPORT:</w:t>
      </w:r>
      <w:r w:rsidR="00020D52" w:rsidRPr="00E718F3">
        <w:rPr>
          <w:rFonts w:asciiTheme="minorHAnsi" w:hAnsiTheme="minorHAnsi"/>
          <w:sz w:val="24"/>
          <w:szCs w:val="24"/>
        </w:rPr>
        <w:t xml:space="preserve">  </w:t>
      </w:r>
      <w:r w:rsidR="00260E42" w:rsidRPr="00E718F3">
        <w:rPr>
          <w:rFonts w:asciiTheme="minorHAnsi" w:hAnsiTheme="minorHAnsi"/>
          <w:sz w:val="24"/>
          <w:szCs w:val="24"/>
        </w:rPr>
        <w:t>Report</w:t>
      </w:r>
    </w:p>
    <w:p w14:paraId="4BBBD9AC" w14:textId="731BD95D" w:rsidR="00BC332B" w:rsidRPr="00E718F3" w:rsidRDefault="00BC332B" w:rsidP="0068318B">
      <w:pPr>
        <w:rPr>
          <w:rFonts w:asciiTheme="minorHAnsi" w:hAnsiTheme="minorHAnsi"/>
          <w:b/>
          <w:sz w:val="24"/>
          <w:szCs w:val="24"/>
        </w:rPr>
      </w:pPr>
    </w:p>
    <w:p w14:paraId="5C468FE2" w14:textId="3612EA14" w:rsidR="00BC332B" w:rsidRPr="00E718F3" w:rsidRDefault="008E0F0C" w:rsidP="000C0572">
      <w:pPr>
        <w:spacing w:line="276" w:lineRule="auto"/>
        <w:rPr>
          <w:rFonts w:asciiTheme="minorHAnsi" w:hAnsiTheme="minorHAnsi"/>
          <w:color w:val="000000" w:themeColor="text1"/>
          <w:sz w:val="24"/>
          <w:szCs w:val="24"/>
        </w:rPr>
      </w:pPr>
      <w:r w:rsidRPr="00E718F3">
        <w:rPr>
          <w:rFonts w:asciiTheme="minorHAnsi" w:hAnsiTheme="minorHAnsi"/>
          <w:bCs/>
          <w:color w:val="000000" w:themeColor="text1"/>
          <w:sz w:val="24"/>
          <w:szCs w:val="24"/>
        </w:rPr>
        <w:t xml:space="preserve">PLA staff are making final preparations for </w:t>
      </w:r>
      <w:r w:rsidR="00B548FB" w:rsidRPr="00E718F3">
        <w:rPr>
          <w:rFonts w:asciiTheme="minorHAnsi" w:hAnsiTheme="minorHAnsi"/>
          <w:bCs/>
          <w:color w:val="000000" w:themeColor="text1"/>
          <w:sz w:val="24"/>
          <w:szCs w:val="24"/>
        </w:rPr>
        <w:t xml:space="preserve">PLA 2022 in Portland, OR, </w:t>
      </w:r>
      <w:r w:rsidRPr="00E718F3">
        <w:rPr>
          <w:rFonts w:asciiTheme="minorHAnsi" w:hAnsiTheme="minorHAnsi"/>
          <w:bCs/>
          <w:color w:val="000000" w:themeColor="text1"/>
          <w:sz w:val="24"/>
          <w:szCs w:val="24"/>
        </w:rPr>
        <w:t>along with a</w:t>
      </w:r>
      <w:r w:rsidR="00C566DB" w:rsidRPr="00E718F3">
        <w:rPr>
          <w:rFonts w:asciiTheme="minorHAnsi" w:hAnsiTheme="minorHAnsi"/>
          <w:bCs/>
          <w:color w:val="000000" w:themeColor="text1"/>
          <w:sz w:val="24"/>
          <w:szCs w:val="24"/>
        </w:rPr>
        <w:t xml:space="preserve">n expanded </w:t>
      </w:r>
      <w:r w:rsidRPr="00E718F3">
        <w:rPr>
          <w:rFonts w:asciiTheme="minorHAnsi" w:hAnsiTheme="minorHAnsi"/>
          <w:bCs/>
          <w:color w:val="000000" w:themeColor="text1"/>
          <w:sz w:val="24"/>
          <w:szCs w:val="24"/>
        </w:rPr>
        <w:t xml:space="preserve">virtual conference. </w:t>
      </w:r>
    </w:p>
    <w:p w14:paraId="56D782A0" w14:textId="4C87E7E4" w:rsidR="00445544" w:rsidRPr="00E718F3" w:rsidRDefault="00445544" w:rsidP="00445544">
      <w:pPr>
        <w:pStyle w:val="xmsonormal"/>
        <w:spacing w:before="0" w:beforeAutospacing="0" w:after="0" w:afterAutospacing="0"/>
        <w:rPr>
          <w:rFonts w:asciiTheme="minorHAnsi" w:hAnsiTheme="minorHAnsi"/>
          <w:b/>
          <w:sz w:val="24"/>
          <w:szCs w:val="24"/>
        </w:rPr>
      </w:pPr>
    </w:p>
    <w:p w14:paraId="14D7FAE9" w14:textId="3B6058B5" w:rsidR="008E0F0C" w:rsidRPr="00E718F3" w:rsidRDefault="008E0F0C" w:rsidP="00445544">
      <w:pPr>
        <w:pStyle w:val="xmsonormal"/>
        <w:spacing w:before="0" w:beforeAutospacing="0" w:after="0" w:afterAutospacing="0"/>
        <w:rPr>
          <w:rFonts w:asciiTheme="minorHAnsi" w:hAnsiTheme="minorHAnsi"/>
          <w:b/>
          <w:sz w:val="24"/>
          <w:szCs w:val="24"/>
          <w:u w:val="single"/>
        </w:rPr>
      </w:pPr>
      <w:r w:rsidRPr="00E718F3">
        <w:rPr>
          <w:rFonts w:asciiTheme="minorHAnsi" w:hAnsiTheme="minorHAnsi"/>
          <w:b/>
          <w:sz w:val="24"/>
          <w:szCs w:val="24"/>
          <w:u w:val="single"/>
        </w:rPr>
        <w:t>Registration</w:t>
      </w:r>
      <w:r w:rsidR="00A9525B" w:rsidRPr="00E718F3">
        <w:rPr>
          <w:rFonts w:asciiTheme="minorHAnsi" w:hAnsiTheme="minorHAnsi"/>
          <w:b/>
          <w:sz w:val="24"/>
          <w:szCs w:val="24"/>
          <w:u w:val="single"/>
        </w:rPr>
        <w:t xml:space="preserve"> &amp; Housing </w:t>
      </w:r>
    </w:p>
    <w:p w14:paraId="3E01B74D" w14:textId="78464081" w:rsidR="009229E9" w:rsidRPr="00E718F3" w:rsidRDefault="00750EDC" w:rsidP="000F2D69">
      <w:pPr>
        <w:rPr>
          <w:rFonts w:asciiTheme="minorHAnsi" w:hAnsiTheme="minorHAnsi"/>
          <w:sz w:val="24"/>
          <w:szCs w:val="24"/>
        </w:rPr>
      </w:pPr>
      <w:r w:rsidRPr="00E718F3">
        <w:rPr>
          <w:rFonts w:asciiTheme="minorHAnsi" w:hAnsiTheme="minorHAnsi"/>
          <w:sz w:val="24"/>
          <w:szCs w:val="24"/>
        </w:rPr>
        <w:t xml:space="preserve">As of Wednesday, February 23, there are 3,226 full conference attendees registered for the conference, compared to approximately 5,500 full conference attendees registered at the same time for Nashville in 2020. </w:t>
      </w:r>
    </w:p>
    <w:p w14:paraId="3A259F1B" w14:textId="5055AD98" w:rsidR="00A9525B" w:rsidRPr="00E718F3" w:rsidRDefault="00A9525B" w:rsidP="000F2D69">
      <w:pPr>
        <w:rPr>
          <w:rFonts w:asciiTheme="minorHAnsi" w:hAnsiTheme="minorHAnsi"/>
          <w:sz w:val="24"/>
          <w:szCs w:val="24"/>
        </w:rPr>
      </w:pPr>
    </w:p>
    <w:p w14:paraId="5A556594" w14:textId="2BA4ACC6" w:rsidR="00A9525B" w:rsidRPr="00E718F3" w:rsidRDefault="00A9525B" w:rsidP="00A9525B">
      <w:pPr>
        <w:rPr>
          <w:rFonts w:asciiTheme="minorHAnsi" w:eastAsia="Times New Roman" w:hAnsiTheme="minorHAnsi"/>
          <w:sz w:val="24"/>
          <w:szCs w:val="24"/>
        </w:rPr>
      </w:pPr>
      <w:r w:rsidRPr="00E718F3">
        <w:rPr>
          <w:rFonts w:asciiTheme="minorHAnsi" w:hAnsiTheme="minorHAnsi"/>
          <w:sz w:val="24"/>
          <w:szCs w:val="24"/>
        </w:rPr>
        <w:t xml:space="preserve">The housing block is at </w:t>
      </w:r>
      <w:r w:rsidRPr="00E718F3">
        <w:rPr>
          <w:rFonts w:asciiTheme="minorHAnsi" w:eastAsia="Times New Roman" w:hAnsiTheme="minorHAnsi"/>
          <w:sz w:val="24"/>
          <w:szCs w:val="24"/>
        </w:rPr>
        <w:t xml:space="preserve">79%, with a total of 8,436 room nights sold and 2,252 reservations booked on peak. In 2020, overall block was at 88%, with 4,019 reservations booked on peak. </w:t>
      </w:r>
    </w:p>
    <w:p w14:paraId="6784E72B" w14:textId="70A54225" w:rsidR="005971B4" w:rsidRPr="00E718F3" w:rsidRDefault="005971B4" w:rsidP="00A9525B">
      <w:pPr>
        <w:rPr>
          <w:rFonts w:asciiTheme="minorHAnsi" w:eastAsia="Times New Roman" w:hAnsiTheme="minorHAnsi"/>
          <w:sz w:val="24"/>
          <w:szCs w:val="24"/>
        </w:rPr>
      </w:pPr>
    </w:p>
    <w:p w14:paraId="106F5062" w14:textId="77777777" w:rsidR="005971B4" w:rsidRPr="00E718F3" w:rsidRDefault="005971B4" w:rsidP="005971B4">
      <w:pPr>
        <w:rPr>
          <w:rFonts w:asciiTheme="minorHAnsi" w:eastAsia="Times New Roman" w:hAnsiTheme="minorHAnsi"/>
          <w:b/>
          <w:bCs/>
          <w:sz w:val="24"/>
          <w:szCs w:val="24"/>
          <w:u w:val="single"/>
        </w:rPr>
      </w:pPr>
      <w:r w:rsidRPr="00E718F3">
        <w:rPr>
          <w:rFonts w:asciiTheme="minorHAnsi" w:eastAsia="Times New Roman" w:hAnsiTheme="minorHAnsi"/>
          <w:b/>
          <w:bCs/>
          <w:sz w:val="24"/>
          <w:szCs w:val="24"/>
          <w:u w:val="single"/>
        </w:rPr>
        <w:t xml:space="preserve">Exhibits </w:t>
      </w:r>
    </w:p>
    <w:p w14:paraId="196B6E0F" w14:textId="77777777" w:rsidR="005971B4" w:rsidRPr="00E718F3" w:rsidRDefault="005971B4" w:rsidP="005971B4">
      <w:pPr>
        <w:rPr>
          <w:rFonts w:asciiTheme="minorHAnsi" w:hAnsiTheme="minorHAnsi"/>
          <w:sz w:val="24"/>
          <w:szCs w:val="24"/>
        </w:rPr>
      </w:pPr>
      <w:r w:rsidRPr="00E718F3">
        <w:rPr>
          <w:rFonts w:asciiTheme="minorHAnsi" w:hAnsiTheme="minorHAnsi"/>
          <w:sz w:val="24"/>
          <w:szCs w:val="24"/>
        </w:rPr>
        <w:t>There are currently 199 companies confirmed to exhibit in 435 booths at the conference, compared to 298 companies in 667 booths at this time for Nashville in 2020. Most 2022 events are finishing around 70% of their pre-covid events, which PLA is on track to reach.</w:t>
      </w:r>
    </w:p>
    <w:p w14:paraId="01F17172" w14:textId="433C0E89" w:rsidR="00A9525B" w:rsidRDefault="00A9525B" w:rsidP="000F2D69">
      <w:pPr>
        <w:rPr>
          <w:rFonts w:asciiTheme="minorHAnsi" w:eastAsia="Times New Roman" w:hAnsiTheme="minorHAnsi"/>
          <w:sz w:val="24"/>
          <w:szCs w:val="24"/>
        </w:rPr>
      </w:pPr>
    </w:p>
    <w:p w14:paraId="7AEE5DF3" w14:textId="77777777" w:rsidR="006D6FD6" w:rsidRPr="00E718F3" w:rsidRDefault="006D6FD6" w:rsidP="006D6FD6">
      <w:pPr>
        <w:rPr>
          <w:rFonts w:asciiTheme="minorHAnsi" w:eastAsia="Times New Roman" w:hAnsiTheme="minorHAnsi"/>
          <w:b/>
          <w:bCs/>
          <w:sz w:val="24"/>
          <w:szCs w:val="24"/>
          <w:u w:val="single"/>
        </w:rPr>
      </w:pPr>
      <w:r w:rsidRPr="00E718F3">
        <w:rPr>
          <w:rFonts w:asciiTheme="minorHAnsi" w:eastAsia="Times New Roman" w:hAnsiTheme="minorHAnsi"/>
          <w:b/>
          <w:bCs/>
          <w:sz w:val="24"/>
          <w:szCs w:val="24"/>
          <w:u w:val="single"/>
        </w:rPr>
        <w:t xml:space="preserve">Exhibits </w:t>
      </w:r>
    </w:p>
    <w:p w14:paraId="25973461" w14:textId="77777777" w:rsidR="006D6FD6" w:rsidRPr="00E718F3" w:rsidRDefault="006D6FD6" w:rsidP="006D6FD6">
      <w:pPr>
        <w:rPr>
          <w:rFonts w:asciiTheme="minorHAnsi" w:hAnsiTheme="minorHAnsi"/>
          <w:sz w:val="24"/>
          <w:szCs w:val="24"/>
        </w:rPr>
      </w:pPr>
      <w:r w:rsidRPr="00E718F3">
        <w:rPr>
          <w:rFonts w:asciiTheme="minorHAnsi" w:hAnsiTheme="minorHAnsi"/>
          <w:sz w:val="24"/>
          <w:szCs w:val="24"/>
        </w:rPr>
        <w:t>There are currently 199 companies confirmed to exhibit in 435 booths at the conference, compared to 298 companies in 667 booths at this time for Nashville in 2020. Most 2022 events are finishing around 70% of their pre-covid events, which PLA is on track to reach.</w:t>
      </w:r>
    </w:p>
    <w:p w14:paraId="720668C6" w14:textId="77777777" w:rsidR="006D6FD6" w:rsidRPr="00E718F3" w:rsidRDefault="006D6FD6" w:rsidP="000F2D69">
      <w:pPr>
        <w:rPr>
          <w:rFonts w:asciiTheme="minorHAnsi" w:eastAsia="Times New Roman" w:hAnsiTheme="minorHAnsi"/>
          <w:sz w:val="24"/>
          <w:szCs w:val="24"/>
        </w:rPr>
      </w:pPr>
    </w:p>
    <w:p w14:paraId="1305FD0F" w14:textId="30FD967C" w:rsidR="00E36850" w:rsidRDefault="005971B4" w:rsidP="000F2D69">
      <w:pPr>
        <w:rPr>
          <w:rFonts w:asciiTheme="minorHAnsi" w:eastAsia="Times New Roman" w:hAnsiTheme="minorHAnsi"/>
          <w:b/>
          <w:bCs/>
          <w:sz w:val="24"/>
          <w:szCs w:val="24"/>
        </w:rPr>
      </w:pPr>
      <w:r w:rsidRPr="006D6FD6">
        <w:rPr>
          <w:rFonts w:asciiTheme="minorHAnsi" w:eastAsia="Times New Roman" w:hAnsiTheme="minorHAnsi"/>
          <w:b/>
          <w:bCs/>
          <w:sz w:val="24"/>
          <w:szCs w:val="24"/>
          <w:u w:val="single"/>
        </w:rPr>
        <w:t>Financials</w:t>
      </w:r>
    </w:p>
    <w:p w14:paraId="0B82E5FF" w14:textId="0B9CA9E0" w:rsidR="00E36850" w:rsidRPr="00E36850" w:rsidRDefault="00E36850" w:rsidP="000F2D69">
      <w:pPr>
        <w:rPr>
          <w:rFonts w:asciiTheme="minorHAnsi" w:eastAsia="Times New Roman" w:hAnsiTheme="minorHAnsi"/>
          <w:sz w:val="24"/>
          <w:szCs w:val="24"/>
        </w:rPr>
      </w:pPr>
      <w:r w:rsidRPr="00E36850">
        <w:rPr>
          <w:rFonts w:asciiTheme="minorHAnsi" w:eastAsia="Times New Roman" w:hAnsiTheme="minorHAnsi"/>
          <w:sz w:val="24"/>
          <w:szCs w:val="24"/>
        </w:rPr>
        <w:t>Below is a “back of the envelope” view of the major conference revenue categories</w:t>
      </w:r>
      <w:r>
        <w:rPr>
          <w:rFonts w:asciiTheme="minorHAnsi" w:eastAsia="Times New Roman" w:hAnsiTheme="minorHAnsi"/>
          <w:sz w:val="24"/>
          <w:szCs w:val="24"/>
        </w:rPr>
        <w:t xml:space="preserve"> as of February 24, 2022, based on reports from our registration and sales vendors.</w:t>
      </w:r>
      <w:r w:rsidRPr="00E36850">
        <w:rPr>
          <w:rFonts w:asciiTheme="minorHAnsi" w:eastAsia="Times New Roman" w:hAnsiTheme="minorHAnsi"/>
          <w:sz w:val="24"/>
          <w:szCs w:val="24"/>
        </w:rPr>
        <w:t xml:space="preserve"> </w:t>
      </w:r>
    </w:p>
    <w:tbl>
      <w:tblPr>
        <w:tblStyle w:val="TableGrid"/>
        <w:tblW w:w="0" w:type="auto"/>
        <w:tblLook w:val="04A0" w:firstRow="1" w:lastRow="0" w:firstColumn="1" w:lastColumn="0" w:noHBand="0" w:noVBand="1"/>
      </w:tblPr>
      <w:tblGrid>
        <w:gridCol w:w="2014"/>
        <w:gridCol w:w="2014"/>
        <w:gridCol w:w="2014"/>
        <w:gridCol w:w="2014"/>
        <w:gridCol w:w="2014"/>
      </w:tblGrid>
      <w:tr w:rsidR="00E36850" w14:paraId="567E212D" w14:textId="77777777" w:rsidTr="00712AEA">
        <w:tc>
          <w:tcPr>
            <w:tcW w:w="2014" w:type="dxa"/>
            <w:vAlign w:val="bottom"/>
          </w:tcPr>
          <w:p w14:paraId="51C56474" w14:textId="07D58A85" w:rsidR="00E36850" w:rsidRPr="00E36850" w:rsidRDefault="00E36850" w:rsidP="00E36850">
            <w:pPr>
              <w:rPr>
                <w:rFonts w:asciiTheme="minorHAnsi" w:eastAsia="Times New Roman" w:hAnsiTheme="minorHAnsi"/>
                <w:b/>
                <w:bCs/>
                <w:sz w:val="24"/>
                <w:szCs w:val="24"/>
              </w:rPr>
            </w:pPr>
          </w:p>
        </w:tc>
        <w:tc>
          <w:tcPr>
            <w:tcW w:w="2014" w:type="dxa"/>
            <w:vAlign w:val="bottom"/>
          </w:tcPr>
          <w:p w14:paraId="1CAB90BB" w14:textId="55A305B2" w:rsidR="00E36850" w:rsidRPr="00E36850" w:rsidRDefault="00E36850" w:rsidP="00E36850">
            <w:pPr>
              <w:rPr>
                <w:rFonts w:asciiTheme="minorHAnsi" w:eastAsia="Times New Roman" w:hAnsiTheme="minorHAnsi"/>
                <w:b/>
                <w:bCs/>
                <w:sz w:val="24"/>
                <w:szCs w:val="24"/>
                <w:u w:val="single"/>
              </w:rPr>
            </w:pPr>
            <w:r w:rsidRPr="00E36850">
              <w:rPr>
                <w:rFonts w:ascii="Tahoma" w:hAnsi="Tahoma" w:cs="Tahoma"/>
                <w:b/>
                <w:bCs/>
                <w:sz w:val="20"/>
                <w:szCs w:val="20"/>
              </w:rPr>
              <w:t>Budgeted</w:t>
            </w:r>
          </w:p>
        </w:tc>
        <w:tc>
          <w:tcPr>
            <w:tcW w:w="2014" w:type="dxa"/>
            <w:vAlign w:val="bottom"/>
          </w:tcPr>
          <w:p w14:paraId="7CDC208F" w14:textId="29409F57" w:rsidR="00E36850" w:rsidRPr="00E36850" w:rsidRDefault="00E36850" w:rsidP="00E36850">
            <w:pPr>
              <w:rPr>
                <w:rFonts w:asciiTheme="minorHAnsi" w:eastAsia="Times New Roman" w:hAnsiTheme="minorHAnsi"/>
                <w:b/>
                <w:bCs/>
                <w:sz w:val="24"/>
                <w:szCs w:val="24"/>
                <w:u w:val="single"/>
              </w:rPr>
            </w:pPr>
            <w:r w:rsidRPr="00E36850">
              <w:rPr>
                <w:rFonts w:ascii="Tahoma" w:hAnsi="Tahoma" w:cs="Tahoma"/>
                <w:b/>
                <w:bCs/>
                <w:sz w:val="20"/>
                <w:szCs w:val="20"/>
              </w:rPr>
              <w:t>2-24-22 Actual</w:t>
            </w:r>
          </w:p>
        </w:tc>
        <w:tc>
          <w:tcPr>
            <w:tcW w:w="2014" w:type="dxa"/>
            <w:vAlign w:val="bottom"/>
          </w:tcPr>
          <w:p w14:paraId="23DA0ADB" w14:textId="27887244" w:rsidR="00E36850" w:rsidRPr="00E36850" w:rsidRDefault="00E36850" w:rsidP="00E36850">
            <w:pPr>
              <w:rPr>
                <w:rFonts w:asciiTheme="minorHAnsi" w:eastAsia="Times New Roman" w:hAnsiTheme="minorHAnsi"/>
                <w:b/>
                <w:bCs/>
                <w:sz w:val="24"/>
                <w:szCs w:val="24"/>
                <w:u w:val="single"/>
              </w:rPr>
            </w:pPr>
            <w:r w:rsidRPr="00E36850">
              <w:rPr>
                <w:rFonts w:ascii="Tahoma" w:hAnsi="Tahoma" w:cs="Tahoma"/>
                <w:b/>
                <w:bCs/>
                <w:sz w:val="20"/>
                <w:szCs w:val="20"/>
              </w:rPr>
              <w:t xml:space="preserve">Variance </w:t>
            </w:r>
          </w:p>
        </w:tc>
        <w:tc>
          <w:tcPr>
            <w:tcW w:w="2014" w:type="dxa"/>
            <w:vAlign w:val="bottom"/>
          </w:tcPr>
          <w:p w14:paraId="7EDF459A" w14:textId="313CD618" w:rsidR="00E36850" w:rsidRPr="00E36850" w:rsidRDefault="00E36850" w:rsidP="00E36850">
            <w:pPr>
              <w:rPr>
                <w:rFonts w:asciiTheme="minorHAnsi" w:eastAsia="Times New Roman" w:hAnsiTheme="minorHAnsi"/>
                <w:b/>
                <w:bCs/>
                <w:sz w:val="24"/>
                <w:szCs w:val="24"/>
                <w:u w:val="single"/>
              </w:rPr>
            </w:pPr>
            <w:r w:rsidRPr="00E36850">
              <w:rPr>
                <w:rFonts w:ascii="Tahoma" w:hAnsi="Tahoma" w:cs="Tahoma"/>
                <w:b/>
                <w:bCs/>
                <w:sz w:val="20"/>
                <w:szCs w:val="20"/>
              </w:rPr>
              <w:t>% Var</w:t>
            </w:r>
            <w:r>
              <w:rPr>
                <w:rFonts w:ascii="Tahoma" w:hAnsi="Tahoma" w:cs="Tahoma"/>
                <w:b/>
                <w:bCs/>
                <w:sz w:val="20"/>
                <w:szCs w:val="20"/>
              </w:rPr>
              <w:t>iance</w:t>
            </w:r>
          </w:p>
        </w:tc>
      </w:tr>
      <w:tr w:rsidR="00712AEA" w:rsidRPr="00712AEA" w14:paraId="5647C7CE" w14:textId="77777777" w:rsidTr="00712AEA">
        <w:trPr>
          <w:trHeight w:val="255"/>
        </w:trPr>
        <w:tc>
          <w:tcPr>
            <w:tcW w:w="2014" w:type="dxa"/>
            <w:noWrap/>
            <w:hideMark/>
          </w:tcPr>
          <w:p w14:paraId="7FCD11D1" w14:textId="77777777" w:rsidR="00712AEA" w:rsidRDefault="00712AEA" w:rsidP="00712AEA">
            <w:pPr>
              <w:rPr>
                <w:rFonts w:ascii="Tahoma" w:eastAsia="Times New Roman" w:hAnsi="Tahoma" w:cs="Tahoma"/>
                <w:sz w:val="20"/>
                <w:szCs w:val="20"/>
              </w:rPr>
            </w:pPr>
            <w:r w:rsidRPr="00712AEA">
              <w:rPr>
                <w:rFonts w:ascii="Tahoma" w:eastAsia="Times New Roman" w:hAnsi="Tahoma" w:cs="Tahoma"/>
                <w:sz w:val="20"/>
                <w:szCs w:val="20"/>
              </w:rPr>
              <w:t>Registration</w:t>
            </w:r>
          </w:p>
          <w:p w14:paraId="52E4AE07" w14:textId="0D187F01" w:rsidR="00712AEA" w:rsidRPr="00712AEA" w:rsidRDefault="00712AEA" w:rsidP="00712AEA">
            <w:pPr>
              <w:rPr>
                <w:rFonts w:ascii="Tahoma" w:eastAsia="Times New Roman" w:hAnsi="Tahoma" w:cs="Tahoma"/>
                <w:sz w:val="20"/>
                <w:szCs w:val="20"/>
              </w:rPr>
            </w:pPr>
          </w:p>
        </w:tc>
        <w:tc>
          <w:tcPr>
            <w:tcW w:w="2014" w:type="dxa"/>
            <w:noWrap/>
            <w:hideMark/>
          </w:tcPr>
          <w:p w14:paraId="29F514E4"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1,512,500</w:t>
            </w:r>
          </w:p>
        </w:tc>
        <w:tc>
          <w:tcPr>
            <w:tcW w:w="2014" w:type="dxa"/>
            <w:noWrap/>
            <w:hideMark/>
          </w:tcPr>
          <w:p w14:paraId="3A2F3A35"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1,209,237</w:t>
            </w:r>
          </w:p>
        </w:tc>
        <w:tc>
          <w:tcPr>
            <w:tcW w:w="2014" w:type="dxa"/>
            <w:noWrap/>
            <w:hideMark/>
          </w:tcPr>
          <w:p w14:paraId="40D8D2C1"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color w:val="FF0000"/>
                <w:sz w:val="20"/>
                <w:szCs w:val="20"/>
              </w:rPr>
              <w:t>($303,263)</w:t>
            </w:r>
          </w:p>
        </w:tc>
        <w:tc>
          <w:tcPr>
            <w:tcW w:w="2014" w:type="dxa"/>
            <w:noWrap/>
            <w:hideMark/>
          </w:tcPr>
          <w:p w14:paraId="591A053D"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-20%</w:t>
            </w:r>
          </w:p>
        </w:tc>
      </w:tr>
      <w:tr w:rsidR="00712AEA" w:rsidRPr="00712AEA" w14:paraId="5441104A" w14:textId="77777777" w:rsidTr="00712AEA">
        <w:trPr>
          <w:trHeight w:val="255"/>
        </w:trPr>
        <w:tc>
          <w:tcPr>
            <w:tcW w:w="2014" w:type="dxa"/>
            <w:noWrap/>
            <w:hideMark/>
          </w:tcPr>
          <w:p w14:paraId="78DE9E37" w14:textId="77777777" w:rsidR="00712AEA" w:rsidRDefault="00712AEA" w:rsidP="00712AEA">
            <w:pPr>
              <w:rPr>
                <w:rFonts w:ascii="Tahoma" w:eastAsia="Times New Roman" w:hAnsi="Tahoma" w:cs="Tahoma"/>
                <w:sz w:val="20"/>
                <w:szCs w:val="20"/>
              </w:rPr>
            </w:pPr>
            <w:r w:rsidRPr="00712AEA">
              <w:rPr>
                <w:rFonts w:ascii="Tahoma" w:eastAsia="Times New Roman" w:hAnsi="Tahoma" w:cs="Tahoma"/>
                <w:sz w:val="20"/>
                <w:szCs w:val="20"/>
              </w:rPr>
              <w:t>Preconferences</w:t>
            </w:r>
          </w:p>
          <w:p w14:paraId="1AC91117" w14:textId="79317190" w:rsidR="00712AEA" w:rsidRPr="00712AEA" w:rsidRDefault="00712AEA" w:rsidP="00712AEA">
            <w:pPr>
              <w:rPr>
                <w:rFonts w:ascii="Tahoma" w:eastAsia="Times New Roman" w:hAnsi="Tahoma" w:cs="Tahoma"/>
                <w:sz w:val="20"/>
                <w:szCs w:val="20"/>
              </w:rPr>
            </w:pPr>
          </w:p>
        </w:tc>
        <w:tc>
          <w:tcPr>
            <w:tcW w:w="2014" w:type="dxa"/>
            <w:noWrap/>
            <w:hideMark/>
          </w:tcPr>
          <w:p w14:paraId="2EA15E5F"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115,000</w:t>
            </w:r>
          </w:p>
        </w:tc>
        <w:tc>
          <w:tcPr>
            <w:tcW w:w="2014" w:type="dxa"/>
            <w:noWrap/>
            <w:hideMark/>
          </w:tcPr>
          <w:p w14:paraId="7FAE3322"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58,595</w:t>
            </w:r>
          </w:p>
        </w:tc>
        <w:tc>
          <w:tcPr>
            <w:tcW w:w="2014" w:type="dxa"/>
            <w:noWrap/>
            <w:hideMark/>
          </w:tcPr>
          <w:p w14:paraId="58EC8A46"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color w:val="FF0000"/>
                <w:sz w:val="20"/>
                <w:szCs w:val="20"/>
              </w:rPr>
              <w:t>($56,405)</w:t>
            </w:r>
          </w:p>
        </w:tc>
        <w:tc>
          <w:tcPr>
            <w:tcW w:w="2014" w:type="dxa"/>
            <w:noWrap/>
            <w:hideMark/>
          </w:tcPr>
          <w:p w14:paraId="05818111"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-49%</w:t>
            </w:r>
          </w:p>
        </w:tc>
      </w:tr>
      <w:tr w:rsidR="00712AEA" w:rsidRPr="00712AEA" w14:paraId="6FD9AB11" w14:textId="77777777" w:rsidTr="00712AEA">
        <w:trPr>
          <w:trHeight w:val="255"/>
        </w:trPr>
        <w:tc>
          <w:tcPr>
            <w:tcW w:w="2014" w:type="dxa"/>
            <w:noWrap/>
            <w:hideMark/>
          </w:tcPr>
          <w:p w14:paraId="3B447E46" w14:textId="77777777" w:rsidR="00712AEA" w:rsidRDefault="00712AEA" w:rsidP="00712AEA">
            <w:pPr>
              <w:rPr>
                <w:rFonts w:ascii="Tahoma" w:eastAsia="Times New Roman" w:hAnsi="Tahoma" w:cs="Tahoma"/>
                <w:sz w:val="20"/>
                <w:szCs w:val="20"/>
              </w:rPr>
            </w:pPr>
            <w:r w:rsidRPr="00712AEA">
              <w:rPr>
                <w:rFonts w:ascii="Tahoma" w:eastAsia="Times New Roman" w:hAnsi="Tahoma" w:cs="Tahoma"/>
                <w:sz w:val="20"/>
                <w:szCs w:val="20"/>
              </w:rPr>
              <w:t>Virtual Conference</w:t>
            </w:r>
          </w:p>
          <w:p w14:paraId="5F1AB9AD" w14:textId="0F689C65" w:rsidR="00712AEA" w:rsidRPr="00712AEA" w:rsidRDefault="00712AEA" w:rsidP="00712AEA">
            <w:pPr>
              <w:rPr>
                <w:rFonts w:ascii="Tahoma" w:eastAsia="Times New Roman" w:hAnsi="Tahoma" w:cs="Tahoma"/>
                <w:sz w:val="20"/>
                <w:szCs w:val="20"/>
              </w:rPr>
            </w:pPr>
          </w:p>
        </w:tc>
        <w:tc>
          <w:tcPr>
            <w:tcW w:w="2014" w:type="dxa"/>
            <w:noWrap/>
            <w:hideMark/>
          </w:tcPr>
          <w:p w14:paraId="1F52170A"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80,000</w:t>
            </w:r>
          </w:p>
        </w:tc>
        <w:tc>
          <w:tcPr>
            <w:tcW w:w="2014" w:type="dxa"/>
            <w:noWrap/>
            <w:hideMark/>
          </w:tcPr>
          <w:p w14:paraId="2B4A9168"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246,959</w:t>
            </w:r>
          </w:p>
        </w:tc>
        <w:tc>
          <w:tcPr>
            <w:tcW w:w="2014" w:type="dxa"/>
            <w:noWrap/>
            <w:hideMark/>
          </w:tcPr>
          <w:p w14:paraId="66B91427"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 xml:space="preserve">$166,959 </w:t>
            </w:r>
          </w:p>
        </w:tc>
        <w:tc>
          <w:tcPr>
            <w:tcW w:w="2014" w:type="dxa"/>
            <w:noWrap/>
            <w:hideMark/>
          </w:tcPr>
          <w:p w14:paraId="6547000C"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209%</w:t>
            </w:r>
          </w:p>
        </w:tc>
      </w:tr>
      <w:tr w:rsidR="00712AEA" w:rsidRPr="00712AEA" w14:paraId="328254A3" w14:textId="77777777" w:rsidTr="00712AEA">
        <w:trPr>
          <w:trHeight w:val="255"/>
        </w:trPr>
        <w:tc>
          <w:tcPr>
            <w:tcW w:w="2014" w:type="dxa"/>
            <w:noWrap/>
            <w:hideMark/>
          </w:tcPr>
          <w:p w14:paraId="017FFD53" w14:textId="77777777" w:rsidR="00712AEA" w:rsidRDefault="00712AEA" w:rsidP="00712AEA">
            <w:pPr>
              <w:rPr>
                <w:rFonts w:ascii="Tahoma" w:eastAsia="Times New Roman" w:hAnsi="Tahoma" w:cs="Tahoma"/>
                <w:sz w:val="20"/>
                <w:szCs w:val="20"/>
              </w:rPr>
            </w:pPr>
            <w:r w:rsidRPr="00712AEA">
              <w:rPr>
                <w:rFonts w:ascii="Tahoma" w:eastAsia="Times New Roman" w:hAnsi="Tahoma" w:cs="Tahoma"/>
                <w:sz w:val="20"/>
                <w:szCs w:val="20"/>
              </w:rPr>
              <w:t>Exhibits</w:t>
            </w:r>
          </w:p>
          <w:p w14:paraId="0C849BCC" w14:textId="4DAD0404" w:rsidR="00712AEA" w:rsidRPr="00712AEA" w:rsidRDefault="00712AEA" w:rsidP="00712AEA">
            <w:pPr>
              <w:rPr>
                <w:rFonts w:ascii="Tahoma" w:eastAsia="Times New Roman" w:hAnsi="Tahoma" w:cs="Tahoma"/>
                <w:sz w:val="20"/>
                <w:szCs w:val="20"/>
              </w:rPr>
            </w:pPr>
          </w:p>
        </w:tc>
        <w:tc>
          <w:tcPr>
            <w:tcW w:w="2014" w:type="dxa"/>
            <w:noWrap/>
            <w:hideMark/>
          </w:tcPr>
          <w:p w14:paraId="565994E2"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1,212,500</w:t>
            </w:r>
          </w:p>
        </w:tc>
        <w:tc>
          <w:tcPr>
            <w:tcW w:w="2014" w:type="dxa"/>
            <w:noWrap/>
            <w:hideMark/>
          </w:tcPr>
          <w:p w14:paraId="45B18FA6"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1,171,138</w:t>
            </w:r>
          </w:p>
        </w:tc>
        <w:tc>
          <w:tcPr>
            <w:tcW w:w="2014" w:type="dxa"/>
            <w:noWrap/>
            <w:hideMark/>
          </w:tcPr>
          <w:p w14:paraId="47E09C36"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color w:val="FF0000"/>
                <w:sz w:val="20"/>
                <w:szCs w:val="20"/>
              </w:rPr>
              <w:t>($41,362)</w:t>
            </w:r>
          </w:p>
        </w:tc>
        <w:tc>
          <w:tcPr>
            <w:tcW w:w="2014" w:type="dxa"/>
            <w:noWrap/>
            <w:hideMark/>
          </w:tcPr>
          <w:p w14:paraId="0ED59358"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-3%</w:t>
            </w:r>
          </w:p>
        </w:tc>
      </w:tr>
      <w:tr w:rsidR="00712AEA" w:rsidRPr="00712AEA" w14:paraId="5F490262" w14:textId="77777777" w:rsidTr="00712AEA">
        <w:trPr>
          <w:trHeight w:val="255"/>
        </w:trPr>
        <w:tc>
          <w:tcPr>
            <w:tcW w:w="2014" w:type="dxa"/>
            <w:noWrap/>
            <w:hideMark/>
          </w:tcPr>
          <w:p w14:paraId="1DD6219E" w14:textId="77777777" w:rsidR="00712AEA" w:rsidRDefault="00712AEA" w:rsidP="00712AEA">
            <w:pPr>
              <w:rPr>
                <w:rFonts w:ascii="Tahoma" w:eastAsia="Times New Roman" w:hAnsi="Tahoma" w:cs="Tahoma"/>
                <w:sz w:val="20"/>
                <w:szCs w:val="20"/>
              </w:rPr>
            </w:pPr>
            <w:r w:rsidRPr="00712AEA">
              <w:rPr>
                <w:rFonts w:ascii="Tahoma" w:eastAsia="Times New Roman" w:hAnsi="Tahoma" w:cs="Tahoma"/>
                <w:sz w:val="20"/>
                <w:szCs w:val="20"/>
              </w:rPr>
              <w:t>Sponsorships</w:t>
            </w:r>
          </w:p>
          <w:p w14:paraId="4CF5B77F" w14:textId="262613E6" w:rsidR="00712AEA" w:rsidRPr="00712AEA" w:rsidRDefault="00712AEA" w:rsidP="00712AEA">
            <w:pPr>
              <w:rPr>
                <w:rFonts w:ascii="Tahoma" w:eastAsia="Times New Roman" w:hAnsi="Tahoma" w:cs="Tahoma"/>
                <w:sz w:val="20"/>
                <w:szCs w:val="20"/>
              </w:rPr>
            </w:pPr>
          </w:p>
        </w:tc>
        <w:tc>
          <w:tcPr>
            <w:tcW w:w="2014" w:type="dxa"/>
            <w:noWrap/>
            <w:hideMark/>
          </w:tcPr>
          <w:p w14:paraId="098D6B84"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100,000</w:t>
            </w:r>
          </w:p>
        </w:tc>
        <w:tc>
          <w:tcPr>
            <w:tcW w:w="2014" w:type="dxa"/>
            <w:noWrap/>
            <w:hideMark/>
          </w:tcPr>
          <w:p w14:paraId="11625B68"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58,250</w:t>
            </w:r>
          </w:p>
        </w:tc>
        <w:tc>
          <w:tcPr>
            <w:tcW w:w="2014" w:type="dxa"/>
            <w:noWrap/>
            <w:hideMark/>
          </w:tcPr>
          <w:p w14:paraId="05595DF5"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color w:val="FF0000"/>
                <w:sz w:val="20"/>
                <w:szCs w:val="20"/>
              </w:rPr>
              <w:t>($41,750)</w:t>
            </w:r>
          </w:p>
        </w:tc>
        <w:tc>
          <w:tcPr>
            <w:tcW w:w="2014" w:type="dxa"/>
            <w:noWrap/>
            <w:hideMark/>
          </w:tcPr>
          <w:p w14:paraId="507623D2" w14:textId="77777777" w:rsidR="00712AEA" w:rsidRPr="00712AEA" w:rsidRDefault="00712AEA" w:rsidP="00712AEA">
            <w:pPr>
              <w:jc w:val="right"/>
              <w:rPr>
                <w:rFonts w:ascii="Tahoma" w:eastAsia="Times New Roman" w:hAnsi="Tahoma" w:cs="Tahoma"/>
                <w:sz w:val="20"/>
                <w:szCs w:val="20"/>
              </w:rPr>
            </w:pPr>
            <w:r w:rsidRPr="00712AEA">
              <w:rPr>
                <w:rFonts w:ascii="Tahoma" w:eastAsia="Times New Roman" w:hAnsi="Tahoma" w:cs="Tahoma"/>
                <w:sz w:val="20"/>
                <w:szCs w:val="20"/>
              </w:rPr>
              <w:t>-42%</w:t>
            </w:r>
          </w:p>
        </w:tc>
      </w:tr>
      <w:tr w:rsidR="00712AEA" w:rsidRPr="00712AEA" w14:paraId="16392E92" w14:textId="77777777" w:rsidTr="00712AEA">
        <w:trPr>
          <w:trHeight w:val="255"/>
        </w:trPr>
        <w:tc>
          <w:tcPr>
            <w:tcW w:w="2014" w:type="dxa"/>
            <w:noWrap/>
            <w:hideMark/>
          </w:tcPr>
          <w:p w14:paraId="0EED544E" w14:textId="77777777" w:rsidR="00712AEA" w:rsidRPr="00712AEA" w:rsidRDefault="00712AEA" w:rsidP="00712AEA">
            <w:pPr>
              <w:rPr>
                <w:rFonts w:ascii="Tahoma" w:eastAsia="Times New Roman" w:hAnsi="Tahoma" w:cs="Tahoma"/>
                <w:b/>
                <w:bCs/>
                <w:sz w:val="20"/>
                <w:szCs w:val="20"/>
              </w:rPr>
            </w:pPr>
            <w:r w:rsidRPr="00712AEA">
              <w:rPr>
                <w:rFonts w:ascii="Tahoma" w:eastAsia="Times New Roman" w:hAnsi="Tahoma" w:cs="Tahoma"/>
                <w:b/>
                <w:bCs/>
                <w:sz w:val="20"/>
                <w:szCs w:val="20"/>
              </w:rPr>
              <w:t>Totals</w:t>
            </w:r>
          </w:p>
        </w:tc>
        <w:tc>
          <w:tcPr>
            <w:tcW w:w="2014" w:type="dxa"/>
            <w:noWrap/>
            <w:hideMark/>
          </w:tcPr>
          <w:p w14:paraId="41C7DAA0" w14:textId="77777777" w:rsidR="00712AEA" w:rsidRPr="00712AEA" w:rsidRDefault="00712AEA" w:rsidP="00712AEA">
            <w:pPr>
              <w:jc w:val="right"/>
              <w:rPr>
                <w:rFonts w:ascii="Tahoma" w:eastAsia="Times New Roman" w:hAnsi="Tahoma" w:cs="Tahoma"/>
                <w:b/>
                <w:bCs/>
                <w:sz w:val="20"/>
                <w:szCs w:val="20"/>
              </w:rPr>
            </w:pPr>
            <w:r w:rsidRPr="00712AEA">
              <w:rPr>
                <w:rFonts w:ascii="Tahoma" w:eastAsia="Times New Roman" w:hAnsi="Tahoma" w:cs="Tahoma"/>
                <w:b/>
                <w:bCs/>
                <w:sz w:val="20"/>
                <w:szCs w:val="20"/>
              </w:rPr>
              <w:t>3,020,000</w:t>
            </w:r>
          </w:p>
        </w:tc>
        <w:tc>
          <w:tcPr>
            <w:tcW w:w="2014" w:type="dxa"/>
            <w:noWrap/>
            <w:hideMark/>
          </w:tcPr>
          <w:p w14:paraId="2B1AFEFF" w14:textId="77777777" w:rsidR="00712AEA" w:rsidRPr="00712AEA" w:rsidRDefault="00712AEA" w:rsidP="00712AEA">
            <w:pPr>
              <w:jc w:val="right"/>
              <w:rPr>
                <w:rFonts w:ascii="Tahoma" w:eastAsia="Times New Roman" w:hAnsi="Tahoma" w:cs="Tahoma"/>
                <w:b/>
                <w:bCs/>
                <w:sz w:val="20"/>
                <w:szCs w:val="20"/>
              </w:rPr>
            </w:pPr>
            <w:r w:rsidRPr="00712AEA">
              <w:rPr>
                <w:rFonts w:ascii="Tahoma" w:eastAsia="Times New Roman" w:hAnsi="Tahoma" w:cs="Tahoma"/>
                <w:b/>
                <w:bCs/>
                <w:sz w:val="20"/>
                <w:szCs w:val="20"/>
              </w:rPr>
              <w:t>2,744,179</w:t>
            </w:r>
          </w:p>
        </w:tc>
        <w:tc>
          <w:tcPr>
            <w:tcW w:w="2014" w:type="dxa"/>
            <w:noWrap/>
            <w:hideMark/>
          </w:tcPr>
          <w:p w14:paraId="45B5526E" w14:textId="77777777" w:rsidR="00712AEA" w:rsidRPr="00712AEA" w:rsidRDefault="00712AEA" w:rsidP="00712AEA">
            <w:pPr>
              <w:jc w:val="right"/>
              <w:rPr>
                <w:rFonts w:ascii="Tahoma" w:eastAsia="Times New Roman" w:hAnsi="Tahoma" w:cs="Tahoma"/>
                <w:b/>
                <w:bCs/>
                <w:sz w:val="20"/>
                <w:szCs w:val="20"/>
              </w:rPr>
            </w:pPr>
            <w:r w:rsidRPr="00712AEA">
              <w:rPr>
                <w:rFonts w:ascii="Tahoma" w:eastAsia="Times New Roman" w:hAnsi="Tahoma" w:cs="Tahoma"/>
                <w:b/>
                <w:bCs/>
                <w:color w:val="FF0000"/>
                <w:sz w:val="20"/>
                <w:szCs w:val="20"/>
              </w:rPr>
              <w:t>($275,821)</w:t>
            </w:r>
          </w:p>
        </w:tc>
        <w:tc>
          <w:tcPr>
            <w:tcW w:w="2014" w:type="dxa"/>
            <w:noWrap/>
            <w:hideMark/>
          </w:tcPr>
          <w:p w14:paraId="58281EF9" w14:textId="77777777" w:rsidR="00712AEA" w:rsidRPr="00712AEA" w:rsidRDefault="00712AEA" w:rsidP="00712AEA">
            <w:pPr>
              <w:jc w:val="right"/>
              <w:rPr>
                <w:rFonts w:ascii="Tahoma" w:eastAsia="Times New Roman" w:hAnsi="Tahoma" w:cs="Tahoma"/>
                <w:b/>
                <w:bCs/>
                <w:sz w:val="20"/>
                <w:szCs w:val="20"/>
              </w:rPr>
            </w:pPr>
            <w:r w:rsidRPr="00712AEA">
              <w:rPr>
                <w:rFonts w:ascii="Tahoma" w:eastAsia="Times New Roman" w:hAnsi="Tahoma" w:cs="Tahoma"/>
                <w:b/>
                <w:bCs/>
                <w:sz w:val="20"/>
                <w:szCs w:val="20"/>
              </w:rPr>
              <w:t>-9%</w:t>
            </w:r>
          </w:p>
        </w:tc>
      </w:tr>
    </w:tbl>
    <w:p w14:paraId="576B0AA6" w14:textId="107D7782" w:rsidR="0067055A" w:rsidRDefault="0067055A" w:rsidP="00712AEA">
      <w:pPr>
        <w:jc w:val="both"/>
        <w:rPr>
          <w:rFonts w:asciiTheme="minorHAnsi" w:eastAsia="Times New Roman" w:hAnsiTheme="minorHAnsi"/>
          <w:sz w:val="24"/>
          <w:szCs w:val="24"/>
        </w:rPr>
      </w:pPr>
      <w:r>
        <w:rPr>
          <w:rFonts w:asciiTheme="minorHAnsi" w:eastAsia="Times New Roman" w:hAnsiTheme="minorHAnsi"/>
          <w:sz w:val="24"/>
          <w:szCs w:val="24"/>
        </w:rPr>
        <w:t>Although most revenue categories are lagging behind, we feel that we will end close to budget for registration</w:t>
      </w:r>
      <w:r w:rsidR="00712AEA">
        <w:rPr>
          <w:rFonts w:asciiTheme="minorHAnsi" w:eastAsia="Times New Roman" w:hAnsiTheme="minorHAnsi"/>
          <w:sz w:val="24"/>
          <w:szCs w:val="24"/>
        </w:rPr>
        <w:t xml:space="preserve">. </w:t>
      </w:r>
      <w:r>
        <w:rPr>
          <w:rFonts w:asciiTheme="minorHAnsi" w:eastAsia="Times New Roman" w:hAnsiTheme="minorHAnsi"/>
          <w:sz w:val="24"/>
          <w:szCs w:val="24"/>
        </w:rPr>
        <w:t xml:space="preserve">Virtual Conference registration has </w:t>
      </w:r>
      <w:r w:rsidR="00712AEA">
        <w:rPr>
          <w:rFonts w:asciiTheme="minorHAnsi" w:eastAsia="Times New Roman" w:hAnsiTheme="minorHAnsi"/>
          <w:sz w:val="24"/>
          <w:szCs w:val="24"/>
        </w:rPr>
        <w:t>exceeded</w:t>
      </w:r>
      <w:r>
        <w:rPr>
          <w:rFonts w:asciiTheme="minorHAnsi" w:eastAsia="Times New Roman" w:hAnsiTheme="minorHAnsi"/>
          <w:sz w:val="24"/>
          <w:szCs w:val="24"/>
        </w:rPr>
        <w:t xml:space="preserve"> expectations </w:t>
      </w:r>
      <w:r w:rsidR="0027191E">
        <w:rPr>
          <w:rFonts w:asciiTheme="minorHAnsi" w:eastAsia="Times New Roman" w:hAnsiTheme="minorHAnsi"/>
          <w:sz w:val="24"/>
          <w:szCs w:val="24"/>
        </w:rPr>
        <w:t>significantly</w:t>
      </w:r>
      <w:r w:rsidR="00712AEA">
        <w:rPr>
          <w:rFonts w:asciiTheme="minorHAnsi" w:eastAsia="Times New Roman" w:hAnsiTheme="minorHAnsi"/>
          <w:sz w:val="24"/>
          <w:szCs w:val="24"/>
        </w:rPr>
        <w:t xml:space="preserve"> and continues to </w:t>
      </w:r>
      <w:r w:rsidR="00712AEA">
        <w:rPr>
          <w:rFonts w:asciiTheme="minorHAnsi" w:eastAsia="Times New Roman" w:hAnsiTheme="minorHAnsi"/>
          <w:sz w:val="24"/>
          <w:szCs w:val="24"/>
        </w:rPr>
        <w:lastRenderedPageBreak/>
        <w:t>gain</w:t>
      </w:r>
      <w:r>
        <w:rPr>
          <w:rFonts w:asciiTheme="minorHAnsi" w:eastAsia="Times New Roman" w:hAnsiTheme="minorHAnsi"/>
          <w:sz w:val="24"/>
          <w:szCs w:val="24"/>
        </w:rPr>
        <w:t xml:space="preserve">. We do not expect a further uptick in exhibits revenue in the coming weeks. It should be noted that despite the loss of a number of publishers as exhibitors, exhibit revenue performing well considering the ongoing uncertainty surrounding COVID.   </w:t>
      </w:r>
    </w:p>
    <w:p w14:paraId="2EBAA4EC" w14:textId="4955C43B" w:rsidR="00712AEA" w:rsidRDefault="00712AEA" w:rsidP="00712AEA">
      <w:pPr>
        <w:jc w:val="both"/>
        <w:rPr>
          <w:rFonts w:asciiTheme="minorHAnsi" w:eastAsia="Times New Roman" w:hAnsiTheme="minorHAnsi"/>
          <w:sz w:val="24"/>
          <w:szCs w:val="24"/>
        </w:rPr>
      </w:pPr>
    </w:p>
    <w:p w14:paraId="7A55E4BF" w14:textId="2C221E34" w:rsidR="00712AEA" w:rsidRDefault="00712AEA" w:rsidP="00712AEA">
      <w:pPr>
        <w:jc w:val="both"/>
        <w:rPr>
          <w:rFonts w:asciiTheme="minorHAnsi" w:eastAsia="Times New Roman" w:hAnsiTheme="minorHAnsi"/>
          <w:sz w:val="24"/>
          <w:szCs w:val="24"/>
        </w:rPr>
      </w:pPr>
      <w:r>
        <w:rPr>
          <w:rFonts w:asciiTheme="minorHAnsi" w:eastAsia="Times New Roman" w:hAnsiTheme="minorHAnsi"/>
          <w:sz w:val="24"/>
          <w:szCs w:val="24"/>
        </w:rPr>
        <w:t>Up to date expense information is not available at this time, however, a number of unanticipated COVID-related expenses will be incurred. These include:</w:t>
      </w:r>
    </w:p>
    <w:p w14:paraId="2313FACD" w14:textId="5089443E" w:rsidR="00712AEA" w:rsidRPr="0027191E" w:rsidRDefault="00712AEA" w:rsidP="00712AEA">
      <w:pPr>
        <w:jc w:val="both"/>
        <w:rPr>
          <w:rFonts w:asciiTheme="minorHAnsi" w:eastAsia="Times New Roman" w:hAnsiTheme="minorHAnsi" w:cstheme="minorHAnsi"/>
          <w:sz w:val="24"/>
          <w:szCs w:val="24"/>
        </w:rPr>
      </w:pPr>
    </w:p>
    <w:p w14:paraId="38A4CC1C" w14:textId="5A93630C" w:rsidR="00712AEA" w:rsidRPr="0027191E" w:rsidRDefault="00712AEA" w:rsidP="00712AEA">
      <w:pPr>
        <w:pStyle w:val="ListParagraph"/>
        <w:numPr>
          <w:ilvl w:val="0"/>
          <w:numId w:val="29"/>
        </w:numPr>
        <w:rPr>
          <w:rFonts w:asciiTheme="minorHAnsi" w:eastAsiaTheme="minorHAnsi" w:hAnsiTheme="minorHAnsi" w:cstheme="minorHAnsi"/>
        </w:rPr>
      </w:pPr>
      <w:r w:rsidRPr="0027191E">
        <w:rPr>
          <w:rFonts w:asciiTheme="minorHAnsi" w:hAnsiTheme="minorHAnsi" w:cstheme="minorHAnsi"/>
        </w:rPr>
        <w:t xml:space="preserve">SafeExpo vaccine verification pre-show and onsite services </w:t>
      </w:r>
    </w:p>
    <w:p w14:paraId="25371ECC" w14:textId="5B8E427F" w:rsidR="00712AEA" w:rsidRPr="0027191E" w:rsidRDefault="00712AEA" w:rsidP="00712AEA">
      <w:pPr>
        <w:pStyle w:val="ListParagraph"/>
        <w:numPr>
          <w:ilvl w:val="0"/>
          <w:numId w:val="29"/>
        </w:numPr>
        <w:rPr>
          <w:rFonts w:asciiTheme="minorHAnsi" w:hAnsiTheme="minorHAnsi" w:cstheme="minorHAnsi"/>
        </w:rPr>
      </w:pPr>
      <w:r w:rsidRPr="0027191E">
        <w:rPr>
          <w:rFonts w:asciiTheme="minorHAnsi" w:hAnsiTheme="minorHAnsi" w:cstheme="minorHAnsi"/>
        </w:rPr>
        <w:t>Additional temps to staff verification area onsite, deliver gentle masking reminders</w:t>
      </w:r>
    </w:p>
    <w:p w14:paraId="4EA53CAB" w14:textId="77777777" w:rsidR="00712AEA" w:rsidRPr="0027191E" w:rsidRDefault="00712AEA" w:rsidP="00712AEA">
      <w:pPr>
        <w:pStyle w:val="ListParagraph"/>
        <w:numPr>
          <w:ilvl w:val="0"/>
          <w:numId w:val="29"/>
        </w:numPr>
        <w:rPr>
          <w:rFonts w:asciiTheme="minorHAnsi" w:hAnsiTheme="minorHAnsi" w:cstheme="minorHAnsi"/>
        </w:rPr>
      </w:pPr>
      <w:r w:rsidRPr="0027191E">
        <w:rPr>
          <w:rFonts w:asciiTheme="minorHAnsi" w:hAnsiTheme="minorHAnsi" w:cstheme="minorHAnsi"/>
        </w:rPr>
        <w:t>Overall rise in costs of goods &amp; services due to the pandemic</w:t>
      </w:r>
    </w:p>
    <w:p w14:paraId="3D0BDA16" w14:textId="77777777" w:rsidR="00712AEA" w:rsidRPr="00712AEA" w:rsidRDefault="00712AEA" w:rsidP="00712AEA">
      <w:pPr>
        <w:pStyle w:val="ListParagraph"/>
      </w:pPr>
    </w:p>
    <w:p w14:paraId="463BF9C5" w14:textId="3BC63921" w:rsidR="00F77092" w:rsidRPr="00E718F3" w:rsidRDefault="00A9525B" w:rsidP="000F2D69">
      <w:pPr>
        <w:rPr>
          <w:rFonts w:asciiTheme="minorHAnsi" w:hAnsiTheme="minorHAnsi"/>
          <w:b/>
          <w:bCs/>
          <w:sz w:val="24"/>
          <w:szCs w:val="24"/>
          <w:u w:val="single"/>
        </w:rPr>
      </w:pPr>
      <w:r w:rsidRPr="00E718F3">
        <w:rPr>
          <w:rFonts w:asciiTheme="minorHAnsi" w:hAnsiTheme="minorHAnsi"/>
          <w:b/>
          <w:bCs/>
          <w:sz w:val="24"/>
          <w:szCs w:val="24"/>
          <w:u w:val="single"/>
        </w:rPr>
        <w:t>COVID-19 Safety Measures</w:t>
      </w:r>
    </w:p>
    <w:p w14:paraId="40BA8380" w14:textId="77777777" w:rsidR="00A9525B" w:rsidRPr="00E718F3" w:rsidRDefault="00A9525B" w:rsidP="00A9525B">
      <w:pPr>
        <w:pStyle w:val="NormalWeb"/>
        <w:shd w:val="clear" w:color="auto" w:fill="FFFFFF"/>
        <w:spacing w:before="0" w:beforeAutospacing="0" w:after="173" w:afterAutospacing="0"/>
        <w:rPr>
          <w:rFonts w:asciiTheme="minorHAnsi" w:eastAsia="Calibri" w:hAnsiTheme="minorHAnsi" w:cs="Helvetica"/>
          <w:color w:val="212529"/>
          <w:shd w:val="clear" w:color="auto" w:fill="FFFFFF"/>
        </w:rPr>
      </w:pPr>
      <w:r w:rsidRPr="00E718F3">
        <w:rPr>
          <w:rFonts w:asciiTheme="minorHAnsi" w:hAnsiTheme="minorHAnsi"/>
          <w:color w:val="000000" w:themeColor="text1"/>
        </w:rPr>
        <w:t xml:space="preserve">PLA will require proof of COVID-19 vaccination or a negative COVID-19 test for all participants attending PLA 2022 at the Oregon Convention Center. </w:t>
      </w:r>
      <w:r w:rsidRPr="00E718F3">
        <w:rPr>
          <w:rFonts w:asciiTheme="minorHAnsi" w:eastAsia="Calibri" w:hAnsiTheme="minorHAnsi" w:cs="Helvetica"/>
          <w:color w:val="212529"/>
          <w:shd w:val="clear" w:color="auto" w:fill="FFFFFF"/>
        </w:rPr>
        <w:t xml:space="preserve">PLA is working with SafeExpo to manage key elements of the onsite health and safety plan, including COVID-19 vaccination credentialing and testing. Information about how to submit vaccination card to Safe Expo’s secure vaccination portal will be sent out two weeks before the conference. For negative COVID-19 tests, the Safe Expo team will verify them onsite. </w:t>
      </w:r>
    </w:p>
    <w:p w14:paraId="2AA8F10A" w14:textId="33ED7BD2" w:rsidR="00C05F76" w:rsidRPr="00712AEA" w:rsidRDefault="00A9525B" w:rsidP="00712AEA">
      <w:pPr>
        <w:pStyle w:val="NormalWeb"/>
        <w:shd w:val="clear" w:color="auto" w:fill="FFFFFF"/>
        <w:spacing w:before="0" w:beforeAutospacing="0" w:after="173" w:afterAutospacing="0"/>
        <w:rPr>
          <w:rFonts w:asciiTheme="minorHAnsi" w:hAnsiTheme="minorHAnsi"/>
          <w:b/>
          <w:bCs/>
          <w:color w:val="000000" w:themeColor="text1"/>
        </w:rPr>
      </w:pPr>
      <w:r w:rsidRPr="00E718F3">
        <w:rPr>
          <w:rFonts w:asciiTheme="minorHAnsi" w:eastAsia="Calibri" w:hAnsiTheme="minorHAnsi" w:cs="Helvetica"/>
          <w:color w:val="212529"/>
          <w:shd w:val="clear" w:color="auto" w:fill="FFFFFF"/>
        </w:rPr>
        <w:t>Masking will be enforced for all indoor PLA events, even if the Oregon mask mandate is lifted prior to or during the conference.</w:t>
      </w:r>
      <w:r w:rsidR="00D70EA4" w:rsidRPr="00E718F3">
        <w:rPr>
          <w:rFonts w:asciiTheme="minorHAnsi" w:eastAsia="Calibri" w:hAnsiTheme="minorHAnsi" w:cs="Helvetica"/>
          <w:color w:val="212529"/>
          <w:shd w:val="clear" w:color="auto" w:fill="FFFFFF"/>
        </w:rPr>
        <w:t xml:space="preserve"> ALA legal counsel </w:t>
      </w:r>
      <w:r w:rsidR="00C05F76">
        <w:rPr>
          <w:rFonts w:asciiTheme="minorHAnsi" w:eastAsia="Calibri" w:hAnsiTheme="minorHAnsi" w:cs="Helvetica"/>
          <w:color w:val="212529"/>
          <w:shd w:val="clear" w:color="auto" w:fill="FFFFFF"/>
        </w:rPr>
        <w:t>concurred</w:t>
      </w:r>
      <w:r w:rsidR="00D70EA4" w:rsidRPr="00E718F3">
        <w:rPr>
          <w:rFonts w:asciiTheme="minorHAnsi" w:eastAsia="Calibri" w:hAnsiTheme="minorHAnsi" w:cs="Helvetica"/>
          <w:color w:val="212529"/>
          <w:shd w:val="clear" w:color="auto" w:fill="FFFFFF"/>
        </w:rPr>
        <w:t xml:space="preserve"> that PLA will be following best practices with all COVID-19 safety precautions</w:t>
      </w:r>
      <w:r w:rsidR="00E36850">
        <w:rPr>
          <w:rFonts w:asciiTheme="minorHAnsi" w:eastAsia="Calibri" w:hAnsiTheme="minorHAnsi" w:cs="Helvetica"/>
          <w:color w:val="212529"/>
          <w:shd w:val="clear" w:color="auto" w:fill="FFFFFF"/>
        </w:rPr>
        <w:t>, as well as consistency in practices promised to registrants.</w:t>
      </w:r>
    </w:p>
    <w:p w14:paraId="717BE0B5" w14:textId="13792C66" w:rsidR="00A065FD" w:rsidRPr="00E718F3" w:rsidRDefault="000F2D69" w:rsidP="000F2D69">
      <w:pPr>
        <w:rPr>
          <w:rFonts w:asciiTheme="minorHAnsi" w:hAnsiTheme="minorHAnsi"/>
          <w:b/>
          <w:sz w:val="24"/>
          <w:szCs w:val="24"/>
          <w:u w:val="single"/>
        </w:rPr>
      </w:pPr>
      <w:r w:rsidRPr="00E718F3">
        <w:rPr>
          <w:rFonts w:asciiTheme="minorHAnsi" w:hAnsiTheme="minorHAnsi"/>
          <w:b/>
          <w:sz w:val="24"/>
          <w:szCs w:val="24"/>
          <w:u w:val="single"/>
        </w:rPr>
        <w:t>Special Event Speakers</w:t>
      </w:r>
    </w:p>
    <w:p w14:paraId="3D2D7140" w14:textId="38687D1C" w:rsidR="00A065FD" w:rsidRPr="00E718F3" w:rsidRDefault="000F2D69" w:rsidP="00A065FD">
      <w:pPr>
        <w:rPr>
          <w:rFonts w:asciiTheme="minorHAnsi" w:hAnsiTheme="minorHAnsi"/>
          <w:sz w:val="24"/>
          <w:szCs w:val="24"/>
        </w:rPr>
      </w:pPr>
      <w:r w:rsidRPr="00E718F3">
        <w:rPr>
          <w:rFonts w:asciiTheme="minorHAnsi" w:hAnsiTheme="minorHAnsi"/>
          <w:sz w:val="24"/>
          <w:szCs w:val="24"/>
        </w:rPr>
        <w:t>The following speakers are confirmed for special/meal events:</w:t>
      </w:r>
    </w:p>
    <w:p w14:paraId="72232510" w14:textId="6679A3DB" w:rsidR="00A065FD" w:rsidRPr="00E718F3" w:rsidRDefault="00A065FD" w:rsidP="00A065FD">
      <w:pPr>
        <w:rPr>
          <w:rFonts w:asciiTheme="minorHAnsi" w:hAnsiTheme="minorHAnsi"/>
          <w:i/>
          <w:iCs/>
          <w:sz w:val="24"/>
          <w:szCs w:val="24"/>
        </w:rPr>
      </w:pPr>
      <w:r w:rsidRPr="00E718F3">
        <w:rPr>
          <w:rFonts w:asciiTheme="minorHAnsi" w:hAnsiTheme="minorHAnsi"/>
          <w:i/>
          <w:iCs/>
          <w:sz w:val="24"/>
          <w:szCs w:val="24"/>
        </w:rPr>
        <w:t xml:space="preserve">Opening Session – </w:t>
      </w:r>
      <w:r w:rsidR="009229E9" w:rsidRPr="00E718F3">
        <w:rPr>
          <w:rFonts w:asciiTheme="minorHAnsi" w:hAnsiTheme="minorHAnsi"/>
          <w:sz w:val="24"/>
          <w:szCs w:val="24"/>
        </w:rPr>
        <w:t>Luvvie Ajayi Jones</w:t>
      </w:r>
    </w:p>
    <w:p w14:paraId="07AEB8F5" w14:textId="3F41C60C" w:rsidR="00A065FD" w:rsidRPr="00E718F3" w:rsidRDefault="00A065FD" w:rsidP="00A065FD">
      <w:pPr>
        <w:rPr>
          <w:rFonts w:asciiTheme="minorHAnsi" w:hAnsiTheme="minorHAnsi"/>
          <w:i/>
          <w:iCs/>
          <w:sz w:val="24"/>
          <w:szCs w:val="24"/>
        </w:rPr>
      </w:pPr>
      <w:r w:rsidRPr="00E718F3">
        <w:rPr>
          <w:rFonts w:asciiTheme="minorHAnsi" w:hAnsiTheme="minorHAnsi"/>
          <w:i/>
          <w:iCs/>
          <w:sz w:val="24"/>
          <w:szCs w:val="24"/>
        </w:rPr>
        <w:t xml:space="preserve">Children’s Author Breakfast – </w:t>
      </w:r>
      <w:r w:rsidR="009229E9" w:rsidRPr="00E718F3">
        <w:rPr>
          <w:rFonts w:asciiTheme="minorHAnsi" w:hAnsiTheme="minorHAnsi" w:cs="Helvetica"/>
          <w:color w:val="212529"/>
          <w:sz w:val="24"/>
          <w:szCs w:val="24"/>
          <w:shd w:val="clear" w:color="auto" w:fill="FFFFFF"/>
        </w:rPr>
        <w:t>Dhonielle Clayton, Alex Gino, Rex Ogle, and Traci Sorell</w:t>
      </w:r>
    </w:p>
    <w:p w14:paraId="2E376564" w14:textId="77777777" w:rsidR="009229E9" w:rsidRPr="00E718F3" w:rsidRDefault="00A065FD" w:rsidP="00A065FD">
      <w:pPr>
        <w:rPr>
          <w:rFonts w:asciiTheme="minorHAnsi" w:hAnsiTheme="minorHAnsi"/>
          <w:sz w:val="24"/>
          <w:szCs w:val="24"/>
        </w:rPr>
      </w:pPr>
      <w:r w:rsidRPr="00E718F3">
        <w:rPr>
          <w:rFonts w:asciiTheme="minorHAnsi" w:hAnsiTheme="minorHAnsi"/>
          <w:i/>
          <w:iCs/>
          <w:sz w:val="24"/>
          <w:szCs w:val="24"/>
        </w:rPr>
        <w:t xml:space="preserve">Big Ideas Thursday – </w:t>
      </w:r>
      <w:r w:rsidR="009229E9" w:rsidRPr="00E718F3">
        <w:rPr>
          <w:rFonts w:asciiTheme="minorHAnsi" w:hAnsiTheme="minorHAnsi"/>
          <w:sz w:val="24"/>
          <w:szCs w:val="24"/>
        </w:rPr>
        <w:t xml:space="preserve">Brittany K. Barnett </w:t>
      </w:r>
    </w:p>
    <w:p w14:paraId="16C76458" w14:textId="65A81663" w:rsidR="00A065FD" w:rsidRPr="00E718F3" w:rsidRDefault="009229E9" w:rsidP="00A065FD">
      <w:pPr>
        <w:rPr>
          <w:rFonts w:asciiTheme="minorHAnsi" w:hAnsiTheme="minorHAnsi"/>
          <w:sz w:val="24"/>
          <w:szCs w:val="24"/>
        </w:rPr>
      </w:pPr>
      <w:r w:rsidRPr="00E718F3">
        <w:rPr>
          <w:rFonts w:asciiTheme="minorHAnsi" w:hAnsiTheme="minorHAnsi"/>
          <w:i/>
          <w:iCs/>
          <w:sz w:val="24"/>
          <w:szCs w:val="24"/>
        </w:rPr>
        <w:t>Thursday Author Lunch</w:t>
      </w:r>
      <w:r w:rsidRPr="00E718F3">
        <w:rPr>
          <w:rFonts w:asciiTheme="minorHAnsi" w:hAnsiTheme="minorHAnsi"/>
          <w:sz w:val="24"/>
          <w:szCs w:val="24"/>
        </w:rPr>
        <w:t xml:space="preserve"> –</w:t>
      </w:r>
      <w:r w:rsidR="00A52F34" w:rsidRPr="00E718F3">
        <w:rPr>
          <w:rFonts w:asciiTheme="minorHAnsi" w:hAnsiTheme="minorHAnsi"/>
          <w:sz w:val="24"/>
          <w:szCs w:val="24"/>
        </w:rPr>
        <w:t xml:space="preserve"> </w:t>
      </w:r>
      <w:r w:rsidRPr="00E718F3">
        <w:rPr>
          <w:rFonts w:asciiTheme="minorHAnsi" w:hAnsiTheme="minorHAnsi" w:cs="Helvetica"/>
          <w:color w:val="212529"/>
          <w:sz w:val="24"/>
          <w:szCs w:val="24"/>
          <w:shd w:val="clear" w:color="auto" w:fill="FFFFFF"/>
        </w:rPr>
        <w:t>Clothilde Ewing</w:t>
      </w:r>
    </w:p>
    <w:p w14:paraId="230811B8" w14:textId="02DCC1E6" w:rsidR="00A065FD" w:rsidRPr="00E718F3" w:rsidRDefault="009229E9" w:rsidP="00A065FD">
      <w:pPr>
        <w:rPr>
          <w:rFonts w:asciiTheme="minorHAnsi" w:hAnsiTheme="minorHAnsi"/>
          <w:b/>
          <w:bCs/>
          <w:i/>
          <w:iCs/>
          <w:sz w:val="24"/>
          <w:szCs w:val="24"/>
        </w:rPr>
      </w:pPr>
      <w:r w:rsidRPr="00E718F3">
        <w:rPr>
          <w:rFonts w:asciiTheme="minorHAnsi" w:hAnsiTheme="minorHAnsi"/>
          <w:i/>
          <w:iCs/>
          <w:sz w:val="24"/>
          <w:szCs w:val="24"/>
        </w:rPr>
        <w:t>APA Press Play</w:t>
      </w:r>
      <w:r w:rsidR="00A065FD" w:rsidRPr="00E718F3">
        <w:rPr>
          <w:rFonts w:asciiTheme="minorHAnsi" w:hAnsiTheme="minorHAnsi"/>
          <w:i/>
          <w:iCs/>
          <w:sz w:val="24"/>
          <w:szCs w:val="24"/>
        </w:rPr>
        <w:t xml:space="preserve"> – </w:t>
      </w:r>
      <w:r w:rsidRPr="00E718F3">
        <w:rPr>
          <w:rStyle w:val="Strong"/>
          <w:rFonts w:asciiTheme="minorHAnsi" w:hAnsiTheme="minorHAnsi" w:cs="Helvetica"/>
          <w:b w:val="0"/>
          <w:bCs w:val="0"/>
          <w:color w:val="212529"/>
          <w:sz w:val="24"/>
          <w:szCs w:val="24"/>
          <w:shd w:val="clear" w:color="auto" w:fill="FFFFFF"/>
        </w:rPr>
        <w:t>Jordan Ifueko</w:t>
      </w:r>
      <w:r w:rsidRPr="00E718F3">
        <w:rPr>
          <w:rFonts w:asciiTheme="minorHAnsi" w:hAnsiTheme="minorHAnsi" w:cs="Helvetica"/>
          <w:b/>
          <w:bCs/>
          <w:color w:val="212529"/>
          <w:sz w:val="24"/>
          <w:szCs w:val="24"/>
          <w:shd w:val="clear" w:color="auto" w:fill="FFFFFF"/>
        </w:rPr>
        <w:t xml:space="preserve">, </w:t>
      </w:r>
      <w:r w:rsidRPr="00E718F3">
        <w:rPr>
          <w:rStyle w:val="Strong"/>
          <w:rFonts w:asciiTheme="minorHAnsi" w:hAnsiTheme="minorHAnsi" w:cs="Helvetica"/>
          <w:b w:val="0"/>
          <w:bCs w:val="0"/>
          <w:color w:val="212529"/>
          <w:sz w:val="24"/>
          <w:szCs w:val="24"/>
          <w:shd w:val="clear" w:color="auto" w:fill="FFFFFF"/>
        </w:rPr>
        <w:t>Gildart Jackson, Sonia Manzano &amp; Brian Selznick</w:t>
      </w:r>
    </w:p>
    <w:p w14:paraId="2FB8804A" w14:textId="7C6FC0AF" w:rsidR="00A065FD" w:rsidRPr="00E718F3" w:rsidRDefault="00A065FD" w:rsidP="00A065FD">
      <w:pPr>
        <w:rPr>
          <w:rFonts w:asciiTheme="minorHAnsi" w:hAnsiTheme="minorHAnsi"/>
          <w:sz w:val="24"/>
          <w:szCs w:val="24"/>
        </w:rPr>
      </w:pPr>
      <w:r w:rsidRPr="00E718F3">
        <w:rPr>
          <w:rFonts w:asciiTheme="minorHAnsi" w:hAnsiTheme="minorHAnsi"/>
          <w:i/>
          <w:iCs/>
          <w:sz w:val="24"/>
          <w:szCs w:val="24"/>
        </w:rPr>
        <w:t xml:space="preserve">Big Ideas Friday – </w:t>
      </w:r>
      <w:r w:rsidR="009229E9" w:rsidRPr="00E718F3">
        <w:rPr>
          <w:rFonts w:asciiTheme="minorHAnsi" w:hAnsiTheme="minorHAnsi"/>
          <w:sz w:val="24"/>
          <w:szCs w:val="24"/>
        </w:rPr>
        <w:t xml:space="preserve">Amy Schneider </w:t>
      </w:r>
    </w:p>
    <w:p w14:paraId="663FE8EA" w14:textId="2D7589D8" w:rsidR="00A52F34" w:rsidRPr="00E718F3" w:rsidRDefault="00A52F34" w:rsidP="00A065FD">
      <w:pPr>
        <w:rPr>
          <w:rFonts w:asciiTheme="minorHAnsi" w:hAnsiTheme="minorHAnsi"/>
          <w:i/>
          <w:iCs/>
          <w:sz w:val="24"/>
          <w:szCs w:val="24"/>
        </w:rPr>
      </w:pPr>
      <w:r w:rsidRPr="00E718F3">
        <w:rPr>
          <w:rFonts w:asciiTheme="minorHAnsi" w:hAnsiTheme="minorHAnsi"/>
          <w:i/>
          <w:iCs/>
          <w:sz w:val="24"/>
          <w:szCs w:val="24"/>
        </w:rPr>
        <w:t>Friday Author Lunch</w:t>
      </w:r>
      <w:r w:rsidRPr="00E718F3">
        <w:rPr>
          <w:rFonts w:asciiTheme="minorHAnsi" w:hAnsiTheme="minorHAnsi"/>
          <w:sz w:val="24"/>
          <w:szCs w:val="24"/>
        </w:rPr>
        <w:t xml:space="preserve"> – Linda Holmes </w:t>
      </w:r>
    </w:p>
    <w:p w14:paraId="2D3C2D60" w14:textId="6ABC7D88" w:rsidR="00A065FD" w:rsidRPr="00E718F3" w:rsidRDefault="00A065FD" w:rsidP="00A065FD">
      <w:pPr>
        <w:rPr>
          <w:rFonts w:asciiTheme="minorHAnsi" w:hAnsiTheme="minorHAnsi"/>
          <w:i/>
          <w:iCs/>
          <w:sz w:val="24"/>
          <w:szCs w:val="24"/>
        </w:rPr>
      </w:pPr>
      <w:r w:rsidRPr="00E718F3">
        <w:rPr>
          <w:rFonts w:asciiTheme="minorHAnsi" w:hAnsiTheme="minorHAnsi"/>
          <w:i/>
          <w:iCs/>
          <w:sz w:val="24"/>
          <w:szCs w:val="24"/>
        </w:rPr>
        <w:t xml:space="preserve">Closing Session – </w:t>
      </w:r>
      <w:r w:rsidR="009229E9" w:rsidRPr="00E718F3">
        <w:rPr>
          <w:rFonts w:asciiTheme="minorHAnsi" w:hAnsiTheme="minorHAnsi"/>
          <w:sz w:val="24"/>
          <w:szCs w:val="24"/>
        </w:rPr>
        <w:t>Kal Penn</w:t>
      </w:r>
    </w:p>
    <w:p w14:paraId="0C9F26C7" w14:textId="77777777" w:rsidR="000F2D69" w:rsidRPr="00E718F3" w:rsidRDefault="000F2D69" w:rsidP="000F2D69">
      <w:pPr>
        <w:rPr>
          <w:rFonts w:asciiTheme="minorHAnsi" w:hAnsiTheme="minorHAnsi"/>
          <w:sz w:val="24"/>
          <w:szCs w:val="24"/>
        </w:rPr>
      </w:pPr>
    </w:p>
    <w:p w14:paraId="509F4EF9" w14:textId="77777777" w:rsidR="000F2D69" w:rsidRPr="00E718F3" w:rsidRDefault="000F2D69" w:rsidP="000F2D69">
      <w:pPr>
        <w:rPr>
          <w:rFonts w:asciiTheme="minorHAnsi" w:hAnsiTheme="minorHAnsi"/>
          <w:b/>
          <w:sz w:val="24"/>
          <w:szCs w:val="24"/>
          <w:u w:val="single"/>
        </w:rPr>
      </w:pPr>
      <w:r w:rsidRPr="00E718F3">
        <w:rPr>
          <w:rFonts w:asciiTheme="minorHAnsi" w:hAnsiTheme="minorHAnsi"/>
          <w:b/>
          <w:sz w:val="24"/>
          <w:szCs w:val="24"/>
          <w:u w:val="single"/>
        </w:rPr>
        <w:t>Conference Programming</w:t>
      </w:r>
    </w:p>
    <w:p w14:paraId="094C6074" w14:textId="77826086" w:rsidR="00A52F34" w:rsidRPr="00E718F3" w:rsidRDefault="00A52F34" w:rsidP="00A52F34">
      <w:pPr>
        <w:rPr>
          <w:rFonts w:asciiTheme="minorHAnsi" w:hAnsiTheme="minorHAnsi" w:cstheme="minorHAnsi"/>
          <w:sz w:val="24"/>
          <w:szCs w:val="24"/>
        </w:rPr>
      </w:pPr>
      <w:r w:rsidRPr="00E718F3">
        <w:rPr>
          <w:rFonts w:asciiTheme="minorHAnsi" w:hAnsiTheme="minorHAnsi" w:cstheme="minorHAnsi"/>
          <w:sz w:val="24"/>
          <w:szCs w:val="24"/>
        </w:rPr>
        <w:t>The PLA 2022 Conference Program Subcommittee reviewed 439 proposals for educational sessions and accepted a total of 99 programs and four preconferences for presentation in Portland. An additional four programs and one preconference on topics of strategic priority were subsequently added by PLA staff, along with one preconference organized by the Oregon Library Association, for a total of 103 programs and 6 preconferences.</w:t>
      </w:r>
    </w:p>
    <w:p w14:paraId="5FBDE12D" w14:textId="77777777" w:rsidR="00A52F34" w:rsidRPr="00E718F3" w:rsidRDefault="00A52F34" w:rsidP="00A52F34">
      <w:pPr>
        <w:rPr>
          <w:rFonts w:asciiTheme="minorHAnsi" w:hAnsiTheme="minorHAnsi" w:cstheme="minorHAnsi"/>
          <w:sz w:val="24"/>
          <w:szCs w:val="24"/>
        </w:rPr>
      </w:pPr>
    </w:p>
    <w:p w14:paraId="303D500E" w14:textId="77777777" w:rsidR="00A52F34" w:rsidRPr="00E718F3" w:rsidRDefault="00A52F34" w:rsidP="00A52F34">
      <w:pPr>
        <w:rPr>
          <w:rFonts w:asciiTheme="minorHAnsi" w:hAnsiTheme="minorHAnsi"/>
          <w:sz w:val="24"/>
          <w:szCs w:val="24"/>
        </w:rPr>
      </w:pPr>
      <w:r w:rsidRPr="00E718F3">
        <w:rPr>
          <w:rFonts w:asciiTheme="minorHAnsi" w:hAnsiTheme="minorHAnsi" w:cstheme="minorHAnsi"/>
          <w:sz w:val="24"/>
          <w:szCs w:val="24"/>
        </w:rPr>
        <w:t xml:space="preserve">The ongoing COVID-19 pandemic has raised challenges and concerns for many presenters of accepted educational sessions. In spite of this, we are pleased to report that only one program has had to cancel, due to serious illness, and the remaining slate of accepted programming is expected to be presented </w:t>
      </w:r>
      <w:r w:rsidRPr="00E718F3">
        <w:rPr>
          <w:rFonts w:asciiTheme="minorHAnsi" w:hAnsiTheme="minorHAnsi" w:cstheme="minorHAnsi"/>
          <w:sz w:val="24"/>
          <w:szCs w:val="24"/>
        </w:rPr>
        <w:lastRenderedPageBreak/>
        <w:t xml:space="preserve">for PLA 2022 Conference attendees. Some sessions will be accommodated with adjusted speaker panels, including some panels where an offsite speaker will contribute via brief prerecorded video presentation. Other sessions were able to shift to virtual-only participation via our expanded </w:t>
      </w:r>
    </w:p>
    <w:p w14:paraId="140BE314" w14:textId="77777777" w:rsidR="00A52F34" w:rsidRPr="00E718F3" w:rsidRDefault="00A52F34" w:rsidP="00A52F34">
      <w:pPr>
        <w:rPr>
          <w:rFonts w:asciiTheme="minorHAnsi" w:hAnsiTheme="minorHAnsi"/>
          <w:sz w:val="24"/>
          <w:szCs w:val="24"/>
        </w:rPr>
      </w:pPr>
      <w:r w:rsidRPr="00E718F3">
        <w:rPr>
          <w:rFonts w:asciiTheme="minorHAnsi" w:hAnsiTheme="minorHAnsi" w:cstheme="minorHAnsi"/>
          <w:sz w:val="24"/>
          <w:szCs w:val="24"/>
        </w:rPr>
        <w:t>Virtual Conference (VC).</w:t>
      </w:r>
      <w:r w:rsidRPr="00E718F3">
        <w:rPr>
          <w:rFonts w:asciiTheme="minorHAnsi" w:hAnsiTheme="minorHAnsi"/>
          <w:sz w:val="24"/>
          <w:szCs w:val="24"/>
        </w:rPr>
        <w:t xml:space="preserve"> </w:t>
      </w:r>
    </w:p>
    <w:p w14:paraId="25F2E729" w14:textId="77777777" w:rsidR="00A52F34" w:rsidRPr="00E718F3" w:rsidRDefault="00A52F34" w:rsidP="00A52F34">
      <w:pPr>
        <w:rPr>
          <w:rFonts w:asciiTheme="minorHAnsi" w:hAnsiTheme="minorHAnsi"/>
          <w:sz w:val="24"/>
          <w:szCs w:val="24"/>
        </w:rPr>
      </w:pPr>
    </w:p>
    <w:p w14:paraId="38280621" w14:textId="1BF84378" w:rsidR="00A52F34" w:rsidRPr="00E718F3" w:rsidRDefault="00A52F34" w:rsidP="00A52F34">
      <w:pPr>
        <w:rPr>
          <w:rFonts w:asciiTheme="minorHAnsi" w:hAnsiTheme="minorHAnsi"/>
          <w:sz w:val="24"/>
          <w:szCs w:val="24"/>
        </w:rPr>
      </w:pPr>
      <w:r w:rsidRPr="00E718F3">
        <w:rPr>
          <w:rFonts w:asciiTheme="minorHAnsi" w:hAnsiTheme="minorHAnsi"/>
          <w:sz w:val="24"/>
          <w:szCs w:val="24"/>
        </w:rPr>
        <w:t xml:space="preserve">The PLA 2022 VC schedule has been extended to offer live programming across all three days of the in-person conference, and with two concurrent tracks of educational programming. As with the in-person conference schedule, programs will be offered during 11 time slots across three days. For the first time, VC attendees will have two sessions to choose from in each time slot, including a virtual-only track for sessions that are unable to join us in Portland. </w:t>
      </w:r>
      <w:r w:rsidRPr="00E718F3">
        <w:rPr>
          <w:rFonts w:asciiTheme="minorHAnsi" w:hAnsiTheme="minorHAnsi" w:cstheme="minorHAnsi"/>
          <w:sz w:val="24"/>
          <w:szCs w:val="24"/>
        </w:rPr>
        <w:t>The VC will offer 22 educational sessions, more than double the programming that was offered at the last PLA Virtual Conference (10 sessions for PLA 2020).</w:t>
      </w:r>
      <w:r w:rsidRPr="00E718F3">
        <w:rPr>
          <w:rFonts w:asciiTheme="minorHAnsi" w:hAnsiTheme="minorHAnsi"/>
          <w:sz w:val="24"/>
          <w:szCs w:val="24"/>
        </w:rPr>
        <w:t xml:space="preserve"> In addition, all PLA 2022 full conference registrants will receive access to the live Virtual Conference and on-demand access to its recorded programs for one year.</w:t>
      </w:r>
    </w:p>
    <w:p w14:paraId="64482178" w14:textId="77777777" w:rsidR="00A52F34" w:rsidRPr="00E718F3" w:rsidRDefault="00A52F34" w:rsidP="00A52F34">
      <w:pPr>
        <w:rPr>
          <w:rFonts w:asciiTheme="minorHAnsi" w:hAnsiTheme="minorHAnsi" w:cstheme="minorHAnsi"/>
          <w:sz w:val="24"/>
          <w:szCs w:val="24"/>
        </w:rPr>
      </w:pPr>
    </w:p>
    <w:p w14:paraId="727FF87A" w14:textId="58FC5B51" w:rsidR="00A52F34" w:rsidRPr="00E718F3" w:rsidRDefault="00A52F34" w:rsidP="00A52F34">
      <w:pPr>
        <w:rPr>
          <w:rFonts w:asciiTheme="minorHAnsi" w:hAnsiTheme="minorHAnsi" w:cstheme="minorHAnsi"/>
          <w:sz w:val="24"/>
          <w:szCs w:val="24"/>
        </w:rPr>
      </w:pPr>
      <w:r w:rsidRPr="00E718F3">
        <w:rPr>
          <w:rFonts w:asciiTheme="minorHAnsi" w:hAnsiTheme="minorHAnsi" w:cstheme="minorHAnsi"/>
          <w:sz w:val="24"/>
          <w:szCs w:val="24"/>
        </w:rPr>
        <w:t xml:space="preserve">To learn more about educational programming at PLA 2022, please visit the conference website at </w:t>
      </w:r>
      <w:hyperlink r:id="rId7" w:history="1">
        <w:r w:rsidRPr="00E718F3">
          <w:rPr>
            <w:rStyle w:val="Hyperlink"/>
            <w:rFonts w:asciiTheme="minorHAnsi" w:hAnsiTheme="minorHAnsi" w:cstheme="minorHAnsi"/>
            <w:sz w:val="24"/>
            <w:szCs w:val="24"/>
          </w:rPr>
          <w:t>placonference.org/programs.cfm</w:t>
        </w:r>
      </w:hyperlink>
      <w:r w:rsidRPr="00E718F3">
        <w:rPr>
          <w:rFonts w:asciiTheme="minorHAnsi" w:hAnsiTheme="minorHAnsi" w:cstheme="minorHAnsi"/>
          <w:sz w:val="24"/>
          <w:szCs w:val="24"/>
        </w:rPr>
        <w:t xml:space="preserve"> and </w:t>
      </w:r>
      <w:hyperlink r:id="rId8" w:history="1">
        <w:r w:rsidRPr="00E718F3">
          <w:rPr>
            <w:rStyle w:val="Hyperlink"/>
            <w:rFonts w:asciiTheme="minorHAnsi" w:hAnsiTheme="minorHAnsi" w:cstheme="minorHAnsi"/>
            <w:sz w:val="24"/>
            <w:szCs w:val="24"/>
          </w:rPr>
          <w:t>placonference.org/preconferences.cfm</w:t>
        </w:r>
      </w:hyperlink>
      <w:r w:rsidRPr="00E718F3">
        <w:rPr>
          <w:rFonts w:asciiTheme="minorHAnsi" w:hAnsiTheme="minorHAnsi" w:cstheme="minorHAnsi"/>
          <w:sz w:val="24"/>
          <w:szCs w:val="24"/>
        </w:rPr>
        <w:t xml:space="preserve">. For more information on the Virtual Conference, please visit </w:t>
      </w:r>
      <w:hyperlink r:id="rId9" w:history="1">
        <w:r w:rsidRPr="00E718F3">
          <w:rPr>
            <w:rStyle w:val="Hyperlink"/>
            <w:rFonts w:asciiTheme="minorHAnsi" w:hAnsiTheme="minorHAnsi" w:cstheme="minorHAnsi"/>
            <w:sz w:val="24"/>
            <w:szCs w:val="24"/>
          </w:rPr>
          <w:t>placonference.org/virtual_conference.cfm</w:t>
        </w:r>
      </w:hyperlink>
      <w:r w:rsidRPr="00E718F3">
        <w:rPr>
          <w:rFonts w:asciiTheme="minorHAnsi" w:hAnsiTheme="minorHAnsi" w:cstheme="minorHAnsi"/>
          <w:sz w:val="24"/>
          <w:szCs w:val="24"/>
        </w:rPr>
        <w:t xml:space="preserve">. </w:t>
      </w:r>
    </w:p>
    <w:p w14:paraId="134D9053" w14:textId="77777777" w:rsidR="002507AA" w:rsidRPr="00E718F3" w:rsidRDefault="002507AA" w:rsidP="00C233E4">
      <w:pPr>
        <w:rPr>
          <w:rFonts w:asciiTheme="minorHAnsi" w:hAnsiTheme="minorHAnsi"/>
          <w:b/>
          <w:sz w:val="24"/>
          <w:szCs w:val="24"/>
        </w:rPr>
      </w:pPr>
    </w:p>
    <w:p w14:paraId="209C1CC0" w14:textId="235499DB" w:rsidR="00B548FB" w:rsidRPr="00E718F3" w:rsidRDefault="003B31D8" w:rsidP="00C233E4">
      <w:pPr>
        <w:rPr>
          <w:rFonts w:asciiTheme="minorHAnsi" w:hAnsiTheme="minorHAnsi"/>
          <w:b/>
          <w:sz w:val="24"/>
          <w:szCs w:val="24"/>
          <w:u w:val="single"/>
        </w:rPr>
      </w:pPr>
      <w:r w:rsidRPr="00E718F3">
        <w:rPr>
          <w:rFonts w:asciiTheme="minorHAnsi" w:hAnsiTheme="minorHAnsi"/>
          <w:b/>
          <w:sz w:val="24"/>
          <w:szCs w:val="24"/>
          <w:u w:val="single"/>
        </w:rPr>
        <w:t xml:space="preserve">Special </w:t>
      </w:r>
      <w:r w:rsidR="00BB6F75" w:rsidRPr="00E718F3">
        <w:rPr>
          <w:rFonts w:asciiTheme="minorHAnsi" w:hAnsiTheme="minorHAnsi"/>
          <w:b/>
          <w:sz w:val="24"/>
          <w:szCs w:val="24"/>
          <w:u w:val="single"/>
        </w:rPr>
        <w:t>Activities</w:t>
      </w:r>
    </w:p>
    <w:p w14:paraId="44A566FB" w14:textId="79564862" w:rsidR="00E36850" w:rsidRDefault="00E36850" w:rsidP="00E36850">
      <w:pPr>
        <w:shd w:val="clear" w:color="auto" w:fill="FFFFFF"/>
        <w:spacing w:before="100" w:beforeAutospacing="1" w:after="100" w:afterAutospacing="1"/>
        <w:rPr>
          <w:rFonts w:asciiTheme="minorHAnsi" w:eastAsia="Times New Roman" w:hAnsiTheme="minorHAnsi"/>
          <w:color w:val="303030"/>
          <w:spacing w:val="5"/>
          <w:sz w:val="24"/>
          <w:szCs w:val="24"/>
        </w:rPr>
      </w:pPr>
      <w:r w:rsidRPr="009043C8">
        <w:rPr>
          <w:rStyle w:val="Strong"/>
          <w:rFonts w:asciiTheme="minorHAnsi" w:hAnsiTheme="minorHAnsi" w:cs="Helvetica"/>
          <w:b w:val="0"/>
          <w:bCs w:val="0"/>
          <w:i/>
          <w:iCs/>
          <w:color w:val="000000"/>
          <w:sz w:val="24"/>
          <w:szCs w:val="24"/>
        </w:rPr>
        <w:t>My People’s Market</w:t>
      </w:r>
      <w:r w:rsidRPr="00E718F3">
        <w:rPr>
          <w:rFonts w:asciiTheme="minorHAnsi" w:hAnsiTheme="minorHAnsi" w:cs="Helvetica"/>
          <w:b/>
          <w:bCs/>
          <w:i/>
          <w:iCs/>
          <w:color w:val="000000"/>
          <w:sz w:val="24"/>
          <w:szCs w:val="24"/>
        </w:rPr>
        <w:t xml:space="preserve"> </w:t>
      </w:r>
      <w:r w:rsidRPr="003D3817">
        <w:rPr>
          <w:rFonts w:asciiTheme="minorHAnsi" w:hAnsiTheme="minorHAnsi" w:cs="Helvetica"/>
          <w:i/>
          <w:iCs/>
          <w:color w:val="000000"/>
          <w:sz w:val="24"/>
          <w:szCs w:val="24"/>
        </w:rPr>
        <w:t>– local EDISJ partnership</w:t>
      </w:r>
      <w:r w:rsidRPr="00E718F3">
        <w:rPr>
          <w:rFonts w:asciiTheme="minorHAnsi" w:hAnsiTheme="minorHAnsi" w:cs="Helvetica"/>
          <w:b/>
          <w:bCs/>
          <w:i/>
          <w:iCs/>
          <w:color w:val="000000"/>
          <w:sz w:val="24"/>
          <w:szCs w:val="24"/>
        </w:rPr>
        <w:br/>
      </w:r>
      <w:r w:rsidRPr="00E718F3">
        <w:rPr>
          <w:rFonts w:asciiTheme="minorHAnsi" w:hAnsiTheme="minorHAnsi" w:cs="Segoe UI Historic"/>
          <w:color w:val="050505"/>
          <w:sz w:val="24"/>
          <w:szCs w:val="24"/>
          <w:shd w:val="clear" w:color="auto" w:fill="FFFFFF"/>
        </w:rPr>
        <w:t xml:space="preserve">My People’s Market is a welcoming marketplace re-imagined as a gathering of Portland’s diverse and vibrant entrepreneurs, artists, and community members. </w:t>
      </w:r>
      <w:r w:rsidRPr="00E718F3">
        <w:rPr>
          <w:rFonts w:asciiTheme="minorHAnsi" w:eastAsia="Times New Roman" w:hAnsiTheme="minorHAnsi"/>
          <w:color w:val="303030"/>
          <w:spacing w:val="5"/>
          <w:sz w:val="24"/>
          <w:szCs w:val="24"/>
        </w:rPr>
        <w:t>My People's Market is a collaborative event organized by Travel Portland and Prosper Portland. The marketplace is aimed to advance opportunities for business owners of color by connecting them to the travel industry and other professionals who can help expand and scale their businesses.</w:t>
      </w:r>
    </w:p>
    <w:p w14:paraId="7B0E278A" w14:textId="62D4EB3E" w:rsidR="00E36850" w:rsidRPr="00E36850" w:rsidRDefault="00E36850" w:rsidP="00E36850">
      <w:pPr>
        <w:pStyle w:val="NormalWeb"/>
        <w:shd w:val="clear" w:color="auto" w:fill="FFFFFF"/>
        <w:spacing w:before="0" w:beforeAutospacing="0" w:after="150" w:afterAutospacing="0"/>
        <w:rPr>
          <w:rFonts w:asciiTheme="minorHAnsi" w:hAnsiTheme="minorHAnsi" w:cs="Helvetica"/>
          <w:color w:val="212529"/>
          <w:shd w:val="clear" w:color="auto" w:fill="FFFFFF"/>
        </w:rPr>
      </w:pPr>
      <w:r w:rsidRPr="00E718F3">
        <w:rPr>
          <w:rStyle w:val="Strong"/>
          <w:rFonts w:asciiTheme="minorHAnsi" w:hAnsiTheme="minorHAnsi" w:cs="Helvetica"/>
          <w:b w:val="0"/>
          <w:bCs w:val="0"/>
          <w:i/>
          <w:iCs/>
          <w:color w:val="212529"/>
          <w:shd w:val="clear" w:color="auto" w:fill="FFFFFF"/>
        </w:rPr>
        <w:t>Intellectual Freedom Forum</w:t>
      </w:r>
      <w:r w:rsidRPr="00E718F3">
        <w:rPr>
          <w:rStyle w:val="Strong"/>
          <w:rFonts w:asciiTheme="minorHAnsi" w:hAnsiTheme="minorHAnsi" w:cs="Helvetica"/>
          <w:color w:val="212529"/>
          <w:shd w:val="clear" w:color="auto" w:fill="FFFFFF"/>
        </w:rPr>
        <w:t xml:space="preserve"> </w:t>
      </w:r>
      <w:r w:rsidRPr="00E718F3">
        <w:rPr>
          <w:rFonts w:asciiTheme="minorHAnsi" w:hAnsiTheme="minorHAnsi" w:cs="Helvetica"/>
          <w:color w:val="212529"/>
        </w:rPr>
        <w:br/>
      </w:r>
      <w:r w:rsidRPr="00E718F3">
        <w:rPr>
          <w:rFonts w:asciiTheme="minorHAnsi" w:hAnsiTheme="minorHAnsi" w:cs="Helvetica"/>
          <w:color w:val="212529"/>
          <w:shd w:val="clear" w:color="auto" w:fill="FFFFFF"/>
        </w:rPr>
        <w:t>In this time of increased challenges to core library values and expertise, PLA is hosting multiple sessions to share resources and build connections in support of intellectual freedom. Drop in to connect with peers and share strategies for navigating challenging times.</w:t>
      </w:r>
    </w:p>
    <w:p w14:paraId="7F9F3228" w14:textId="58709BA5" w:rsidR="00436775" w:rsidRPr="00E718F3" w:rsidRDefault="00436775" w:rsidP="00C233E4">
      <w:pPr>
        <w:rPr>
          <w:rFonts w:asciiTheme="minorHAnsi" w:hAnsiTheme="minorHAnsi"/>
          <w:bCs/>
          <w:i/>
          <w:iCs/>
          <w:sz w:val="24"/>
          <w:szCs w:val="24"/>
        </w:rPr>
      </w:pPr>
      <w:r w:rsidRPr="00E718F3">
        <w:rPr>
          <w:rFonts w:asciiTheme="minorHAnsi" w:hAnsiTheme="minorHAnsi"/>
          <w:bCs/>
          <w:i/>
          <w:iCs/>
          <w:sz w:val="24"/>
          <w:szCs w:val="24"/>
        </w:rPr>
        <w:t xml:space="preserve">Career Center </w:t>
      </w:r>
    </w:p>
    <w:p w14:paraId="200EC024" w14:textId="6E3B997D" w:rsidR="00436775" w:rsidRPr="00E718F3" w:rsidRDefault="00436775" w:rsidP="00C233E4">
      <w:pPr>
        <w:rPr>
          <w:rFonts w:asciiTheme="minorHAnsi" w:hAnsiTheme="minorHAnsi" w:cs="Helvetica"/>
          <w:color w:val="212529"/>
          <w:sz w:val="24"/>
          <w:szCs w:val="24"/>
          <w:shd w:val="clear" w:color="auto" w:fill="FFFFFF"/>
        </w:rPr>
      </w:pPr>
      <w:r w:rsidRPr="00E718F3">
        <w:rPr>
          <w:rFonts w:asciiTheme="minorHAnsi" w:hAnsiTheme="minorHAnsi" w:cs="Helvetica"/>
          <w:color w:val="212529"/>
          <w:sz w:val="24"/>
          <w:szCs w:val="24"/>
          <w:shd w:val="clear" w:color="auto" w:fill="FFFFFF"/>
        </w:rPr>
        <w:t>The </w:t>
      </w:r>
      <w:r w:rsidRPr="00E718F3">
        <w:rPr>
          <w:rFonts w:asciiTheme="minorHAnsi" w:hAnsiTheme="minorHAnsi" w:cs="Helvetica"/>
          <w:color w:val="000000" w:themeColor="text1"/>
          <w:sz w:val="24"/>
          <w:szCs w:val="24"/>
          <w:shd w:val="clear" w:color="auto" w:fill="FFFFFF"/>
        </w:rPr>
        <w:t>Career Center</w:t>
      </w:r>
      <w:r w:rsidRPr="00E718F3">
        <w:rPr>
          <w:rFonts w:asciiTheme="minorHAnsi" w:hAnsiTheme="minorHAnsi" w:cs="Helvetica"/>
          <w:color w:val="212529"/>
          <w:sz w:val="24"/>
          <w:szCs w:val="24"/>
          <w:shd w:val="clear" w:color="auto" w:fill="FFFFFF"/>
        </w:rPr>
        <w:t>, in the Exhibits Hall, will have coordinated events at select times, including the Career Fair, résumé reviews, interview practice, and mini-mentoring, but will remain open during conference hours to enable job posting or impromptu interviews.</w:t>
      </w:r>
    </w:p>
    <w:p w14:paraId="7FC699D7" w14:textId="77777777" w:rsidR="00436775" w:rsidRPr="00E718F3" w:rsidRDefault="00436775" w:rsidP="00C233E4">
      <w:pPr>
        <w:rPr>
          <w:rFonts w:asciiTheme="minorHAnsi" w:hAnsiTheme="minorHAnsi"/>
          <w:b/>
          <w:sz w:val="24"/>
          <w:szCs w:val="24"/>
          <w:u w:val="single"/>
        </w:rPr>
      </w:pPr>
    </w:p>
    <w:p w14:paraId="4E9FEE42" w14:textId="31911870" w:rsidR="00436775" w:rsidRPr="00E718F3" w:rsidRDefault="00E1060B" w:rsidP="00436775">
      <w:pPr>
        <w:pStyle w:val="NormalWeb"/>
        <w:shd w:val="clear" w:color="auto" w:fill="FFFFFF"/>
        <w:spacing w:before="0" w:beforeAutospacing="0" w:after="0" w:afterAutospacing="0"/>
        <w:rPr>
          <w:rFonts w:asciiTheme="minorHAnsi" w:hAnsiTheme="minorHAnsi" w:cs="Helvetica"/>
          <w:color w:val="000000"/>
        </w:rPr>
      </w:pPr>
      <w:r w:rsidRPr="00E718F3">
        <w:rPr>
          <w:rStyle w:val="Strong"/>
          <w:rFonts w:asciiTheme="minorHAnsi" w:hAnsiTheme="minorHAnsi" w:cs="Helvetica"/>
          <w:b w:val="0"/>
          <w:bCs w:val="0"/>
          <w:i/>
          <w:iCs/>
          <w:color w:val="000000"/>
        </w:rPr>
        <w:t>Giving Back</w:t>
      </w:r>
      <w:r w:rsidRPr="00E718F3">
        <w:rPr>
          <w:rFonts w:asciiTheme="minorHAnsi" w:hAnsiTheme="minorHAnsi" w:cs="Helvetica"/>
          <w:b/>
          <w:bCs/>
          <w:i/>
          <w:iCs/>
          <w:color w:val="000000"/>
        </w:rPr>
        <w:t xml:space="preserve"> </w:t>
      </w:r>
      <w:r w:rsidRPr="00E718F3">
        <w:rPr>
          <w:rFonts w:asciiTheme="minorHAnsi" w:hAnsiTheme="minorHAnsi" w:cs="Helvetica"/>
          <w:b/>
          <w:bCs/>
          <w:i/>
          <w:iCs/>
          <w:color w:val="000000"/>
        </w:rPr>
        <w:br/>
      </w:r>
      <w:r w:rsidRPr="00E718F3">
        <w:rPr>
          <w:rFonts w:asciiTheme="minorHAnsi" w:hAnsiTheme="minorHAnsi" w:cs="Helvetica"/>
          <w:color w:val="000000"/>
        </w:rPr>
        <w:t xml:space="preserve">Attendees will have the opportunity to </w:t>
      </w:r>
      <w:r w:rsidR="003B31D8" w:rsidRPr="00E718F3">
        <w:rPr>
          <w:rFonts w:asciiTheme="minorHAnsi" w:hAnsiTheme="minorHAnsi" w:cs="Helvetica"/>
          <w:color w:val="000000"/>
        </w:rPr>
        <w:t xml:space="preserve">make homemade cards </w:t>
      </w:r>
      <w:r w:rsidR="00B548FB" w:rsidRPr="00E718F3">
        <w:rPr>
          <w:rFonts w:asciiTheme="minorHAnsi" w:hAnsiTheme="minorHAnsi" w:cs="Helvetica"/>
          <w:color w:val="000000"/>
        </w:rPr>
        <w:t xml:space="preserve">in the exhibit hall </w:t>
      </w:r>
      <w:r w:rsidR="003B31D8" w:rsidRPr="00E718F3">
        <w:rPr>
          <w:rFonts w:asciiTheme="minorHAnsi" w:hAnsiTheme="minorHAnsi" w:cs="Helvetica"/>
          <w:color w:val="000000"/>
        </w:rPr>
        <w:t>for the local Meals on Wheels program</w:t>
      </w:r>
      <w:r w:rsidRPr="00E718F3">
        <w:rPr>
          <w:rFonts w:asciiTheme="minorHAnsi" w:hAnsiTheme="minorHAnsi" w:cs="Helvetica"/>
          <w:color w:val="000000"/>
        </w:rPr>
        <w:t>.</w:t>
      </w:r>
    </w:p>
    <w:p w14:paraId="266346AC" w14:textId="77777777" w:rsidR="00436775" w:rsidRPr="00E718F3" w:rsidRDefault="00436775" w:rsidP="00436775">
      <w:pPr>
        <w:pStyle w:val="NormalWeb"/>
        <w:shd w:val="clear" w:color="auto" w:fill="FFFFFF"/>
        <w:spacing w:before="0" w:beforeAutospacing="0" w:after="0" w:afterAutospacing="0"/>
        <w:rPr>
          <w:rStyle w:val="Strong"/>
          <w:rFonts w:asciiTheme="minorHAnsi" w:hAnsiTheme="minorHAnsi" w:cs="Helvetica"/>
          <w:b w:val="0"/>
          <w:bCs w:val="0"/>
          <w:color w:val="000000"/>
        </w:rPr>
      </w:pPr>
    </w:p>
    <w:p w14:paraId="701FC3A3" w14:textId="4F22B311" w:rsidR="00436775" w:rsidRPr="00E718F3" w:rsidRDefault="00436775" w:rsidP="00436775">
      <w:pPr>
        <w:pStyle w:val="NormalWeb"/>
        <w:shd w:val="clear" w:color="auto" w:fill="FFFFFF"/>
        <w:spacing w:before="0" w:beforeAutospacing="0" w:after="150" w:afterAutospacing="0"/>
        <w:rPr>
          <w:rStyle w:val="Strong"/>
          <w:rFonts w:asciiTheme="minorHAnsi" w:hAnsiTheme="minorHAnsi"/>
          <w:b w:val="0"/>
          <w:bCs w:val="0"/>
          <w:i/>
          <w:iCs/>
          <w:color w:val="303030"/>
          <w:spacing w:val="5"/>
        </w:rPr>
      </w:pPr>
      <w:r w:rsidRPr="00E718F3">
        <w:rPr>
          <w:rStyle w:val="Strong"/>
          <w:rFonts w:asciiTheme="minorHAnsi" w:hAnsiTheme="minorHAnsi"/>
          <w:b w:val="0"/>
          <w:bCs w:val="0"/>
          <w:i/>
          <w:iCs/>
          <w:color w:val="303030"/>
          <w:spacing w:val="5"/>
        </w:rPr>
        <w:t>Library Experiences</w:t>
      </w:r>
    </w:p>
    <w:p w14:paraId="65046770" w14:textId="77777777" w:rsidR="00436775" w:rsidRPr="00E718F3" w:rsidRDefault="00436775" w:rsidP="00436775">
      <w:pPr>
        <w:pStyle w:val="NormalWeb"/>
        <w:shd w:val="clear" w:color="auto" w:fill="FFFFFF"/>
        <w:spacing w:before="0" w:beforeAutospacing="0" w:after="150" w:afterAutospacing="0"/>
        <w:rPr>
          <w:rFonts w:asciiTheme="minorHAnsi" w:hAnsiTheme="minorHAnsi" w:cs="Helvetica"/>
          <w:color w:val="212529"/>
          <w:shd w:val="clear" w:color="auto" w:fill="FFFFFF"/>
        </w:rPr>
      </w:pPr>
      <w:r w:rsidRPr="00E718F3">
        <w:rPr>
          <w:rStyle w:val="Strong"/>
          <w:rFonts w:asciiTheme="minorHAnsi" w:hAnsiTheme="minorHAnsi" w:cs="Helvetica"/>
          <w:b w:val="0"/>
          <w:bCs w:val="0"/>
          <w:color w:val="212529"/>
          <w:shd w:val="clear" w:color="auto" w:fill="FFFFFF"/>
        </w:rPr>
        <w:lastRenderedPageBreak/>
        <w:t>EQUITY, INCLUSION AND BELONGING: MORE THAN JUST WORDS</w:t>
      </w:r>
      <w:r w:rsidRPr="00E718F3">
        <w:rPr>
          <w:rFonts w:asciiTheme="minorHAnsi" w:hAnsiTheme="minorHAnsi" w:cs="Helvetica"/>
          <w:color w:val="212529"/>
        </w:rPr>
        <w:br/>
      </w:r>
      <w:r w:rsidRPr="00E718F3">
        <w:rPr>
          <w:rFonts w:asciiTheme="minorHAnsi" w:hAnsiTheme="minorHAnsi" w:cs="Helvetica"/>
          <w:color w:val="212529"/>
          <w:shd w:val="clear" w:color="auto" w:fill="FFFFFF"/>
        </w:rPr>
        <w:t>Join Multnomah County (OR) Library friends at PLA to learn about their work to center equity, inclusion, and belonging as the foundation for lasting, transformational change. Learn about actions their library is taking to manifest this commitment. Enjoy a cup of tea in their BIPOC affinity space; learn about creating these for your staff; hear about centering equity, inclusion, and belonging in </w:t>
      </w:r>
      <w:r w:rsidRPr="00E718F3">
        <w:rPr>
          <w:rStyle w:val="Emphasis"/>
          <w:rFonts w:asciiTheme="minorHAnsi" w:hAnsiTheme="minorHAnsi" w:cs="Helvetica"/>
          <w:color w:val="212529"/>
          <w:shd w:val="clear" w:color="auto" w:fill="FFFFFF"/>
        </w:rPr>
        <w:t>outreach, community engagement, marketing and communications, recruitment</w:t>
      </w:r>
      <w:r w:rsidRPr="00E718F3">
        <w:rPr>
          <w:rFonts w:asciiTheme="minorHAnsi" w:hAnsiTheme="minorHAnsi" w:cs="Helvetica"/>
          <w:color w:val="212529"/>
          <w:shd w:val="clear" w:color="auto" w:fill="FFFFFF"/>
        </w:rPr>
        <w:t xml:space="preserve">, and more. </w:t>
      </w:r>
    </w:p>
    <w:p w14:paraId="7517AFE9" w14:textId="4CACFC37" w:rsidR="00436775" w:rsidRPr="00E718F3" w:rsidRDefault="00436775" w:rsidP="00436775">
      <w:pPr>
        <w:pStyle w:val="NormalWeb"/>
        <w:shd w:val="clear" w:color="auto" w:fill="FFFFFF"/>
        <w:spacing w:before="0" w:beforeAutospacing="0" w:after="150" w:afterAutospacing="0"/>
        <w:rPr>
          <w:rFonts w:asciiTheme="minorHAnsi" w:hAnsiTheme="minorHAnsi" w:cs="Helvetica"/>
          <w:color w:val="212529"/>
          <w:shd w:val="clear" w:color="auto" w:fill="FFFFFF"/>
        </w:rPr>
      </w:pPr>
      <w:r w:rsidRPr="00E718F3">
        <w:rPr>
          <w:rFonts w:asciiTheme="minorHAnsi" w:hAnsiTheme="minorHAnsi" w:cs="Helvetica"/>
          <w:color w:val="212529"/>
          <w:shd w:val="clear" w:color="auto" w:fill="FFFFFF"/>
        </w:rPr>
        <w:t>"OUR WISHES" AT PLA 2022</w:t>
      </w:r>
      <w:r w:rsidRPr="00E718F3">
        <w:rPr>
          <w:rFonts w:asciiTheme="minorHAnsi" w:hAnsiTheme="minorHAnsi" w:cs="Helvetica"/>
          <w:color w:val="212529"/>
        </w:rPr>
        <w:br/>
      </w:r>
      <w:r w:rsidRPr="00E718F3">
        <w:rPr>
          <w:rFonts w:asciiTheme="minorHAnsi" w:hAnsiTheme="minorHAnsi" w:cs="Helvetica"/>
          <w:color w:val="212529"/>
          <w:shd w:val="clear" w:color="auto" w:fill="FFFFFF"/>
        </w:rPr>
        <w:t>This year, Anythink Libraries (Adams County, CO) brings artist </w:t>
      </w:r>
      <w:hyperlink r:id="rId10" w:tgtFrame="_blank" w:tooltip="Alejandra Abad " w:history="1">
        <w:r w:rsidRPr="00E718F3">
          <w:rPr>
            <w:rFonts w:asciiTheme="minorHAnsi" w:hAnsiTheme="minorHAnsi" w:cs="Helvetica"/>
            <w:color w:val="0000FF"/>
            <w:u w:val="single"/>
            <w:shd w:val="clear" w:color="auto" w:fill="FFFFFF"/>
          </w:rPr>
          <w:t>Alejandra Abad and her "Our Wishes" project</w:t>
        </w:r>
      </w:hyperlink>
      <w:r w:rsidRPr="00E718F3">
        <w:rPr>
          <w:rFonts w:asciiTheme="minorHAnsi" w:hAnsiTheme="minorHAnsi" w:cs="Helvetica"/>
          <w:color w:val="212529"/>
          <w:shd w:val="clear" w:color="auto" w:fill="FFFFFF"/>
        </w:rPr>
        <w:t> to PLA 2022 in Portland. As part of "Our Wishes," a collaboration between Anythink, Abad, and the Boulder Museum of Contemporary Art, messages of hope were crowdsourced from the Thornton, CO, community and placed on beautiful flags displayed throughout the library. Learn how partnerships with local artists and organizations can help libraries make art accessible and amplify community voices during this immersive installation. Attendees are invited to relax, reflect, and write their own messages of hope in the space while connecting with Abad and Anythink staff. </w:t>
      </w:r>
    </w:p>
    <w:p w14:paraId="137FE065" w14:textId="6EAC9C4A" w:rsidR="00436775" w:rsidRPr="00E718F3" w:rsidRDefault="00436775" w:rsidP="00436775">
      <w:pPr>
        <w:rPr>
          <w:rFonts w:asciiTheme="minorHAnsi" w:hAnsiTheme="minorHAnsi" w:cs="Helvetica"/>
          <w:color w:val="212529"/>
          <w:sz w:val="24"/>
          <w:szCs w:val="24"/>
          <w:shd w:val="clear" w:color="auto" w:fill="FFFFFF"/>
        </w:rPr>
      </w:pPr>
      <w:r w:rsidRPr="00E718F3">
        <w:rPr>
          <w:rStyle w:val="Strong"/>
          <w:rFonts w:asciiTheme="minorHAnsi" w:hAnsiTheme="minorHAnsi" w:cs="Helvetica"/>
          <w:b w:val="0"/>
          <w:bCs w:val="0"/>
          <w:color w:val="212529"/>
          <w:sz w:val="24"/>
          <w:szCs w:val="24"/>
          <w:shd w:val="clear" w:color="auto" w:fill="FFFFFF"/>
        </w:rPr>
        <w:t>OVERDUE</w:t>
      </w:r>
      <w:r w:rsidRPr="00E718F3">
        <w:rPr>
          <w:rFonts w:asciiTheme="minorHAnsi" w:hAnsiTheme="minorHAnsi" w:cs="Helvetica"/>
          <w:color w:val="212529"/>
          <w:sz w:val="24"/>
          <w:szCs w:val="24"/>
        </w:rPr>
        <w:br/>
      </w:r>
      <w:r w:rsidRPr="00E718F3">
        <w:rPr>
          <w:rFonts w:asciiTheme="minorHAnsi" w:hAnsiTheme="minorHAnsi" w:cs="Helvetica"/>
          <w:color w:val="212529"/>
          <w:sz w:val="24"/>
          <w:szCs w:val="24"/>
          <w:shd w:val="clear" w:color="auto" w:fill="FFFFFF"/>
        </w:rPr>
        <w:t>Check in with Richland Library (Columbia, SC) as they recreate their famous Overdue event—celebrating a little bit of South Carolina creativity in the Pacific Northwest. Check out their interactive arts, crafts, virtual reality, and live music from THE Dubber, one of their Artists-in-Residence. </w:t>
      </w:r>
    </w:p>
    <w:p w14:paraId="42BAEC16" w14:textId="77777777" w:rsidR="00E36850" w:rsidRDefault="00E36850" w:rsidP="00C233E4">
      <w:pPr>
        <w:rPr>
          <w:rFonts w:asciiTheme="minorHAnsi" w:hAnsiTheme="minorHAnsi"/>
          <w:b/>
          <w:sz w:val="24"/>
          <w:szCs w:val="24"/>
        </w:rPr>
      </w:pPr>
    </w:p>
    <w:p w14:paraId="29D5DD0F" w14:textId="196B4175" w:rsidR="004846F0" w:rsidRPr="00E718F3" w:rsidRDefault="004846F0" w:rsidP="00C233E4">
      <w:pPr>
        <w:rPr>
          <w:rFonts w:asciiTheme="minorHAnsi" w:hAnsiTheme="minorHAnsi"/>
          <w:b/>
          <w:sz w:val="24"/>
          <w:szCs w:val="24"/>
        </w:rPr>
      </w:pPr>
      <w:r w:rsidRPr="00E718F3">
        <w:rPr>
          <w:rFonts w:asciiTheme="minorHAnsi" w:hAnsiTheme="minorHAnsi"/>
          <w:b/>
          <w:sz w:val="24"/>
          <w:szCs w:val="24"/>
        </w:rPr>
        <w:t>PLA STRATEGIC GOAL LINK</w:t>
      </w:r>
      <w:r w:rsidR="008E5812" w:rsidRPr="00E718F3">
        <w:rPr>
          <w:rFonts w:asciiTheme="minorHAnsi" w:hAnsiTheme="minorHAnsi"/>
          <w:b/>
          <w:sz w:val="24"/>
          <w:szCs w:val="24"/>
        </w:rPr>
        <w:t xml:space="preserve"> </w:t>
      </w:r>
    </w:p>
    <w:p w14:paraId="3CBD8962" w14:textId="3864BBFE" w:rsidR="00E77F96" w:rsidRPr="00C05F76" w:rsidRDefault="004846F0" w:rsidP="00C05F76">
      <w:pPr>
        <w:pStyle w:val="ListParagraph"/>
        <w:autoSpaceDE w:val="0"/>
        <w:autoSpaceDN w:val="0"/>
        <w:adjustRightInd w:val="0"/>
        <w:ind w:left="0"/>
        <w:rPr>
          <w:rFonts w:asciiTheme="minorHAnsi" w:hAnsiTheme="minorHAnsi" w:cs="Arial"/>
        </w:rPr>
      </w:pPr>
      <w:r w:rsidRPr="00C05F76">
        <w:rPr>
          <w:rFonts w:asciiTheme="minorHAnsi" w:hAnsiTheme="minorHAnsi" w:cs="Arial"/>
        </w:rPr>
        <w:fldChar w:fldCharType="begin">
          <w:ffData>
            <w:name w:val=""/>
            <w:enabled/>
            <w:calcOnExit w:val="0"/>
            <w:checkBox>
              <w:sizeAuto/>
              <w:default w:val="0"/>
            </w:checkBox>
          </w:ffData>
        </w:fldChar>
      </w:r>
      <w:r w:rsidRPr="00C05F76">
        <w:rPr>
          <w:rFonts w:asciiTheme="minorHAnsi" w:hAnsiTheme="minorHAnsi" w:cs="Arial"/>
        </w:rPr>
        <w:instrText xml:space="preserve"> FORMCHECKBOX </w:instrText>
      </w:r>
      <w:r w:rsidR="00CD515C">
        <w:rPr>
          <w:rFonts w:asciiTheme="minorHAnsi" w:hAnsiTheme="minorHAnsi" w:cs="Arial"/>
        </w:rPr>
      </w:r>
      <w:r w:rsidR="00CD515C">
        <w:rPr>
          <w:rFonts w:asciiTheme="minorHAnsi" w:hAnsiTheme="minorHAnsi" w:cs="Arial"/>
        </w:rPr>
        <w:fldChar w:fldCharType="separate"/>
      </w:r>
      <w:r w:rsidRPr="00C05F76">
        <w:rPr>
          <w:rFonts w:asciiTheme="minorHAnsi" w:hAnsiTheme="minorHAnsi" w:cs="Arial"/>
        </w:rPr>
        <w:fldChar w:fldCharType="end"/>
      </w:r>
      <w:r w:rsidRPr="00C05F76">
        <w:rPr>
          <w:rFonts w:asciiTheme="minorHAnsi" w:hAnsiTheme="minorHAnsi" w:cs="Arial"/>
        </w:rPr>
        <w:t xml:space="preserve"> TRANSFORMATION</w:t>
      </w:r>
      <w:r w:rsidR="004926D2" w:rsidRPr="00C05F76">
        <w:rPr>
          <w:rFonts w:asciiTheme="minorHAnsi" w:hAnsiTheme="minorHAnsi" w:cs="Arial"/>
        </w:rPr>
        <w:t xml:space="preserve"> </w:t>
      </w:r>
      <w:r w:rsidRPr="00C05F76">
        <w:rPr>
          <w:rFonts w:asciiTheme="minorHAnsi" w:hAnsiTheme="minorHAnsi" w:cs="Arial"/>
        </w:rPr>
        <w:t xml:space="preserve"> </w:t>
      </w:r>
      <w:bookmarkStart w:id="0" w:name="_Hlk528139377"/>
      <w:r w:rsidRPr="00C05F76">
        <w:rPr>
          <w:rFonts w:asciiTheme="minorHAnsi" w:hAnsiTheme="minorHAnsi" w:cs="Arial"/>
        </w:rPr>
        <w:t xml:space="preserve"> </w:t>
      </w:r>
      <w:r w:rsidR="004926D2" w:rsidRPr="00C05F76">
        <w:rPr>
          <w:rFonts w:asciiTheme="minorHAnsi" w:hAnsiTheme="minorHAnsi" w:cs="Arial"/>
        </w:rPr>
        <w:fldChar w:fldCharType="begin">
          <w:ffData>
            <w:name w:val="Check1"/>
            <w:enabled/>
            <w:calcOnExit w:val="0"/>
            <w:checkBox>
              <w:sizeAuto/>
              <w:default w:val="1"/>
            </w:checkBox>
          </w:ffData>
        </w:fldChar>
      </w:r>
      <w:bookmarkStart w:id="1" w:name="Check1"/>
      <w:r w:rsidR="004926D2" w:rsidRPr="00C05F76">
        <w:rPr>
          <w:rFonts w:asciiTheme="minorHAnsi" w:hAnsiTheme="minorHAnsi" w:cs="Arial"/>
        </w:rPr>
        <w:instrText xml:space="preserve"> FORMCHECKBOX </w:instrText>
      </w:r>
      <w:r w:rsidR="00CD515C">
        <w:rPr>
          <w:rFonts w:asciiTheme="minorHAnsi" w:hAnsiTheme="minorHAnsi" w:cs="Arial"/>
        </w:rPr>
      </w:r>
      <w:r w:rsidR="00CD515C">
        <w:rPr>
          <w:rFonts w:asciiTheme="minorHAnsi" w:hAnsiTheme="minorHAnsi" w:cs="Arial"/>
        </w:rPr>
        <w:fldChar w:fldCharType="separate"/>
      </w:r>
      <w:r w:rsidR="004926D2" w:rsidRPr="00C05F76">
        <w:rPr>
          <w:rFonts w:asciiTheme="minorHAnsi" w:hAnsiTheme="minorHAnsi" w:cs="Arial"/>
        </w:rPr>
        <w:fldChar w:fldCharType="end"/>
      </w:r>
      <w:bookmarkEnd w:id="0"/>
      <w:bookmarkEnd w:id="1"/>
      <w:r w:rsidRPr="00C05F76">
        <w:rPr>
          <w:rFonts w:asciiTheme="minorHAnsi" w:hAnsiTheme="minorHAnsi" w:cs="Arial"/>
        </w:rPr>
        <w:t xml:space="preserve"> LEADERSHIP   </w:t>
      </w:r>
      <w:r w:rsidR="00D33E74" w:rsidRPr="00C05F76">
        <w:rPr>
          <w:rFonts w:asciiTheme="minorHAnsi" w:hAnsiTheme="minorHAnsi" w:cs="Arial"/>
        </w:rPr>
        <w:fldChar w:fldCharType="begin">
          <w:ffData>
            <w:name w:val=""/>
            <w:enabled/>
            <w:calcOnExit w:val="0"/>
            <w:checkBox>
              <w:sizeAuto/>
              <w:default w:val="0"/>
            </w:checkBox>
          </w:ffData>
        </w:fldChar>
      </w:r>
      <w:r w:rsidR="00D33E74" w:rsidRPr="00C05F76">
        <w:rPr>
          <w:rFonts w:asciiTheme="minorHAnsi" w:hAnsiTheme="minorHAnsi" w:cs="Arial"/>
        </w:rPr>
        <w:instrText xml:space="preserve"> FORMCHECKBOX </w:instrText>
      </w:r>
      <w:r w:rsidR="00CD515C">
        <w:rPr>
          <w:rFonts w:asciiTheme="minorHAnsi" w:hAnsiTheme="minorHAnsi" w:cs="Arial"/>
        </w:rPr>
      </w:r>
      <w:r w:rsidR="00CD515C">
        <w:rPr>
          <w:rFonts w:asciiTheme="minorHAnsi" w:hAnsiTheme="minorHAnsi" w:cs="Arial"/>
        </w:rPr>
        <w:fldChar w:fldCharType="separate"/>
      </w:r>
      <w:r w:rsidR="00D33E74" w:rsidRPr="00C05F76">
        <w:rPr>
          <w:rFonts w:asciiTheme="minorHAnsi" w:hAnsiTheme="minorHAnsi" w:cs="Arial"/>
        </w:rPr>
        <w:fldChar w:fldCharType="end"/>
      </w:r>
      <w:r w:rsidRPr="00C05F76">
        <w:rPr>
          <w:rFonts w:asciiTheme="minorHAnsi" w:hAnsiTheme="minorHAnsi" w:cs="Arial"/>
        </w:rPr>
        <w:t xml:space="preserve"> ADV. &amp; AWARENESS   </w:t>
      </w:r>
      <w:r w:rsidR="00973F2A" w:rsidRPr="00C05F76">
        <w:rPr>
          <w:rFonts w:asciiTheme="minorHAnsi" w:hAnsiTheme="minorHAnsi" w:cs="Arial"/>
        </w:rPr>
        <w:t xml:space="preserve"> </w:t>
      </w:r>
      <w:r w:rsidR="00973F2A" w:rsidRPr="00C05F76">
        <w:rPr>
          <w:rFonts w:asciiTheme="minorHAnsi" w:hAnsiTheme="minorHAnsi" w:cs="Arial"/>
        </w:rPr>
        <w:fldChar w:fldCharType="begin">
          <w:ffData>
            <w:name w:val="Check1"/>
            <w:enabled/>
            <w:calcOnExit w:val="0"/>
            <w:checkBox>
              <w:sizeAuto/>
              <w:default w:val="1"/>
            </w:checkBox>
          </w:ffData>
        </w:fldChar>
      </w:r>
      <w:r w:rsidR="00973F2A" w:rsidRPr="00C05F76">
        <w:rPr>
          <w:rFonts w:asciiTheme="minorHAnsi" w:hAnsiTheme="minorHAnsi" w:cs="Arial"/>
        </w:rPr>
        <w:instrText xml:space="preserve"> FORMCHECKBOX </w:instrText>
      </w:r>
      <w:r w:rsidR="00CD515C">
        <w:rPr>
          <w:rFonts w:asciiTheme="minorHAnsi" w:hAnsiTheme="minorHAnsi" w:cs="Arial"/>
        </w:rPr>
      </w:r>
      <w:r w:rsidR="00CD515C">
        <w:rPr>
          <w:rFonts w:asciiTheme="minorHAnsi" w:hAnsiTheme="minorHAnsi" w:cs="Arial"/>
        </w:rPr>
        <w:fldChar w:fldCharType="separate"/>
      </w:r>
      <w:r w:rsidR="00973F2A" w:rsidRPr="00C05F76">
        <w:rPr>
          <w:rFonts w:asciiTheme="minorHAnsi" w:hAnsiTheme="minorHAnsi" w:cs="Arial"/>
        </w:rPr>
        <w:fldChar w:fldCharType="end"/>
      </w:r>
      <w:r w:rsidRPr="00C05F76">
        <w:rPr>
          <w:rFonts w:asciiTheme="minorHAnsi" w:hAnsiTheme="minorHAnsi" w:cs="Arial"/>
        </w:rPr>
        <w:t xml:space="preserve"> E.D.I.S.J.   </w:t>
      </w:r>
      <w:r w:rsidR="00D33E74" w:rsidRPr="00C05F76">
        <w:rPr>
          <w:rFonts w:asciiTheme="minorHAnsi" w:hAnsiTheme="minorHAnsi" w:cs="Arial"/>
        </w:rPr>
        <w:fldChar w:fldCharType="begin">
          <w:ffData>
            <w:name w:val=""/>
            <w:enabled/>
            <w:calcOnExit w:val="0"/>
            <w:checkBox>
              <w:sizeAuto/>
              <w:default w:val="1"/>
            </w:checkBox>
          </w:ffData>
        </w:fldChar>
      </w:r>
      <w:r w:rsidR="00D33E74" w:rsidRPr="00C05F76">
        <w:rPr>
          <w:rFonts w:asciiTheme="minorHAnsi" w:hAnsiTheme="minorHAnsi" w:cs="Arial"/>
        </w:rPr>
        <w:instrText xml:space="preserve"> FORMCHECKBOX </w:instrText>
      </w:r>
      <w:r w:rsidR="00CD515C">
        <w:rPr>
          <w:rFonts w:asciiTheme="minorHAnsi" w:hAnsiTheme="minorHAnsi" w:cs="Arial"/>
        </w:rPr>
      </w:r>
      <w:r w:rsidR="00CD515C">
        <w:rPr>
          <w:rFonts w:asciiTheme="minorHAnsi" w:hAnsiTheme="minorHAnsi" w:cs="Arial"/>
        </w:rPr>
        <w:fldChar w:fldCharType="separate"/>
      </w:r>
      <w:r w:rsidR="00D33E74" w:rsidRPr="00C05F76">
        <w:rPr>
          <w:rFonts w:asciiTheme="minorHAnsi" w:hAnsiTheme="minorHAnsi" w:cs="Arial"/>
        </w:rPr>
        <w:fldChar w:fldCharType="end"/>
      </w:r>
      <w:r w:rsidRPr="00C05F76">
        <w:rPr>
          <w:rFonts w:asciiTheme="minorHAnsi" w:hAnsiTheme="minorHAnsi" w:cs="Arial"/>
        </w:rPr>
        <w:t xml:space="preserve"> ORG. EXCELLENCE</w:t>
      </w:r>
    </w:p>
    <w:sectPr w:rsidR="00E77F96" w:rsidRPr="00C05F76" w:rsidSect="00E654E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8E0B" w14:textId="77777777" w:rsidR="00CD515C" w:rsidRDefault="00CD515C" w:rsidP="00835953">
      <w:r>
        <w:separator/>
      </w:r>
    </w:p>
  </w:endnote>
  <w:endnote w:type="continuationSeparator" w:id="0">
    <w:p w14:paraId="1770961E" w14:textId="77777777" w:rsidR="00CD515C" w:rsidRDefault="00CD515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43374"/>
      <w:docPartObj>
        <w:docPartGallery w:val="Page Numbers (Bottom of Page)"/>
        <w:docPartUnique/>
      </w:docPartObj>
    </w:sdtPr>
    <w:sdtEndPr>
      <w:rPr>
        <w:rFonts w:asciiTheme="minorHAnsi" w:hAnsiTheme="minorHAnsi"/>
        <w:noProof/>
      </w:rPr>
    </w:sdtEndPr>
    <w:sdtContent>
      <w:p w14:paraId="0FDC96B0" w14:textId="41BFAD48" w:rsidR="00006659" w:rsidRPr="00744EC4" w:rsidRDefault="00CD515C">
        <w:pPr>
          <w:pStyle w:val="Footer"/>
          <w:jc w:val="right"/>
          <w:rPr>
            <w:rFonts w:asciiTheme="minorHAnsi" w:hAnsiTheme="minorHAnsi"/>
          </w:rPr>
        </w:pPr>
      </w:p>
    </w:sdtContent>
  </w:sdt>
  <w:p w14:paraId="1C8DA74B" w14:textId="77777777" w:rsidR="00006659" w:rsidRDefault="00006659" w:rsidP="005568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E188" w14:textId="77777777" w:rsidR="00CD515C" w:rsidRDefault="00CD515C" w:rsidP="00835953">
      <w:r>
        <w:separator/>
      </w:r>
    </w:p>
  </w:footnote>
  <w:footnote w:type="continuationSeparator" w:id="0">
    <w:p w14:paraId="30A7AB42" w14:textId="77777777" w:rsidR="00CD515C" w:rsidRDefault="00CD515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5568" w14:textId="77777777" w:rsidR="000C0572" w:rsidRDefault="000C0572" w:rsidP="000C0572">
    <w:pPr>
      <w:pStyle w:val="Header"/>
      <w:jc w:val="right"/>
      <w:rPr>
        <w:rFonts w:asciiTheme="minorHAnsi" w:hAnsiTheme="minorHAnsi"/>
      </w:rPr>
    </w:pPr>
    <w:bookmarkStart w:id="2" w:name="_Hlk96673905"/>
    <w:r>
      <w:rPr>
        <w:rFonts w:asciiTheme="minorHAnsi" w:hAnsiTheme="minorHAnsi"/>
      </w:rPr>
      <w:t>PLA Board of Directors</w:t>
    </w:r>
  </w:p>
  <w:p w14:paraId="4C7761C7" w14:textId="05131C7D" w:rsidR="000C0572" w:rsidRDefault="008E0F0C" w:rsidP="000C0572">
    <w:pPr>
      <w:pStyle w:val="Header"/>
      <w:jc w:val="right"/>
      <w:rPr>
        <w:rFonts w:asciiTheme="minorHAnsi" w:hAnsiTheme="minorHAnsi"/>
      </w:rPr>
    </w:pPr>
    <w:r>
      <w:rPr>
        <w:rFonts w:asciiTheme="minorHAnsi" w:hAnsiTheme="minorHAnsi"/>
      </w:rPr>
      <w:t xml:space="preserve">February 25, </w:t>
    </w:r>
    <w:proofErr w:type="gramStart"/>
    <w:r>
      <w:rPr>
        <w:rFonts w:asciiTheme="minorHAnsi" w:hAnsiTheme="minorHAnsi"/>
      </w:rPr>
      <w:t>20</w:t>
    </w:r>
    <w:r w:rsidR="0088456F">
      <w:rPr>
        <w:rFonts w:asciiTheme="minorHAnsi" w:hAnsiTheme="minorHAnsi"/>
      </w:rPr>
      <w:t>2</w:t>
    </w:r>
    <w:r>
      <w:rPr>
        <w:rFonts w:asciiTheme="minorHAnsi" w:hAnsiTheme="minorHAnsi"/>
      </w:rPr>
      <w:t>2</w:t>
    </w:r>
    <w:proofErr w:type="gramEnd"/>
    <w:r>
      <w:rPr>
        <w:rFonts w:asciiTheme="minorHAnsi" w:hAnsiTheme="minorHAnsi"/>
      </w:rPr>
      <w:t xml:space="preserve"> </w:t>
    </w:r>
    <w:r w:rsidR="009C1376">
      <w:rPr>
        <w:rFonts w:asciiTheme="minorHAnsi" w:hAnsiTheme="minorHAnsi"/>
      </w:rPr>
      <w:t>Virtual</w:t>
    </w:r>
    <w:r w:rsidR="000C0572">
      <w:rPr>
        <w:rFonts w:asciiTheme="minorHAnsi" w:hAnsiTheme="minorHAnsi"/>
      </w:rPr>
      <w:t xml:space="preserve"> Meeting</w:t>
    </w:r>
  </w:p>
  <w:p w14:paraId="1AEEF7D2" w14:textId="7EB9E9D6" w:rsidR="000C0572" w:rsidRDefault="000C0572" w:rsidP="000C0572">
    <w:pPr>
      <w:pStyle w:val="Header"/>
      <w:jc w:val="right"/>
      <w:rPr>
        <w:rFonts w:asciiTheme="minorHAnsi" w:hAnsiTheme="minorHAnsi"/>
      </w:rPr>
    </w:pPr>
    <w:r>
      <w:rPr>
        <w:rFonts w:asciiTheme="minorHAnsi" w:hAnsiTheme="minorHAnsi"/>
      </w:rPr>
      <w:t>Document no.: 202</w:t>
    </w:r>
    <w:r w:rsidR="008E0F0C">
      <w:rPr>
        <w:rFonts w:asciiTheme="minorHAnsi" w:hAnsiTheme="minorHAnsi"/>
      </w:rPr>
      <w:t>2.2</w:t>
    </w:r>
    <w:r w:rsidR="003B0AA9">
      <w:rPr>
        <w:rFonts w:asciiTheme="minorHAnsi" w:hAnsiTheme="minorHAnsi"/>
      </w:rPr>
      <w:t>3</w:t>
    </w:r>
    <w:r w:rsidR="005B3AE4">
      <w:rPr>
        <w:rFonts w:asciiTheme="minorHAnsi" w:hAnsiTheme="minorHAnsi"/>
      </w:rPr>
      <w:t>a</w:t>
    </w:r>
  </w:p>
  <w:bookmarkEnd w:id="2"/>
  <w:p w14:paraId="075F5B6C" w14:textId="50B71E0E" w:rsidR="00BE7E5D" w:rsidRPr="009702A8" w:rsidRDefault="00BE7E5D" w:rsidP="00E86AC0">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2994"/>
    <w:multiLevelType w:val="hybridMultilevel"/>
    <w:tmpl w:val="89E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B32A71"/>
    <w:multiLevelType w:val="hybridMultilevel"/>
    <w:tmpl w:val="EC7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92381"/>
    <w:multiLevelType w:val="multilevel"/>
    <w:tmpl w:val="A8C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471C5"/>
    <w:multiLevelType w:val="multilevel"/>
    <w:tmpl w:val="A2368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34112"/>
    <w:multiLevelType w:val="hybridMultilevel"/>
    <w:tmpl w:val="1AE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303CA"/>
    <w:multiLevelType w:val="hybridMultilevel"/>
    <w:tmpl w:val="1B2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4"/>
  </w:num>
  <w:num w:numId="6">
    <w:abstractNumId w:val="25"/>
  </w:num>
  <w:num w:numId="7">
    <w:abstractNumId w:val="22"/>
  </w:num>
  <w:num w:numId="8">
    <w:abstractNumId w:val="15"/>
  </w:num>
  <w:num w:numId="9">
    <w:abstractNumId w:val="10"/>
  </w:num>
  <w:num w:numId="10">
    <w:abstractNumId w:val="3"/>
  </w:num>
  <w:num w:numId="11">
    <w:abstractNumId w:val="16"/>
  </w:num>
  <w:num w:numId="12">
    <w:abstractNumId w:val="0"/>
  </w:num>
  <w:num w:numId="13">
    <w:abstractNumId w:val="5"/>
  </w:num>
  <w:num w:numId="14">
    <w:abstractNumId w:val="8"/>
  </w:num>
  <w:num w:numId="15">
    <w:abstractNumId w:val="12"/>
  </w:num>
  <w:num w:numId="16">
    <w:abstractNumId w:val="27"/>
  </w:num>
  <w:num w:numId="17">
    <w:abstractNumId w:val="26"/>
  </w:num>
  <w:num w:numId="18">
    <w:abstractNumId w:val="13"/>
  </w:num>
  <w:num w:numId="19">
    <w:abstractNumId w:val="14"/>
  </w:num>
  <w:num w:numId="20">
    <w:abstractNumId w:val="11"/>
  </w:num>
  <w:num w:numId="21">
    <w:abstractNumId w:val="20"/>
  </w:num>
  <w:num w:numId="22">
    <w:abstractNumId w:val="18"/>
  </w:num>
  <w:num w:numId="23">
    <w:abstractNumId w:val="23"/>
  </w:num>
  <w:num w:numId="24">
    <w:abstractNumId w:val="19"/>
  </w:num>
  <w:num w:numId="25">
    <w:abstractNumId w:val="21"/>
  </w:num>
  <w:num w:numId="26">
    <w:abstractNumId w:val="4"/>
  </w:num>
  <w:num w:numId="27">
    <w:abstractNumId w:val="7"/>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2313"/>
    <w:rsid w:val="00017137"/>
    <w:rsid w:val="00020D52"/>
    <w:rsid w:val="00021DB7"/>
    <w:rsid w:val="000272B6"/>
    <w:rsid w:val="00030170"/>
    <w:rsid w:val="0003181D"/>
    <w:rsid w:val="0005048D"/>
    <w:rsid w:val="00076442"/>
    <w:rsid w:val="00083640"/>
    <w:rsid w:val="000847C4"/>
    <w:rsid w:val="00096F6A"/>
    <w:rsid w:val="000A7E59"/>
    <w:rsid w:val="000C0572"/>
    <w:rsid w:val="000C204D"/>
    <w:rsid w:val="000D046D"/>
    <w:rsid w:val="000D2EE7"/>
    <w:rsid w:val="000D793A"/>
    <w:rsid w:val="000E38FF"/>
    <w:rsid w:val="000E47EB"/>
    <w:rsid w:val="000E5BCA"/>
    <w:rsid w:val="000F2D69"/>
    <w:rsid w:val="000F6932"/>
    <w:rsid w:val="00101A8C"/>
    <w:rsid w:val="00105AEE"/>
    <w:rsid w:val="001122F3"/>
    <w:rsid w:val="00151A36"/>
    <w:rsid w:val="00162E05"/>
    <w:rsid w:val="00195073"/>
    <w:rsid w:val="00196ADF"/>
    <w:rsid w:val="001A709A"/>
    <w:rsid w:val="001B7E1E"/>
    <w:rsid w:val="001C2C69"/>
    <w:rsid w:val="001C3377"/>
    <w:rsid w:val="001D5B3A"/>
    <w:rsid w:val="002150E4"/>
    <w:rsid w:val="00221C58"/>
    <w:rsid w:val="0022448B"/>
    <w:rsid w:val="00225E2A"/>
    <w:rsid w:val="002413F3"/>
    <w:rsid w:val="002466C4"/>
    <w:rsid w:val="002507AA"/>
    <w:rsid w:val="00256710"/>
    <w:rsid w:val="00260E42"/>
    <w:rsid w:val="0027191E"/>
    <w:rsid w:val="002B59F0"/>
    <w:rsid w:val="002C4F53"/>
    <w:rsid w:val="002C7F8C"/>
    <w:rsid w:val="002E01B5"/>
    <w:rsid w:val="002E3A1B"/>
    <w:rsid w:val="002E7B05"/>
    <w:rsid w:val="00305AE2"/>
    <w:rsid w:val="003652E8"/>
    <w:rsid w:val="003661B9"/>
    <w:rsid w:val="00372A9D"/>
    <w:rsid w:val="00375084"/>
    <w:rsid w:val="00395F8B"/>
    <w:rsid w:val="003A5B74"/>
    <w:rsid w:val="003B0AA9"/>
    <w:rsid w:val="003B31D8"/>
    <w:rsid w:val="003D3817"/>
    <w:rsid w:val="003D5C05"/>
    <w:rsid w:val="003E7E10"/>
    <w:rsid w:val="00403BA8"/>
    <w:rsid w:val="00411B01"/>
    <w:rsid w:val="00414385"/>
    <w:rsid w:val="00425F1F"/>
    <w:rsid w:val="00430180"/>
    <w:rsid w:val="004351F1"/>
    <w:rsid w:val="00436775"/>
    <w:rsid w:val="00437D3A"/>
    <w:rsid w:val="004433B2"/>
    <w:rsid w:val="00444E72"/>
    <w:rsid w:val="00445544"/>
    <w:rsid w:val="00454924"/>
    <w:rsid w:val="00455BF0"/>
    <w:rsid w:val="004846F0"/>
    <w:rsid w:val="004858E6"/>
    <w:rsid w:val="004926D2"/>
    <w:rsid w:val="004A0CB0"/>
    <w:rsid w:val="004A30BB"/>
    <w:rsid w:val="004A6755"/>
    <w:rsid w:val="004A6BC5"/>
    <w:rsid w:val="004C70CD"/>
    <w:rsid w:val="004D713C"/>
    <w:rsid w:val="00502255"/>
    <w:rsid w:val="0051040E"/>
    <w:rsid w:val="005112B0"/>
    <w:rsid w:val="00522221"/>
    <w:rsid w:val="0053261C"/>
    <w:rsid w:val="00535D09"/>
    <w:rsid w:val="00547829"/>
    <w:rsid w:val="005560C8"/>
    <w:rsid w:val="005568D7"/>
    <w:rsid w:val="0057312B"/>
    <w:rsid w:val="00581118"/>
    <w:rsid w:val="005965B6"/>
    <w:rsid w:val="005971B4"/>
    <w:rsid w:val="005B3AE4"/>
    <w:rsid w:val="005B3FDB"/>
    <w:rsid w:val="005B6E14"/>
    <w:rsid w:val="005D5362"/>
    <w:rsid w:val="005E2278"/>
    <w:rsid w:val="005F3F64"/>
    <w:rsid w:val="0061037A"/>
    <w:rsid w:val="00612679"/>
    <w:rsid w:val="00623C89"/>
    <w:rsid w:val="00633178"/>
    <w:rsid w:val="00635DBB"/>
    <w:rsid w:val="00637AA4"/>
    <w:rsid w:val="0064458D"/>
    <w:rsid w:val="006461C9"/>
    <w:rsid w:val="00650F88"/>
    <w:rsid w:val="0066245F"/>
    <w:rsid w:val="006658F8"/>
    <w:rsid w:val="00667DAE"/>
    <w:rsid w:val="0067055A"/>
    <w:rsid w:val="0067319A"/>
    <w:rsid w:val="00680B62"/>
    <w:rsid w:val="006816BD"/>
    <w:rsid w:val="0068318B"/>
    <w:rsid w:val="00686528"/>
    <w:rsid w:val="00693479"/>
    <w:rsid w:val="00694B07"/>
    <w:rsid w:val="00697ABD"/>
    <w:rsid w:val="006A4455"/>
    <w:rsid w:val="006A66D6"/>
    <w:rsid w:val="006B170D"/>
    <w:rsid w:val="006B491B"/>
    <w:rsid w:val="006B7262"/>
    <w:rsid w:val="006D0EFC"/>
    <w:rsid w:val="006D446B"/>
    <w:rsid w:val="006D6FD6"/>
    <w:rsid w:val="007007E5"/>
    <w:rsid w:val="00705AD6"/>
    <w:rsid w:val="00706F56"/>
    <w:rsid w:val="007077E5"/>
    <w:rsid w:val="00712AEA"/>
    <w:rsid w:val="007343B2"/>
    <w:rsid w:val="00737586"/>
    <w:rsid w:val="00744EC4"/>
    <w:rsid w:val="00750EDC"/>
    <w:rsid w:val="00754ACC"/>
    <w:rsid w:val="0076016D"/>
    <w:rsid w:val="007638FA"/>
    <w:rsid w:val="007644E1"/>
    <w:rsid w:val="00771CA1"/>
    <w:rsid w:val="0077574C"/>
    <w:rsid w:val="00792607"/>
    <w:rsid w:val="0079754F"/>
    <w:rsid w:val="007A210D"/>
    <w:rsid w:val="007A33EA"/>
    <w:rsid w:val="007B19FF"/>
    <w:rsid w:val="007C3307"/>
    <w:rsid w:val="007E0E8F"/>
    <w:rsid w:val="007F0230"/>
    <w:rsid w:val="00817C4A"/>
    <w:rsid w:val="0082048C"/>
    <w:rsid w:val="00835953"/>
    <w:rsid w:val="00861C04"/>
    <w:rsid w:val="00863077"/>
    <w:rsid w:val="008718FA"/>
    <w:rsid w:val="00880AAD"/>
    <w:rsid w:val="008812E9"/>
    <w:rsid w:val="00882E9A"/>
    <w:rsid w:val="0088456F"/>
    <w:rsid w:val="00884B79"/>
    <w:rsid w:val="008A0E90"/>
    <w:rsid w:val="008A4E3B"/>
    <w:rsid w:val="008A51AF"/>
    <w:rsid w:val="008A7A09"/>
    <w:rsid w:val="008C6AC5"/>
    <w:rsid w:val="008D7327"/>
    <w:rsid w:val="008E0F0C"/>
    <w:rsid w:val="008E56F5"/>
    <w:rsid w:val="008E5812"/>
    <w:rsid w:val="008F7FF4"/>
    <w:rsid w:val="009043C8"/>
    <w:rsid w:val="00914FDD"/>
    <w:rsid w:val="009216A3"/>
    <w:rsid w:val="009223C0"/>
    <w:rsid w:val="009229E9"/>
    <w:rsid w:val="00922E8B"/>
    <w:rsid w:val="0092518D"/>
    <w:rsid w:val="00931C4E"/>
    <w:rsid w:val="00943AEA"/>
    <w:rsid w:val="00944480"/>
    <w:rsid w:val="009702A8"/>
    <w:rsid w:val="00971B89"/>
    <w:rsid w:val="00973F2A"/>
    <w:rsid w:val="009957EB"/>
    <w:rsid w:val="009B1FDC"/>
    <w:rsid w:val="009B3BE4"/>
    <w:rsid w:val="009B5532"/>
    <w:rsid w:val="009C1376"/>
    <w:rsid w:val="009C2AF4"/>
    <w:rsid w:val="009C5517"/>
    <w:rsid w:val="009E1B85"/>
    <w:rsid w:val="009E6964"/>
    <w:rsid w:val="009E768B"/>
    <w:rsid w:val="00A00A4B"/>
    <w:rsid w:val="00A065FD"/>
    <w:rsid w:val="00A113AE"/>
    <w:rsid w:val="00A14EF4"/>
    <w:rsid w:val="00A15DD4"/>
    <w:rsid w:val="00A2005B"/>
    <w:rsid w:val="00A269D0"/>
    <w:rsid w:val="00A30FFB"/>
    <w:rsid w:val="00A34B47"/>
    <w:rsid w:val="00A41365"/>
    <w:rsid w:val="00A52F34"/>
    <w:rsid w:val="00A65E36"/>
    <w:rsid w:val="00A66C03"/>
    <w:rsid w:val="00A827CE"/>
    <w:rsid w:val="00A82B07"/>
    <w:rsid w:val="00A83CC7"/>
    <w:rsid w:val="00A85154"/>
    <w:rsid w:val="00A85F73"/>
    <w:rsid w:val="00A911F8"/>
    <w:rsid w:val="00A9525B"/>
    <w:rsid w:val="00AA0E73"/>
    <w:rsid w:val="00AA450E"/>
    <w:rsid w:val="00AB0BED"/>
    <w:rsid w:val="00AC27C6"/>
    <w:rsid w:val="00AC390A"/>
    <w:rsid w:val="00AD6B4C"/>
    <w:rsid w:val="00AF79B4"/>
    <w:rsid w:val="00B01E2F"/>
    <w:rsid w:val="00B074EE"/>
    <w:rsid w:val="00B14A60"/>
    <w:rsid w:val="00B17813"/>
    <w:rsid w:val="00B23246"/>
    <w:rsid w:val="00B272BA"/>
    <w:rsid w:val="00B30B65"/>
    <w:rsid w:val="00B371CD"/>
    <w:rsid w:val="00B40584"/>
    <w:rsid w:val="00B42804"/>
    <w:rsid w:val="00B432CF"/>
    <w:rsid w:val="00B45BEA"/>
    <w:rsid w:val="00B548FB"/>
    <w:rsid w:val="00B72798"/>
    <w:rsid w:val="00B74A96"/>
    <w:rsid w:val="00BB6F75"/>
    <w:rsid w:val="00BC2629"/>
    <w:rsid w:val="00BC332B"/>
    <w:rsid w:val="00BD61C0"/>
    <w:rsid w:val="00BE7E5D"/>
    <w:rsid w:val="00BF6F45"/>
    <w:rsid w:val="00C00EFF"/>
    <w:rsid w:val="00C05F76"/>
    <w:rsid w:val="00C20142"/>
    <w:rsid w:val="00C233E4"/>
    <w:rsid w:val="00C33993"/>
    <w:rsid w:val="00C415C9"/>
    <w:rsid w:val="00C512A0"/>
    <w:rsid w:val="00C5668B"/>
    <w:rsid w:val="00C566DB"/>
    <w:rsid w:val="00C75495"/>
    <w:rsid w:val="00C819D0"/>
    <w:rsid w:val="00CC29EF"/>
    <w:rsid w:val="00CD515C"/>
    <w:rsid w:val="00CE2628"/>
    <w:rsid w:val="00CF5833"/>
    <w:rsid w:val="00CF73D5"/>
    <w:rsid w:val="00D0639D"/>
    <w:rsid w:val="00D17D73"/>
    <w:rsid w:val="00D33E74"/>
    <w:rsid w:val="00D413DF"/>
    <w:rsid w:val="00D44DD8"/>
    <w:rsid w:val="00D467A6"/>
    <w:rsid w:val="00D46A2B"/>
    <w:rsid w:val="00D4711A"/>
    <w:rsid w:val="00D63777"/>
    <w:rsid w:val="00D6774D"/>
    <w:rsid w:val="00D70EA4"/>
    <w:rsid w:val="00D73C7A"/>
    <w:rsid w:val="00D964F6"/>
    <w:rsid w:val="00DA25E3"/>
    <w:rsid w:val="00DB0724"/>
    <w:rsid w:val="00DB5357"/>
    <w:rsid w:val="00DD4E04"/>
    <w:rsid w:val="00DF2FD3"/>
    <w:rsid w:val="00E00B5E"/>
    <w:rsid w:val="00E03BCD"/>
    <w:rsid w:val="00E1011C"/>
    <w:rsid w:val="00E1060B"/>
    <w:rsid w:val="00E13FF5"/>
    <w:rsid w:val="00E2022D"/>
    <w:rsid w:val="00E36850"/>
    <w:rsid w:val="00E447FB"/>
    <w:rsid w:val="00E44F65"/>
    <w:rsid w:val="00E5565A"/>
    <w:rsid w:val="00E654EB"/>
    <w:rsid w:val="00E718F3"/>
    <w:rsid w:val="00E74E19"/>
    <w:rsid w:val="00E7634D"/>
    <w:rsid w:val="00E77F96"/>
    <w:rsid w:val="00E86AC0"/>
    <w:rsid w:val="00E923DC"/>
    <w:rsid w:val="00EA50CC"/>
    <w:rsid w:val="00EB6B7B"/>
    <w:rsid w:val="00EC24C2"/>
    <w:rsid w:val="00ED7166"/>
    <w:rsid w:val="00EF184D"/>
    <w:rsid w:val="00EF4C0A"/>
    <w:rsid w:val="00EF5B4D"/>
    <w:rsid w:val="00F05A6C"/>
    <w:rsid w:val="00F214AB"/>
    <w:rsid w:val="00F22CBE"/>
    <w:rsid w:val="00F23CA6"/>
    <w:rsid w:val="00F24DF4"/>
    <w:rsid w:val="00F3738F"/>
    <w:rsid w:val="00F50702"/>
    <w:rsid w:val="00F5343C"/>
    <w:rsid w:val="00F77092"/>
    <w:rsid w:val="00F9311A"/>
    <w:rsid w:val="00F93728"/>
    <w:rsid w:val="00FB5332"/>
    <w:rsid w:val="00FB6359"/>
    <w:rsid w:val="00FC7239"/>
    <w:rsid w:val="00FE099E"/>
    <w:rsid w:val="00FE3731"/>
    <w:rsid w:val="00FE519F"/>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D6FD6"/>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445544"/>
    <w:rPr>
      <w:rFonts w:ascii="Consolas" w:hAnsi="Consolas"/>
      <w:sz w:val="21"/>
      <w:szCs w:val="21"/>
    </w:rPr>
  </w:style>
  <w:style w:type="character" w:customStyle="1" w:styleId="PlainTextChar">
    <w:name w:val="Plain Text Char"/>
    <w:basedOn w:val="DefaultParagraphFont"/>
    <w:link w:val="PlainText"/>
    <w:uiPriority w:val="99"/>
    <w:rsid w:val="00445544"/>
    <w:rPr>
      <w:rFonts w:ascii="Consolas" w:eastAsia="Calibri" w:hAnsi="Consolas" w:cs="Times New Roman"/>
      <w:sz w:val="21"/>
      <w:szCs w:val="21"/>
    </w:rPr>
  </w:style>
  <w:style w:type="character" w:styleId="Strong">
    <w:name w:val="Strong"/>
    <w:basedOn w:val="DefaultParagraphFont"/>
    <w:uiPriority w:val="22"/>
    <w:qFormat/>
    <w:rsid w:val="000F2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33821960">
      <w:bodyDiv w:val="1"/>
      <w:marLeft w:val="0"/>
      <w:marRight w:val="0"/>
      <w:marTop w:val="0"/>
      <w:marBottom w:val="0"/>
      <w:divBdr>
        <w:top w:val="none" w:sz="0" w:space="0" w:color="auto"/>
        <w:left w:val="none" w:sz="0" w:space="0" w:color="auto"/>
        <w:bottom w:val="none" w:sz="0" w:space="0" w:color="auto"/>
        <w:right w:val="none" w:sz="0" w:space="0" w:color="auto"/>
      </w:divBdr>
    </w:div>
    <w:div w:id="11167470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461311202">
      <w:bodyDiv w:val="1"/>
      <w:marLeft w:val="0"/>
      <w:marRight w:val="0"/>
      <w:marTop w:val="0"/>
      <w:marBottom w:val="0"/>
      <w:divBdr>
        <w:top w:val="none" w:sz="0" w:space="0" w:color="auto"/>
        <w:left w:val="none" w:sz="0" w:space="0" w:color="auto"/>
        <w:bottom w:val="none" w:sz="0" w:space="0" w:color="auto"/>
        <w:right w:val="none" w:sz="0" w:space="0" w:color="auto"/>
      </w:divBdr>
    </w:div>
    <w:div w:id="550927505">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626549505">
      <w:bodyDiv w:val="1"/>
      <w:marLeft w:val="0"/>
      <w:marRight w:val="0"/>
      <w:marTop w:val="0"/>
      <w:marBottom w:val="0"/>
      <w:divBdr>
        <w:top w:val="none" w:sz="0" w:space="0" w:color="auto"/>
        <w:left w:val="none" w:sz="0" w:space="0" w:color="auto"/>
        <w:bottom w:val="none" w:sz="0" w:space="0" w:color="auto"/>
        <w:right w:val="none" w:sz="0" w:space="0" w:color="auto"/>
      </w:divBdr>
    </w:div>
    <w:div w:id="628515219">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038242461">
      <w:bodyDiv w:val="1"/>
      <w:marLeft w:val="0"/>
      <w:marRight w:val="0"/>
      <w:marTop w:val="0"/>
      <w:marBottom w:val="0"/>
      <w:divBdr>
        <w:top w:val="none" w:sz="0" w:space="0" w:color="auto"/>
        <w:left w:val="none" w:sz="0" w:space="0" w:color="auto"/>
        <w:bottom w:val="none" w:sz="0" w:space="0" w:color="auto"/>
        <w:right w:val="none" w:sz="0" w:space="0" w:color="auto"/>
      </w:divBdr>
    </w:div>
    <w:div w:id="1070540941">
      <w:bodyDiv w:val="1"/>
      <w:marLeft w:val="0"/>
      <w:marRight w:val="0"/>
      <w:marTop w:val="0"/>
      <w:marBottom w:val="0"/>
      <w:divBdr>
        <w:top w:val="none" w:sz="0" w:space="0" w:color="auto"/>
        <w:left w:val="none" w:sz="0" w:space="0" w:color="auto"/>
        <w:bottom w:val="none" w:sz="0" w:space="0" w:color="auto"/>
        <w:right w:val="none" w:sz="0" w:space="0" w:color="auto"/>
      </w:divBdr>
    </w:div>
    <w:div w:id="1194919604">
      <w:bodyDiv w:val="1"/>
      <w:marLeft w:val="0"/>
      <w:marRight w:val="0"/>
      <w:marTop w:val="0"/>
      <w:marBottom w:val="0"/>
      <w:divBdr>
        <w:top w:val="none" w:sz="0" w:space="0" w:color="auto"/>
        <w:left w:val="none" w:sz="0" w:space="0" w:color="auto"/>
        <w:bottom w:val="none" w:sz="0" w:space="0" w:color="auto"/>
        <w:right w:val="none" w:sz="0" w:space="0" w:color="auto"/>
      </w:divBdr>
    </w:div>
    <w:div w:id="1209033334">
      <w:bodyDiv w:val="1"/>
      <w:marLeft w:val="0"/>
      <w:marRight w:val="0"/>
      <w:marTop w:val="0"/>
      <w:marBottom w:val="0"/>
      <w:divBdr>
        <w:top w:val="none" w:sz="0" w:space="0" w:color="auto"/>
        <w:left w:val="none" w:sz="0" w:space="0" w:color="auto"/>
        <w:bottom w:val="none" w:sz="0" w:space="0" w:color="auto"/>
        <w:right w:val="none" w:sz="0" w:space="0" w:color="auto"/>
      </w:divBdr>
    </w:div>
    <w:div w:id="1233930360">
      <w:bodyDiv w:val="1"/>
      <w:marLeft w:val="0"/>
      <w:marRight w:val="0"/>
      <w:marTop w:val="0"/>
      <w:marBottom w:val="0"/>
      <w:divBdr>
        <w:top w:val="none" w:sz="0" w:space="0" w:color="auto"/>
        <w:left w:val="none" w:sz="0" w:space="0" w:color="auto"/>
        <w:bottom w:val="none" w:sz="0" w:space="0" w:color="auto"/>
        <w:right w:val="none" w:sz="0" w:space="0" w:color="auto"/>
      </w:divBdr>
    </w:div>
    <w:div w:id="1256866200">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4576">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00722910">
      <w:bodyDiv w:val="1"/>
      <w:marLeft w:val="0"/>
      <w:marRight w:val="0"/>
      <w:marTop w:val="0"/>
      <w:marBottom w:val="0"/>
      <w:divBdr>
        <w:top w:val="none" w:sz="0" w:space="0" w:color="auto"/>
        <w:left w:val="none" w:sz="0" w:space="0" w:color="auto"/>
        <w:bottom w:val="none" w:sz="0" w:space="0" w:color="auto"/>
        <w:right w:val="none" w:sz="0" w:space="0" w:color="auto"/>
      </w:divBdr>
    </w:div>
    <w:div w:id="1604848489">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693073368">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 w:id="1824422736">
      <w:bodyDiv w:val="1"/>
      <w:marLeft w:val="0"/>
      <w:marRight w:val="0"/>
      <w:marTop w:val="0"/>
      <w:marBottom w:val="0"/>
      <w:divBdr>
        <w:top w:val="none" w:sz="0" w:space="0" w:color="auto"/>
        <w:left w:val="none" w:sz="0" w:space="0" w:color="auto"/>
        <w:bottom w:val="none" w:sz="0" w:space="0" w:color="auto"/>
        <w:right w:val="none" w:sz="0" w:space="0" w:color="auto"/>
      </w:divBdr>
    </w:div>
    <w:div w:id="18675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onference.org/preconference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conference.org/programs.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lejandraabad.com/project/our-wishes/" TargetMode="External"/><Relationship Id="rId4" Type="http://schemas.openxmlformats.org/officeDocument/2006/relationships/webSettings" Target="webSettings.xml"/><Relationship Id="rId9" Type="http://schemas.openxmlformats.org/officeDocument/2006/relationships/hyperlink" Target="https://www.placonference.org/virtual_conferenc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4</cp:revision>
  <dcterms:created xsi:type="dcterms:W3CDTF">2022-02-25T18:06:00Z</dcterms:created>
  <dcterms:modified xsi:type="dcterms:W3CDTF">2022-02-25T18:20:00Z</dcterms:modified>
</cp:coreProperties>
</file>