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CE4E" w14:textId="1DC6491E" w:rsidR="00DA25E3" w:rsidRDefault="00DA25E3" w:rsidP="008E3E23">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8727887" w14:textId="4AF2BFE6"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D51178">
        <w:rPr>
          <w:rFonts w:asciiTheme="minorHAnsi" w:hAnsiTheme="minorHAnsi"/>
        </w:rPr>
        <w:t>FY</w:t>
      </w:r>
      <w:r w:rsidR="00611666">
        <w:rPr>
          <w:rFonts w:asciiTheme="minorHAnsi" w:hAnsiTheme="minorHAnsi"/>
        </w:rPr>
        <w:t>21</w:t>
      </w:r>
      <w:r w:rsidR="00D51178">
        <w:rPr>
          <w:rFonts w:asciiTheme="minorHAnsi" w:hAnsiTheme="minorHAnsi"/>
        </w:rPr>
        <w:t xml:space="preserve"> PLA Budget</w:t>
      </w:r>
    </w:p>
    <w:p w14:paraId="4A86A5FD" w14:textId="2D605AE4"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611666">
        <w:rPr>
          <w:rFonts w:asciiTheme="minorHAnsi" w:hAnsiTheme="minorHAnsi"/>
        </w:rPr>
        <w:t>September 2,</w:t>
      </w:r>
      <w:r w:rsidR="00AF2E49">
        <w:rPr>
          <w:rFonts w:asciiTheme="minorHAnsi" w:hAnsiTheme="minorHAnsi"/>
        </w:rPr>
        <w:t xml:space="preserve"> 20</w:t>
      </w:r>
      <w:r w:rsidR="00B52AC9">
        <w:rPr>
          <w:rFonts w:asciiTheme="minorHAnsi" w:hAnsiTheme="minorHAnsi"/>
        </w:rPr>
        <w:t>20</w:t>
      </w:r>
    </w:p>
    <w:p w14:paraId="356E401D" w14:textId="77777777" w:rsidR="007C2EE0" w:rsidRPr="0064382A" w:rsidRDefault="007C2EE0" w:rsidP="000F6932">
      <w:pPr>
        <w:tabs>
          <w:tab w:val="left" w:pos="720"/>
          <w:tab w:val="left" w:pos="1440"/>
          <w:tab w:val="left" w:pos="2160"/>
          <w:tab w:val="left" w:pos="3120"/>
        </w:tabs>
        <w:rPr>
          <w:rFonts w:asciiTheme="minorHAnsi" w:hAnsiTheme="minorHAnsi"/>
        </w:rPr>
      </w:pPr>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77777777" w:rsidR="00DA25E3" w:rsidRPr="0064382A" w:rsidRDefault="00F40C03" w:rsidP="00DA709D">
      <w:pPr>
        <w:ind w:left="2160" w:hanging="1440"/>
        <w:rPr>
          <w:rFonts w:asciiTheme="minorHAnsi" w:hAnsiTheme="minorHAnsi"/>
          <w:i/>
        </w:rPr>
      </w:pPr>
      <w:r>
        <w:rPr>
          <w:rFonts w:asciiTheme="minorHAnsi" w:hAnsiTheme="minorHAnsi"/>
        </w:rPr>
        <w:t>Action Requested</w:t>
      </w:r>
      <w:bookmarkStart w:id="0" w:name="_GoBack"/>
      <w:bookmarkEnd w:id="0"/>
    </w:p>
    <w:p w14:paraId="0348FB43" w14:textId="77777777"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21DBEED7" w14:textId="61B6B68A" w:rsidR="004E1DEA" w:rsidRDefault="00611666" w:rsidP="00DA709D">
      <w:pPr>
        <w:ind w:left="2880" w:hanging="2160"/>
        <w:rPr>
          <w:rFonts w:asciiTheme="minorHAnsi" w:hAnsiTheme="minorHAnsi"/>
        </w:rPr>
      </w:pPr>
      <w:r>
        <w:rPr>
          <w:rFonts w:asciiTheme="minorHAnsi" w:hAnsiTheme="minorHAnsi"/>
        </w:rPr>
        <w:t xml:space="preserve">Clara Bohrer, </w:t>
      </w:r>
      <w:r w:rsidR="00D51178">
        <w:rPr>
          <w:rFonts w:asciiTheme="minorHAnsi" w:hAnsiTheme="minorHAnsi"/>
        </w:rPr>
        <w:t>Mary Hirsh</w:t>
      </w:r>
    </w:p>
    <w:p w14:paraId="0D667C1D" w14:textId="2EEC2DA3" w:rsidR="00DA709D" w:rsidRDefault="00DA25E3" w:rsidP="000F6932">
      <w:pPr>
        <w:rPr>
          <w:rFonts w:asciiTheme="minorHAnsi" w:hAnsiTheme="minorHAnsi"/>
          <w:b/>
        </w:rPr>
      </w:pPr>
      <w:r w:rsidRPr="0064382A">
        <w:rPr>
          <w:rFonts w:asciiTheme="minorHAnsi" w:hAnsiTheme="minorHAnsi"/>
          <w:b/>
        </w:rPr>
        <w:t>DRAFT OF MOTION:</w:t>
      </w:r>
      <w:r w:rsidR="003F3E2A">
        <w:rPr>
          <w:rFonts w:asciiTheme="minorHAnsi" w:hAnsiTheme="minorHAnsi"/>
          <w:b/>
        </w:rPr>
        <w:t xml:space="preserve">   </w:t>
      </w:r>
    </w:p>
    <w:p w14:paraId="563AEB37" w14:textId="75BFB5C8" w:rsidR="004E1F38" w:rsidRPr="00A922CD" w:rsidRDefault="00CC561B" w:rsidP="00A922CD">
      <w:pPr>
        <w:ind w:firstLine="720"/>
        <w:rPr>
          <w:rFonts w:asciiTheme="minorHAnsi" w:hAnsiTheme="minorHAnsi"/>
          <w:b/>
        </w:rPr>
      </w:pPr>
      <w:r w:rsidRPr="00A922CD">
        <w:rPr>
          <w:rFonts w:asciiTheme="minorHAnsi" w:hAnsiTheme="minorHAnsi"/>
        </w:rPr>
        <w:t xml:space="preserve">The PLA Board of Directors hereby approves the </w:t>
      </w:r>
      <w:r w:rsidR="00D51178" w:rsidRPr="00A922CD">
        <w:rPr>
          <w:rFonts w:asciiTheme="minorHAnsi" w:hAnsiTheme="minorHAnsi"/>
        </w:rPr>
        <w:t>PLA FY21 budget as presented</w:t>
      </w:r>
      <w:r w:rsidR="00B52AC9" w:rsidRPr="00A922CD">
        <w:rPr>
          <w:rFonts w:asciiTheme="minorHAnsi" w:hAnsiTheme="minorHAnsi"/>
        </w:rPr>
        <w:t xml:space="preserve">. </w:t>
      </w:r>
    </w:p>
    <w:p w14:paraId="1947A728" w14:textId="5DB8A57C" w:rsidR="00DC769C" w:rsidRPr="00611666" w:rsidRDefault="00DC769C" w:rsidP="00DC769C">
      <w:pPr>
        <w:rPr>
          <w:rFonts w:asciiTheme="minorHAnsi" w:hAnsiTheme="minorHAnsi"/>
          <w:bCs/>
        </w:rPr>
      </w:pPr>
    </w:p>
    <w:p w14:paraId="0FB1691B" w14:textId="75D95DB0" w:rsidR="00611666" w:rsidRPr="00611666" w:rsidRDefault="00611666" w:rsidP="00DC769C">
      <w:pPr>
        <w:rPr>
          <w:rFonts w:asciiTheme="minorHAnsi" w:hAnsiTheme="minorHAnsi"/>
          <w:bCs/>
        </w:rPr>
      </w:pPr>
      <w:r w:rsidRPr="00611666">
        <w:rPr>
          <w:rFonts w:asciiTheme="minorHAnsi" w:hAnsiTheme="minorHAnsi"/>
          <w:bCs/>
        </w:rPr>
        <w:t>At its August 24, 2020 meeting, the PLA Budget and Finance Committee reviewed and approved the PLA Fiscal Year 2021 (FY21) budget as submitted. Details on the budget are below and included in the accompanying spreadsheet. The PLA Board of Directors is asked to review and approve the budget during its September 2020 meeting.</w:t>
      </w:r>
    </w:p>
    <w:p w14:paraId="21BA8ED4" w14:textId="77777777" w:rsidR="00611666" w:rsidRDefault="00611666" w:rsidP="00DC769C">
      <w:pPr>
        <w:rPr>
          <w:rFonts w:asciiTheme="minorHAnsi" w:hAnsiTheme="minorHAnsi"/>
          <w:b/>
        </w:rPr>
      </w:pPr>
    </w:p>
    <w:p w14:paraId="3216E1A2" w14:textId="0A3F8896" w:rsidR="00DC769C" w:rsidRPr="00DC769C" w:rsidRDefault="00DC769C" w:rsidP="00DC769C">
      <w:pPr>
        <w:rPr>
          <w:rFonts w:asciiTheme="minorHAnsi" w:hAnsiTheme="minorHAnsi"/>
          <w:b/>
        </w:rPr>
      </w:pPr>
      <w:r>
        <w:rPr>
          <w:rFonts w:asciiTheme="minorHAnsi" w:hAnsiTheme="minorHAnsi"/>
          <w:b/>
        </w:rPr>
        <w:t>PLA FY21 Budget as of August 5, 2020</w:t>
      </w:r>
      <w:r>
        <w:rPr>
          <w:rFonts w:asciiTheme="minorHAnsi" w:hAnsiTheme="minorHAnsi"/>
          <w:b/>
        </w:rPr>
        <w:tab/>
      </w:r>
    </w:p>
    <w:tbl>
      <w:tblPr>
        <w:tblW w:w="952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95"/>
        <w:gridCol w:w="2372"/>
        <w:gridCol w:w="2206"/>
      </w:tblGrid>
      <w:tr w:rsidR="00A922CD" w:rsidRPr="00310C52" w14:paraId="605A660B" w14:textId="48DCE256" w:rsidTr="00A922CD">
        <w:trPr>
          <w:trHeight w:val="255"/>
        </w:trPr>
        <w:tc>
          <w:tcPr>
            <w:tcW w:w="2551" w:type="dxa"/>
            <w:shd w:val="clear" w:color="auto" w:fill="auto"/>
            <w:noWrap/>
            <w:vAlign w:val="bottom"/>
            <w:hideMark/>
          </w:tcPr>
          <w:p w14:paraId="23997373" w14:textId="77777777" w:rsidR="00A922CD" w:rsidRPr="00310C52" w:rsidRDefault="00A922CD" w:rsidP="00D91219">
            <w:pPr>
              <w:jc w:val="right"/>
              <w:rPr>
                <w:rFonts w:cs="Arial"/>
                <w:b/>
                <w:sz w:val="20"/>
                <w:szCs w:val="20"/>
              </w:rPr>
            </w:pPr>
          </w:p>
        </w:tc>
        <w:tc>
          <w:tcPr>
            <w:tcW w:w="2395" w:type="dxa"/>
            <w:shd w:val="clear" w:color="auto" w:fill="auto"/>
            <w:noWrap/>
            <w:vAlign w:val="bottom"/>
            <w:hideMark/>
          </w:tcPr>
          <w:p w14:paraId="72DDD5BF" w14:textId="3A421439" w:rsidR="00A922CD" w:rsidRPr="00310C52" w:rsidRDefault="00A922CD" w:rsidP="0074706C">
            <w:pPr>
              <w:rPr>
                <w:rFonts w:cs="Arial"/>
                <w:b/>
                <w:sz w:val="20"/>
                <w:szCs w:val="20"/>
              </w:rPr>
            </w:pPr>
            <w:r>
              <w:rPr>
                <w:rFonts w:cs="Arial"/>
                <w:b/>
                <w:sz w:val="20"/>
                <w:szCs w:val="20"/>
              </w:rPr>
              <w:t xml:space="preserve">FY21 </w:t>
            </w:r>
            <w:r w:rsidRPr="00310C52">
              <w:rPr>
                <w:rFonts w:cs="Arial"/>
                <w:b/>
                <w:sz w:val="20"/>
                <w:szCs w:val="20"/>
              </w:rPr>
              <w:t>Budget</w:t>
            </w:r>
            <w:r>
              <w:rPr>
                <w:rFonts w:cs="Arial"/>
                <w:b/>
                <w:sz w:val="20"/>
                <w:szCs w:val="20"/>
              </w:rPr>
              <w:t xml:space="preserve"> – Admin</w:t>
            </w:r>
          </w:p>
        </w:tc>
        <w:tc>
          <w:tcPr>
            <w:tcW w:w="2372" w:type="dxa"/>
            <w:shd w:val="clear" w:color="auto" w:fill="auto"/>
            <w:noWrap/>
            <w:vAlign w:val="bottom"/>
            <w:hideMark/>
          </w:tcPr>
          <w:p w14:paraId="050D97DA" w14:textId="3AD07AD1" w:rsidR="00A922CD" w:rsidRPr="00310C52" w:rsidRDefault="00A922CD" w:rsidP="00D91219">
            <w:pPr>
              <w:rPr>
                <w:rFonts w:cs="Arial"/>
                <w:b/>
                <w:sz w:val="20"/>
                <w:szCs w:val="20"/>
              </w:rPr>
            </w:pPr>
            <w:r>
              <w:rPr>
                <w:rFonts w:cs="Arial"/>
                <w:b/>
                <w:sz w:val="20"/>
                <w:szCs w:val="20"/>
              </w:rPr>
              <w:t>FY21 Budget - Grants</w:t>
            </w:r>
          </w:p>
        </w:tc>
        <w:tc>
          <w:tcPr>
            <w:tcW w:w="2206" w:type="dxa"/>
          </w:tcPr>
          <w:p w14:paraId="5CE3E671" w14:textId="618763ED" w:rsidR="00A922CD" w:rsidRDefault="00A922CD" w:rsidP="00D91219">
            <w:pPr>
              <w:rPr>
                <w:rFonts w:cs="Arial"/>
                <w:b/>
                <w:sz w:val="20"/>
                <w:szCs w:val="20"/>
              </w:rPr>
            </w:pPr>
            <w:r>
              <w:rPr>
                <w:rFonts w:cs="Arial"/>
                <w:b/>
                <w:sz w:val="20"/>
                <w:szCs w:val="20"/>
              </w:rPr>
              <w:t>FY21 Budget - Total</w:t>
            </w:r>
          </w:p>
        </w:tc>
      </w:tr>
      <w:tr w:rsidR="00A922CD" w:rsidRPr="00310C52" w14:paraId="035589EA" w14:textId="2E0C57CA" w:rsidTr="00A922CD">
        <w:trPr>
          <w:trHeight w:val="255"/>
        </w:trPr>
        <w:tc>
          <w:tcPr>
            <w:tcW w:w="2551" w:type="dxa"/>
            <w:shd w:val="clear" w:color="auto" w:fill="auto"/>
            <w:noWrap/>
            <w:vAlign w:val="bottom"/>
            <w:hideMark/>
          </w:tcPr>
          <w:p w14:paraId="070990FC" w14:textId="77777777" w:rsidR="00A922CD" w:rsidRPr="00310C52" w:rsidRDefault="00A922CD" w:rsidP="00D91219">
            <w:pPr>
              <w:jc w:val="right"/>
              <w:rPr>
                <w:rFonts w:cs="Arial"/>
                <w:b/>
                <w:sz w:val="20"/>
                <w:szCs w:val="20"/>
              </w:rPr>
            </w:pPr>
            <w:r w:rsidRPr="00310C52">
              <w:rPr>
                <w:rFonts w:cs="Arial"/>
                <w:b/>
                <w:sz w:val="20"/>
                <w:szCs w:val="20"/>
              </w:rPr>
              <w:t>Total Revenues</w:t>
            </w:r>
          </w:p>
        </w:tc>
        <w:tc>
          <w:tcPr>
            <w:tcW w:w="2395" w:type="dxa"/>
            <w:shd w:val="clear" w:color="auto" w:fill="auto"/>
            <w:noWrap/>
            <w:vAlign w:val="bottom"/>
            <w:hideMark/>
          </w:tcPr>
          <w:p w14:paraId="150BD6FC" w14:textId="1AF4F43F" w:rsidR="00A922CD" w:rsidRPr="00310C52" w:rsidRDefault="00A922CD" w:rsidP="00D91219">
            <w:pPr>
              <w:jc w:val="right"/>
              <w:rPr>
                <w:rFonts w:cs="Arial"/>
                <w:sz w:val="20"/>
                <w:szCs w:val="20"/>
              </w:rPr>
            </w:pPr>
            <w:r w:rsidRPr="00310C52">
              <w:rPr>
                <w:rFonts w:cs="Arial"/>
                <w:sz w:val="20"/>
                <w:szCs w:val="20"/>
              </w:rPr>
              <w:t>$</w:t>
            </w:r>
            <w:r>
              <w:rPr>
                <w:rFonts w:cs="Arial"/>
                <w:sz w:val="20"/>
                <w:szCs w:val="20"/>
              </w:rPr>
              <w:t>771,600</w:t>
            </w:r>
          </w:p>
        </w:tc>
        <w:tc>
          <w:tcPr>
            <w:tcW w:w="2372" w:type="dxa"/>
            <w:shd w:val="clear" w:color="auto" w:fill="auto"/>
            <w:noWrap/>
            <w:vAlign w:val="bottom"/>
          </w:tcPr>
          <w:p w14:paraId="0243474F" w14:textId="6F1A4CBD" w:rsidR="00A922CD" w:rsidRPr="00310C52" w:rsidRDefault="00A922CD" w:rsidP="00D91219">
            <w:pPr>
              <w:jc w:val="right"/>
              <w:rPr>
                <w:rFonts w:cs="Arial"/>
                <w:sz w:val="20"/>
                <w:szCs w:val="20"/>
              </w:rPr>
            </w:pPr>
            <w:r>
              <w:rPr>
                <w:rFonts w:cs="Arial"/>
                <w:sz w:val="20"/>
                <w:szCs w:val="20"/>
              </w:rPr>
              <w:t>$1,234,044</w:t>
            </w:r>
          </w:p>
        </w:tc>
        <w:tc>
          <w:tcPr>
            <w:tcW w:w="2206" w:type="dxa"/>
          </w:tcPr>
          <w:p w14:paraId="2A90B8F3" w14:textId="33EC0971" w:rsidR="00A922CD" w:rsidRDefault="00A922CD" w:rsidP="00D91219">
            <w:pPr>
              <w:jc w:val="right"/>
              <w:rPr>
                <w:rFonts w:cs="Arial"/>
                <w:sz w:val="20"/>
                <w:szCs w:val="20"/>
              </w:rPr>
            </w:pPr>
            <w:r>
              <w:rPr>
                <w:rFonts w:cs="Arial"/>
                <w:sz w:val="20"/>
                <w:szCs w:val="20"/>
              </w:rPr>
              <w:t>$2,005,644</w:t>
            </w:r>
          </w:p>
        </w:tc>
      </w:tr>
      <w:tr w:rsidR="00A922CD" w:rsidRPr="00310C52" w14:paraId="3DA3786B" w14:textId="0D141095" w:rsidTr="00A922CD">
        <w:trPr>
          <w:trHeight w:val="255"/>
        </w:trPr>
        <w:tc>
          <w:tcPr>
            <w:tcW w:w="2551" w:type="dxa"/>
            <w:shd w:val="clear" w:color="auto" w:fill="auto"/>
            <w:noWrap/>
            <w:vAlign w:val="bottom"/>
            <w:hideMark/>
          </w:tcPr>
          <w:p w14:paraId="03987D33" w14:textId="27482F25" w:rsidR="00A922CD" w:rsidRPr="00310C52" w:rsidRDefault="00A922CD" w:rsidP="00D91219">
            <w:pPr>
              <w:jc w:val="right"/>
              <w:rPr>
                <w:rFonts w:cs="Arial"/>
                <w:b/>
                <w:sz w:val="20"/>
                <w:szCs w:val="20"/>
              </w:rPr>
            </w:pPr>
            <w:r w:rsidRPr="00310C52">
              <w:rPr>
                <w:rFonts w:cs="Arial"/>
                <w:b/>
                <w:sz w:val="20"/>
                <w:szCs w:val="20"/>
              </w:rPr>
              <w:t>Total Expenses</w:t>
            </w:r>
          </w:p>
        </w:tc>
        <w:tc>
          <w:tcPr>
            <w:tcW w:w="2395" w:type="dxa"/>
            <w:shd w:val="clear" w:color="auto" w:fill="auto"/>
            <w:noWrap/>
            <w:vAlign w:val="bottom"/>
            <w:hideMark/>
          </w:tcPr>
          <w:p w14:paraId="0C07C0EF" w14:textId="0F99B921" w:rsidR="00A922CD" w:rsidRPr="00310C52" w:rsidRDefault="00A922CD" w:rsidP="00D91219">
            <w:pPr>
              <w:jc w:val="right"/>
              <w:rPr>
                <w:rFonts w:cs="Arial"/>
                <w:sz w:val="20"/>
                <w:szCs w:val="20"/>
              </w:rPr>
            </w:pPr>
            <w:r w:rsidRPr="00310C52">
              <w:rPr>
                <w:rFonts w:cs="Arial"/>
                <w:sz w:val="20"/>
                <w:szCs w:val="20"/>
              </w:rPr>
              <w:t>$</w:t>
            </w:r>
            <w:r>
              <w:rPr>
                <w:rFonts w:cs="Arial"/>
                <w:sz w:val="20"/>
                <w:szCs w:val="20"/>
              </w:rPr>
              <w:t>1,280,549</w:t>
            </w:r>
          </w:p>
        </w:tc>
        <w:tc>
          <w:tcPr>
            <w:tcW w:w="2372" w:type="dxa"/>
            <w:shd w:val="clear" w:color="auto" w:fill="auto"/>
            <w:noWrap/>
            <w:vAlign w:val="bottom"/>
          </w:tcPr>
          <w:p w14:paraId="2081352B" w14:textId="2192777E" w:rsidR="00A922CD" w:rsidRPr="00310C52" w:rsidRDefault="00A922CD" w:rsidP="00D91219">
            <w:pPr>
              <w:jc w:val="right"/>
              <w:rPr>
                <w:rFonts w:cs="Arial"/>
                <w:sz w:val="20"/>
                <w:szCs w:val="20"/>
              </w:rPr>
            </w:pPr>
            <w:r>
              <w:rPr>
                <w:rFonts w:cs="Arial"/>
                <w:sz w:val="20"/>
                <w:szCs w:val="20"/>
              </w:rPr>
              <w:t>$1,132,016</w:t>
            </w:r>
          </w:p>
        </w:tc>
        <w:tc>
          <w:tcPr>
            <w:tcW w:w="2206" w:type="dxa"/>
          </w:tcPr>
          <w:p w14:paraId="55CCD07C" w14:textId="05A444F8" w:rsidR="00A922CD" w:rsidRDefault="00A922CD" w:rsidP="00D91219">
            <w:pPr>
              <w:jc w:val="right"/>
              <w:rPr>
                <w:rFonts w:cs="Arial"/>
                <w:sz w:val="20"/>
                <w:szCs w:val="20"/>
              </w:rPr>
            </w:pPr>
            <w:r>
              <w:rPr>
                <w:rFonts w:cs="Arial"/>
                <w:sz w:val="20"/>
                <w:szCs w:val="20"/>
              </w:rPr>
              <w:t>$2,412,565</w:t>
            </w:r>
          </w:p>
        </w:tc>
      </w:tr>
      <w:tr w:rsidR="00A922CD" w:rsidRPr="00310C52" w14:paraId="29C01842" w14:textId="2D671345" w:rsidTr="00A922CD">
        <w:trPr>
          <w:trHeight w:val="255"/>
        </w:trPr>
        <w:tc>
          <w:tcPr>
            <w:tcW w:w="2551" w:type="dxa"/>
            <w:shd w:val="clear" w:color="auto" w:fill="auto"/>
            <w:noWrap/>
            <w:vAlign w:val="bottom"/>
            <w:hideMark/>
          </w:tcPr>
          <w:p w14:paraId="434F7025" w14:textId="77777777" w:rsidR="00A922CD" w:rsidRPr="00310C52" w:rsidRDefault="00A922CD" w:rsidP="00D91219">
            <w:pPr>
              <w:jc w:val="right"/>
              <w:rPr>
                <w:rFonts w:cs="Arial"/>
                <w:b/>
                <w:sz w:val="20"/>
                <w:szCs w:val="20"/>
              </w:rPr>
            </w:pPr>
            <w:r w:rsidRPr="00310C52">
              <w:rPr>
                <w:rFonts w:cs="Arial"/>
                <w:b/>
                <w:sz w:val="20"/>
                <w:szCs w:val="20"/>
              </w:rPr>
              <w:t>Overhead and Tax</w:t>
            </w:r>
          </w:p>
        </w:tc>
        <w:tc>
          <w:tcPr>
            <w:tcW w:w="2395" w:type="dxa"/>
            <w:shd w:val="clear" w:color="auto" w:fill="auto"/>
            <w:noWrap/>
            <w:vAlign w:val="bottom"/>
            <w:hideMark/>
          </w:tcPr>
          <w:p w14:paraId="598E1C06" w14:textId="42C376D1" w:rsidR="00A922CD" w:rsidRPr="00310C52" w:rsidRDefault="00A922CD" w:rsidP="00D91219">
            <w:pPr>
              <w:jc w:val="right"/>
              <w:rPr>
                <w:rFonts w:cs="Arial"/>
                <w:sz w:val="20"/>
                <w:szCs w:val="20"/>
              </w:rPr>
            </w:pPr>
            <w:r>
              <w:rPr>
                <w:rFonts w:cs="Arial"/>
                <w:sz w:val="20"/>
                <w:szCs w:val="20"/>
              </w:rPr>
              <w:t>$54,998</w:t>
            </w:r>
          </w:p>
        </w:tc>
        <w:tc>
          <w:tcPr>
            <w:tcW w:w="2372" w:type="dxa"/>
            <w:shd w:val="clear" w:color="auto" w:fill="auto"/>
            <w:noWrap/>
            <w:vAlign w:val="bottom"/>
          </w:tcPr>
          <w:p w14:paraId="3BD5F130" w14:textId="08AD535E" w:rsidR="00A922CD" w:rsidRPr="00310C52" w:rsidRDefault="00A922CD" w:rsidP="00D91219">
            <w:pPr>
              <w:jc w:val="right"/>
              <w:rPr>
                <w:rFonts w:cs="Arial"/>
                <w:sz w:val="20"/>
                <w:szCs w:val="20"/>
              </w:rPr>
            </w:pPr>
            <w:r>
              <w:rPr>
                <w:rFonts w:cs="Arial"/>
                <w:sz w:val="20"/>
                <w:szCs w:val="20"/>
              </w:rPr>
              <w:t>$102,028</w:t>
            </w:r>
          </w:p>
        </w:tc>
        <w:tc>
          <w:tcPr>
            <w:tcW w:w="2206" w:type="dxa"/>
          </w:tcPr>
          <w:p w14:paraId="665AF8F5" w14:textId="0271CF55" w:rsidR="00A922CD" w:rsidRDefault="00A922CD" w:rsidP="00D91219">
            <w:pPr>
              <w:jc w:val="right"/>
              <w:rPr>
                <w:rFonts w:cs="Arial"/>
                <w:sz w:val="20"/>
                <w:szCs w:val="20"/>
              </w:rPr>
            </w:pPr>
            <w:r>
              <w:rPr>
                <w:rFonts w:cs="Arial"/>
                <w:sz w:val="20"/>
                <w:szCs w:val="20"/>
              </w:rPr>
              <w:t>$157,026</w:t>
            </w:r>
          </w:p>
        </w:tc>
      </w:tr>
      <w:tr w:rsidR="00A922CD" w:rsidRPr="00310C52" w14:paraId="510BB082" w14:textId="4B0DC65D" w:rsidTr="00A922CD">
        <w:trPr>
          <w:trHeight w:val="255"/>
        </w:trPr>
        <w:tc>
          <w:tcPr>
            <w:tcW w:w="2551" w:type="dxa"/>
            <w:shd w:val="clear" w:color="auto" w:fill="auto"/>
            <w:noWrap/>
            <w:vAlign w:val="bottom"/>
            <w:hideMark/>
          </w:tcPr>
          <w:p w14:paraId="496F5DB0" w14:textId="77777777" w:rsidR="00A922CD" w:rsidRPr="00310C52" w:rsidRDefault="00A922CD" w:rsidP="00D91219">
            <w:pPr>
              <w:jc w:val="right"/>
              <w:rPr>
                <w:rFonts w:cs="Arial"/>
                <w:b/>
                <w:sz w:val="20"/>
                <w:szCs w:val="20"/>
              </w:rPr>
            </w:pPr>
          </w:p>
        </w:tc>
        <w:tc>
          <w:tcPr>
            <w:tcW w:w="2395" w:type="dxa"/>
            <w:shd w:val="clear" w:color="auto" w:fill="auto"/>
            <w:noWrap/>
            <w:vAlign w:val="bottom"/>
            <w:hideMark/>
          </w:tcPr>
          <w:p w14:paraId="506A0E3D" w14:textId="77777777" w:rsidR="00A922CD" w:rsidRPr="00310C52" w:rsidRDefault="00A922CD" w:rsidP="00D91219">
            <w:pPr>
              <w:rPr>
                <w:rFonts w:cs="Arial"/>
                <w:sz w:val="20"/>
                <w:szCs w:val="20"/>
              </w:rPr>
            </w:pPr>
          </w:p>
        </w:tc>
        <w:tc>
          <w:tcPr>
            <w:tcW w:w="2372" w:type="dxa"/>
            <w:shd w:val="clear" w:color="auto" w:fill="auto"/>
            <w:noWrap/>
            <w:vAlign w:val="bottom"/>
          </w:tcPr>
          <w:p w14:paraId="0FB12A2E" w14:textId="77777777" w:rsidR="00A922CD" w:rsidRPr="00310C52" w:rsidRDefault="00A922CD" w:rsidP="00D91219">
            <w:pPr>
              <w:rPr>
                <w:rFonts w:cs="Arial"/>
                <w:sz w:val="20"/>
                <w:szCs w:val="20"/>
              </w:rPr>
            </w:pPr>
          </w:p>
        </w:tc>
        <w:tc>
          <w:tcPr>
            <w:tcW w:w="2206" w:type="dxa"/>
          </w:tcPr>
          <w:p w14:paraId="6A7FC52F" w14:textId="77777777" w:rsidR="00A922CD" w:rsidRPr="00310C52" w:rsidRDefault="00A922CD" w:rsidP="00D91219">
            <w:pPr>
              <w:rPr>
                <w:rFonts w:cs="Arial"/>
                <w:sz w:val="20"/>
                <w:szCs w:val="20"/>
              </w:rPr>
            </w:pPr>
          </w:p>
        </w:tc>
      </w:tr>
      <w:tr w:rsidR="00A922CD" w:rsidRPr="00310C52" w14:paraId="5C2F9113" w14:textId="42BC8F64" w:rsidTr="00A922CD">
        <w:trPr>
          <w:trHeight w:val="255"/>
        </w:trPr>
        <w:tc>
          <w:tcPr>
            <w:tcW w:w="2551" w:type="dxa"/>
            <w:shd w:val="clear" w:color="auto" w:fill="auto"/>
            <w:noWrap/>
            <w:vAlign w:val="bottom"/>
            <w:hideMark/>
          </w:tcPr>
          <w:p w14:paraId="54B20C95" w14:textId="77777777" w:rsidR="00A922CD" w:rsidRPr="00310C52" w:rsidRDefault="00A922CD" w:rsidP="00D91219">
            <w:pPr>
              <w:jc w:val="right"/>
              <w:rPr>
                <w:rFonts w:cs="Arial"/>
                <w:b/>
                <w:sz w:val="20"/>
                <w:szCs w:val="20"/>
              </w:rPr>
            </w:pPr>
            <w:r w:rsidRPr="00310C52">
              <w:rPr>
                <w:rFonts w:cs="Arial"/>
                <w:b/>
                <w:sz w:val="20"/>
                <w:szCs w:val="20"/>
              </w:rPr>
              <w:t>Net Revenue (Expense)</w:t>
            </w:r>
          </w:p>
        </w:tc>
        <w:tc>
          <w:tcPr>
            <w:tcW w:w="2395" w:type="dxa"/>
            <w:shd w:val="clear" w:color="auto" w:fill="auto"/>
            <w:noWrap/>
            <w:vAlign w:val="bottom"/>
            <w:hideMark/>
          </w:tcPr>
          <w:p w14:paraId="4D998566" w14:textId="63B426C6" w:rsidR="00A922CD" w:rsidRPr="00310C52" w:rsidRDefault="00A922CD" w:rsidP="00D91219">
            <w:pPr>
              <w:jc w:val="right"/>
              <w:rPr>
                <w:rFonts w:cs="Arial"/>
                <w:sz w:val="20"/>
                <w:szCs w:val="20"/>
              </w:rPr>
            </w:pPr>
            <w:r>
              <w:rPr>
                <w:rFonts w:cs="Arial"/>
                <w:sz w:val="20"/>
                <w:szCs w:val="20"/>
              </w:rPr>
              <w:t>($563,947)</w:t>
            </w:r>
          </w:p>
        </w:tc>
        <w:tc>
          <w:tcPr>
            <w:tcW w:w="2372" w:type="dxa"/>
            <w:shd w:val="clear" w:color="auto" w:fill="auto"/>
            <w:noWrap/>
            <w:vAlign w:val="bottom"/>
          </w:tcPr>
          <w:p w14:paraId="159F68A8" w14:textId="21AE34D1" w:rsidR="00A922CD" w:rsidRPr="00310C52" w:rsidRDefault="00A922CD" w:rsidP="00D91219">
            <w:pPr>
              <w:jc w:val="right"/>
              <w:rPr>
                <w:rFonts w:cs="Arial"/>
                <w:sz w:val="20"/>
                <w:szCs w:val="20"/>
              </w:rPr>
            </w:pPr>
            <w:r>
              <w:rPr>
                <w:rFonts w:cs="Arial"/>
                <w:sz w:val="20"/>
                <w:szCs w:val="20"/>
              </w:rPr>
              <w:t>$0</w:t>
            </w:r>
          </w:p>
        </w:tc>
        <w:tc>
          <w:tcPr>
            <w:tcW w:w="2206" w:type="dxa"/>
          </w:tcPr>
          <w:p w14:paraId="56D5B7B5" w14:textId="212E37F8" w:rsidR="00A922CD" w:rsidRDefault="00A922CD" w:rsidP="00D91219">
            <w:pPr>
              <w:jc w:val="right"/>
              <w:rPr>
                <w:rFonts w:cs="Arial"/>
                <w:sz w:val="20"/>
                <w:szCs w:val="20"/>
              </w:rPr>
            </w:pPr>
            <w:r>
              <w:rPr>
                <w:rFonts w:cs="Arial"/>
                <w:sz w:val="20"/>
                <w:szCs w:val="20"/>
              </w:rPr>
              <w:t>($563,947)</w:t>
            </w:r>
          </w:p>
        </w:tc>
      </w:tr>
    </w:tbl>
    <w:p w14:paraId="6DDA12B8" w14:textId="1BC01375" w:rsidR="00B52AC9" w:rsidRDefault="00B52AC9" w:rsidP="00DA709D">
      <w:pPr>
        <w:autoSpaceDE w:val="0"/>
        <w:autoSpaceDN w:val="0"/>
        <w:adjustRightInd w:val="0"/>
        <w:rPr>
          <w:rFonts w:asciiTheme="minorHAnsi" w:hAnsiTheme="minorHAnsi"/>
        </w:rPr>
      </w:pPr>
    </w:p>
    <w:p w14:paraId="7399FB63" w14:textId="05196150" w:rsidR="0074706C" w:rsidRPr="00936857" w:rsidRDefault="0074706C" w:rsidP="00DA709D">
      <w:pPr>
        <w:autoSpaceDE w:val="0"/>
        <w:autoSpaceDN w:val="0"/>
        <w:adjustRightInd w:val="0"/>
        <w:rPr>
          <w:rFonts w:asciiTheme="minorHAnsi" w:hAnsiTheme="minorHAnsi"/>
          <w:b/>
          <w:bCs/>
        </w:rPr>
      </w:pPr>
      <w:r w:rsidRPr="00936857">
        <w:rPr>
          <w:rFonts w:asciiTheme="minorHAnsi" w:hAnsiTheme="minorHAnsi"/>
          <w:b/>
          <w:bCs/>
          <w:u w:val="single"/>
        </w:rPr>
        <w:t>Changes During Budget Revision Processes</w:t>
      </w:r>
    </w:p>
    <w:p w14:paraId="39B6DC61" w14:textId="3731566C" w:rsidR="0074706C" w:rsidRDefault="0074706C" w:rsidP="00DA709D">
      <w:pPr>
        <w:autoSpaceDE w:val="0"/>
        <w:autoSpaceDN w:val="0"/>
        <w:adjustRightInd w:val="0"/>
        <w:rPr>
          <w:rFonts w:asciiTheme="minorHAnsi" w:hAnsiTheme="minorHAnsi"/>
        </w:rPr>
      </w:pPr>
    </w:p>
    <w:p w14:paraId="229308E1" w14:textId="6FE41C26" w:rsidR="00DC769C" w:rsidRDefault="0074706C" w:rsidP="00DA709D">
      <w:pPr>
        <w:autoSpaceDE w:val="0"/>
        <w:autoSpaceDN w:val="0"/>
        <w:adjustRightInd w:val="0"/>
        <w:rPr>
          <w:rFonts w:asciiTheme="minorHAnsi" w:hAnsiTheme="minorHAnsi"/>
        </w:rPr>
      </w:pPr>
      <w:r>
        <w:rPr>
          <w:rFonts w:asciiTheme="minorHAnsi" w:hAnsiTheme="minorHAnsi"/>
        </w:rPr>
        <w:t xml:space="preserve">The first draft of the PLA FY21 budget was created in March 2020, due soon after the PLA 2020 Conference. </w:t>
      </w:r>
      <w:r w:rsidR="0012099B">
        <w:rPr>
          <w:rFonts w:asciiTheme="minorHAnsi" w:hAnsiTheme="minorHAnsi"/>
        </w:rPr>
        <w:t>In that budget</w:t>
      </w:r>
      <w:r>
        <w:rPr>
          <w:rFonts w:asciiTheme="minorHAnsi" w:hAnsiTheme="minorHAnsi"/>
        </w:rPr>
        <w:t>, PLA’s general fund had revenue of $936,600 and expenses of $1,655,235 for a net loss of $718,635. A net loss is anticipated during nonconference years</w:t>
      </w:r>
      <w:r w:rsidR="005C52CC">
        <w:rPr>
          <w:rFonts w:asciiTheme="minorHAnsi" w:hAnsiTheme="minorHAnsi"/>
        </w:rPr>
        <w:t>. H</w:t>
      </w:r>
      <w:r w:rsidR="00DC769C">
        <w:rPr>
          <w:rFonts w:asciiTheme="minorHAnsi" w:hAnsiTheme="minorHAnsi"/>
        </w:rPr>
        <w:t>owever</w:t>
      </w:r>
      <w:r w:rsidR="00B90246">
        <w:rPr>
          <w:rFonts w:asciiTheme="minorHAnsi" w:hAnsiTheme="minorHAnsi"/>
        </w:rPr>
        <w:t xml:space="preserve">, </w:t>
      </w:r>
      <w:r w:rsidR="00DC769C">
        <w:rPr>
          <w:rFonts w:asciiTheme="minorHAnsi" w:hAnsiTheme="minorHAnsi"/>
        </w:rPr>
        <w:t xml:space="preserve">the budgeted FY21 net loss was </w:t>
      </w:r>
      <w:r w:rsidR="005C52CC">
        <w:rPr>
          <w:rFonts w:asciiTheme="minorHAnsi" w:hAnsiTheme="minorHAnsi"/>
        </w:rPr>
        <w:t xml:space="preserve">in the first draft was </w:t>
      </w:r>
      <w:r w:rsidR="00DC769C">
        <w:rPr>
          <w:rFonts w:asciiTheme="minorHAnsi" w:hAnsiTheme="minorHAnsi"/>
        </w:rPr>
        <w:t>over $300,000 higher than the previous two non-conference years</w:t>
      </w:r>
      <w:r w:rsidR="005C52CC">
        <w:rPr>
          <w:rFonts w:asciiTheme="minorHAnsi" w:hAnsiTheme="minorHAnsi"/>
        </w:rPr>
        <w:t xml:space="preserve">. </w:t>
      </w:r>
      <w:r w:rsidR="005C52CC" w:rsidRPr="00505604">
        <w:rPr>
          <w:rFonts w:asciiTheme="minorHAnsi" w:hAnsiTheme="minorHAnsi"/>
        </w:rPr>
        <w:t>This was primarily due to increased staff and benefit costs (~$60,000 higher than FY19)</w:t>
      </w:r>
      <w:r w:rsidR="00B90246" w:rsidRPr="00505604">
        <w:rPr>
          <w:rFonts w:asciiTheme="minorHAnsi" w:hAnsiTheme="minorHAnsi"/>
        </w:rPr>
        <w:t xml:space="preserve"> and assumption of Inclusive Internship Initiative costs in the spring of 2021, on the assumption that IMLS funding would end after 2020 and PLA would have to support the project if other funding was not found (~$120,000)</w:t>
      </w:r>
      <w:r w:rsidRPr="00505604">
        <w:rPr>
          <w:rFonts w:asciiTheme="minorHAnsi" w:hAnsiTheme="minorHAnsi"/>
        </w:rPr>
        <w:t>. The grant projects had revenue and expenses of $</w:t>
      </w:r>
      <w:r w:rsidR="00DC769C" w:rsidRPr="00505604">
        <w:rPr>
          <w:rFonts w:asciiTheme="minorHAnsi" w:hAnsiTheme="minorHAnsi"/>
        </w:rPr>
        <w:t>1,242,610</w:t>
      </w:r>
      <w:r w:rsidRPr="00505604">
        <w:rPr>
          <w:rFonts w:asciiTheme="minorHAnsi" w:hAnsiTheme="minorHAnsi"/>
        </w:rPr>
        <w:t xml:space="preserve"> (ALA requires grant projects to net</w:t>
      </w:r>
      <w:r>
        <w:rPr>
          <w:rFonts w:asciiTheme="minorHAnsi" w:hAnsiTheme="minorHAnsi"/>
        </w:rPr>
        <w:t xml:space="preserve"> zero in a fiscal year, regardless of the grant timing). </w:t>
      </w:r>
    </w:p>
    <w:p w14:paraId="0D016A8E" w14:textId="77777777" w:rsidR="00DC769C" w:rsidRDefault="00DC769C" w:rsidP="00DA709D">
      <w:pPr>
        <w:autoSpaceDE w:val="0"/>
        <w:autoSpaceDN w:val="0"/>
        <w:adjustRightInd w:val="0"/>
        <w:rPr>
          <w:rFonts w:asciiTheme="minorHAnsi" w:hAnsiTheme="minorHAnsi"/>
        </w:rPr>
      </w:pPr>
    </w:p>
    <w:p w14:paraId="248A4F9A" w14:textId="7DC86CC3" w:rsidR="0074706C" w:rsidRDefault="0074706C" w:rsidP="00DA709D">
      <w:pPr>
        <w:autoSpaceDE w:val="0"/>
        <w:autoSpaceDN w:val="0"/>
        <w:adjustRightInd w:val="0"/>
        <w:rPr>
          <w:rFonts w:asciiTheme="minorHAnsi" w:hAnsiTheme="minorHAnsi"/>
        </w:rPr>
      </w:pPr>
      <w:r>
        <w:rPr>
          <w:rFonts w:asciiTheme="minorHAnsi" w:hAnsiTheme="minorHAnsi"/>
        </w:rPr>
        <w:t xml:space="preserve">The budget was </w:t>
      </w:r>
      <w:proofErr w:type="gramStart"/>
      <w:r>
        <w:rPr>
          <w:rFonts w:asciiTheme="minorHAnsi" w:hAnsiTheme="minorHAnsi"/>
        </w:rPr>
        <w:t>opened up</w:t>
      </w:r>
      <w:proofErr w:type="gramEnd"/>
      <w:r>
        <w:rPr>
          <w:rFonts w:asciiTheme="minorHAnsi" w:hAnsiTheme="minorHAnsi"/>
        </w:rPr>
        <w:t xml:space="preserve"> for revision two times, in May and August. During those revision cycles, the following changes were made:</w:t>
      </w:r>
    </w:p>
    <w:p w14:paraId="1FA90405" w14:textId="250C84A6" w:rsidR="00DC769C" w:rsidRDefault="00DC769C" w:rsidP="0074706C">
      <w:pPr>
        <w:pStyle w:val="ListParagraph"/>
        <w:numPr>
          <w:ilvl w:val="0"/>
          <w:numId w:val="22"/>
        </w:numPr>
        <w:autoSpaceDE w:val="0"/>
        <w:autoSpaceDN w:val="0"/>
        <w:adjustRightInd w:val="0"/>
        <w:rPr>
          <w:rFonts w:asciiTheme="minorHAnsi" w:hAnsiTheme="minorHAnsi"/>
        </w:rPr>
      </w:pPr>
      <w:r>
        <w:rPr>
          <w:rFonts w:asciiTheme="minorHAnsi" w:hAnsiTheme="minorHAnsi"/>
        </w:rPr>
        <w:t xml:space="preserve">ALA finance staff reduced salary and benefit costs in both </w:t>
      </w:r>
      <w:r w:rsidR="0074706C" w:rsidRPr="0074706C">
        <w:rPr>
          <w:rFonts w:asciiTheme="minorHAnsi" w:hAnsiTheme="minorHAnsi"/>
        </w:rPr>
        <w:t>Administration</w:t>
      </w:r>
      <w:r w:rsidR="00936857">
        <w:rPr>
          <w:rFonts w:asciiTheme="minorHAnsi" w:hAnsiTheme="minorHAnsi"/>
        </w:rPr>
        <w:t xml:space="preserve"> (0000)</w:t>
      </w:r>
      <w:r w:rsidR="0074706C" w:rsidRPr="0074706C">
        <w:rPr>
          <w:rFonts w:asciiTheme="minorHAnsi" w:hAnsiTheme="minorHAnsi"/>
        </w:rPr>
        <w:t xml:space="preserve"> and the Gates Legacy project </w:t>
      </w:r>
      <w:r w:rsidR="00936857">
        <w:rPr>
          <w:rFonts w:asciiTheme="minorHAnsi" w:hAnsiTheme="minorHAnsi"/>
        </w:rPr>
        <w:t xml:space="preserve">(3175) </w:t>
      </w:r>
      <w:r>
        <w:rPr>
          <w:rFonts w:asciiTheme="minorHAnsi" w:hAnsiTheme="minorHAnsi"/>
        </w:rPr>
        <w:t>(</w:t>
      </w:r>
      <w:r w:rsidR="00A922CD">
        <w:rPr>
          <w:rFonts w:asciiTheme="minorHAnsi" w:hAnsiTheme="minorHAnsi"/>
        </w:rPr>
        <w:t>about half of PLA</w:t>
      </w:r>
      <w:r>
        <w:rPr>
          <w:rFonts w:asciiTheme="minorHAnsi" w:hAnsiTheme="minorHAnsi"/>
        </w:rPr>
        <w:t xml:space="preserve"> staff are budgeted</w:t>
      </w:r>
      <w:r w:rsidR="00A922CD">
        <w:rPr>
          <w:rFonts w:asciiTheme="minorHAnsi" w:hAnsiTheme="minorHAnsi"/>
        </w:rPr>
        <w:t xml:space="preserve"> in each</w:t>
      </w:r>
      <w:r>
        <w:rPr>
          <w:rFonts w:asciiTheme="minorHAnsi" w:hAnsiTheme="minorHAnsi"/>
        </w:rPr>
        <w:t xml:space="preserve">) </w:t>
      </w:r>
      <w:r w:rsidRPr="0074706C">
        <w:rPr>
          <w:rFonts w:asciiTheme="minorHAnsi" w:hAnsiTheme="minorHAnsi"/>
        </w:rPr>
        <w:t>due to staff furloughs</w:t>
      </w:r>
      <w:r>
        <w:rPr>
          <w:rFonts w:asciiTheme="minorHAnsi" w:hAnsiTheme="minorHAnsi"/>
        </w:rPr>
        <w:t>.</w:t>
      </w:r>
      <w:r w:rsidRPr="0074706C">
        <w:rPr>
          <w:rFonts w:asciiTheme="minorHAnsi" w:hAnsiTheme="minorHAnsi"/>
        </w:rPr>
        <w:t xml:space="preserve"> </w:t>
      </w:r>
      <w:r>
        <w:rPr>
          <w:rFonts w:asciiTheme="minorHAnsi" w:hAnsiTheme="minorHAnsi"/>
        </w:rPr>
        <w:t>These were reduced approximately 10-12%. In addition, new and vacant positions which were included in the March 2020 draft were eliminated due to the hiring freeze, further reducing PLA’s salary and benefit costs in FY21.</w:t>
      </w:r>
    </w:p>
    <w:p w14:paraId="7ACD3743" w14:textId="131E1867" w:rsidR="0074706C" w:rsidRDefault="00DC769C" w:rsidP="0074706C">
      <w:pPr>
        <w:pStyle w:val="ListParagraph"/>
        <w:numPr>
          <w:ilvl w:val="0"/>
          <w:numId w:val="22"/>
        </w:numPr>
        <w:autoSpaceDE w:val="0"/>
        <w:autoSpaceDN w:val="0"/>
        <w:adjustRightInd w:val="0"/>
        <w:rPr>
          <w:rFonts w:asciiTheme="minorHAnsi" w:hAnsiTheme="minorHAnsi"/>
        </w:rPr>
      </w:pPr>
      <w:r>
        <w:rPr>
          <w:rFonts w:asciiTheme="minorHAnsi" w:hAnsiTheme="minorHAnsi"/>
        </w:rPr>
        <w:t>D</w:t>
      </w:r>
      <w:r w:rsidR="0074706C" w:rsidRPr="0074706C">
        <w:rPr>
          <w:rFonts w:asciiTheme="minorHAnsi" w:hAnsiTheme="minorHAnsi"/>
        </w:rPr>
        <w:t>ues projections</w:t>
      </w:r>
      <w:r>
        <w:rPr>
          <w:rFonts w:asciiTheme="minorHAnsi" w:hAnsiTheme="minorHAnsi"/>
        </w:rPr>
        <w:t xml:space="preserve"> </w:t>
      </w:r>
      <w:r w:rsidR="00936857">
        <w:rPr>
          <w:rFonts w:asciiTheme="minorHAnsi" w:hAnsiTheme="minorHAnsi"/>
        </w:rPr>
        <w:t xml:space="preserve">(3000) </w:t>
      </w:r>
      <w:r>
        <w:rPr>
          <w:rFonts w:asciiTheme="minorHAnsi" w:hAnsiTheme="minorHAnsi"/>
        </w:rPr>
        <w:t>were reduced</w:t>
      </w:r>
      <w:r w:rsidR="0074706C" w:rsidRPr="0074706C">
        <w:rPr>
          <w:rFonts w:asciiTheme="minorHAnsi" w:hAnsiTheme="minorHAnsi"/>
        </w:rPr>
        <w:t xml:space="preserve"> by 30% per ALA’s suggestion</w:t>
      </w:r>
      <w:r w:rsidR="00A922CD">
        <w:rPr>
          <w:rFonts w:asciiTheme="minorHAnsi" w:hAnsiTheme="minorHAnsi"/>
        </w:rPr>
        <w:t>, anticipating a drop in membership due to the COVID-19 crisis impact on the economy</w:t>
      </w:r>
      <w:r>
        <w:rPr>
          <w:rFonts w:asciiTheme="minorHAnsi" w:hAnsiTheme="minorHAnsi"/>
        </w:rPr>
        <w:t>.</w:t>
      </w:r>
    </w:p>
    <w:p w14:paraId="7589BB29" w14:textId="4EC47F4D" w:rsidR="00936857" w:rsidRDefault="00936857" w:rsidP="0074706C">
      <w:pPr>
        <w:pStyle w:val="ListParagraph"/>
        <w:numPr>
          <w:ilvl w:val="0"/>
          <w:numId w:val="22"/>
        </w:numPr>
        <w:autoSpaceDE w:val="0"/>
        <w:autoSpaceDN w:val="0"/>
        <w:adjustRightInd w:val="0"/>
        <w:rPr>
          <w:rFonts w:asciiTheme="minorHAnsi" w:hAnsiTheme="minorHAnsi"/>
        </w:rPr>
      </w:pPr>
      <w:r>
        <w:rPr>
          <w:rFonts w:asciiTheme="minorHAnsi" w:hAnsiTheme="minorHAnsi"/>
        </w:rPr>
        <w:t>The decision to pilot electronic versions of Public Libraries magazine (3030) eliminated about $28,000 in expenses.</w:t>
      </w:r>
    </w:p>
    <w:p w14:paraId="287B88E3" w14:textId="3C76E09C" w:rsidR="00DC769C" w:rsidRPr="00505604" w:rsidRDefault="00DC769C" w:rsidP="0074706C">
      <w:pPr>
        <w:pStyle w:val="ListParagraph"/>
        <w:numPr>
          <w:ilvl w:val="0"/>
          <w:numId w:val="22"/>
        </w:numPr>
        <w:autoSpaceDE w:val="0"/>
        <w:autoSpaceDN w:val="0"/>
        <w:adjustRightInd w:val="0"/>
        <w:rPr>
          <w:rFonts w:asciiTheme="minorHAnsi" w:hAnsiTheme="minorHAnsi"/>
        </w:rPr>
      </w:pPr>
      <w:r w:rsidRPr="00505604">
        <w:rPr>
          <w:rFonts w:asciiTheme="minorHAnsi" w:hAnsiTheme="minorHAnsi"/>
        </w:rPr>
        <w:lastRenderedPageBreak/>
        <w:t xml:space="preserve">The </w:t>
      </w:r>
      <w:r w:rsidR="00B90246" w:rsidRPr="00505604">
        <w:rPr>
          <w:rFonts w:asciiTheme="minorHAnsi" w:hAnsiTheme="minorHAnsi"/>
        </w:rPr>
        <w:t xml:space="preserve">2020 </w:t>
      </w:r>
      <w:r w:rsidRPr="00505604">
        <w:rPr>
          <w:rFonts w:asciiTheme="minorHAnsi" w:hAnsiTheme="minorHAnsi"/>
        </w:rPr>
        <w:t>Inclusive Internship Initiative</w:t>
      </w:r>
      <w:r w:rsidR="00936857" w:rsidRPr="00505604">
        <w:rPr>
          <w:rFonts w:asciiTheme="minorHAnsi" w:hAnsiTheme="minorHAnsi"/>
        </w:rPr>
        <w:t xml:space="preserve"> (III) (3184/3185)</w:t>
      </w:r>
      <w:r w:rsidRPr="00505604">
        <w:rPr>
          <w:rFonts w:asciiTheme="minorHAnsi" w:hAnsiTheme="minorHAnsi"/>
        </w:rPr>
        <w:t>, funded by IMLS, was postponed</w:t>
      </w:r>
      <w:r w:rsidR="00B90246" w:rsidRPr="00505604">
        <w:rPr>
          <w:rFonts w:asciiTheme="minorHAnsi" w:hAnsiTheme="minorHAnsi"/>
        </w:rPr>
        <w:t xml:space="preserve"> to 2021. As background, since 2017, IMLS grant funds have supported the first (early summer) convening of the III cohorts, and PLA cost share funds have supported the second (fall) convening</w:t>
      </w:r>
      <w:r w:rsidR="00056787" w:rsidRPr="00505604">
        <w:rPr>
          <w:rFonts w:asciiTheme="minorHAnsi" w:hAnsiTheme="minorHAnsi"/>
        </w:rPr>
        <w:t>. As a result of</w:t>
      </w:r>
      <w:r w:rsidR="00B90246" w:rsidRPr="00505604">
        <w:rPr>
          <w:rFonts w:asciiTheme="minorHAnsi" w:hAnsiTheme="minorHAnsi"/>
        </w:rPr>
        <w:t xml:space="preserve"> postponing the 2020 grant to 2021</w:t>
      </w:r>
      <w:r w:rsidR="00056787" w:rsidRPr="00505604">
        <w:rPr>
          <w:rFonts w:asciiTheme="minorHAnsi" w:hAnsiTheme="minorHAnsi"/>
        </w:rPr>
        <w:t>, t</w:t>
      </w:r>
      <w:r w:rsidRPr="00505604">
        <w:rPr>
          <w:rFonts w:asciiTheme="minorHAnsi" w:hAnsiTheme="minorHAnsi"/>
        </w:rPr>
        <w:t>he cost share (PLA funds) expected to be spent in the fall of 2020 was eliminated</w:t>
      </w:r>
      <w:r w:rsidR="00B90246" w:rsidRPr="00505604">
        <w:rPr>
          <w:rFonts w:asciiTheme="minorHAnsi" w:hAnsiTheme="minorHAnsi"/>
        </w:rPr>
        <w:t xml:space="preserve">. </w:t>
      </w:r>
      <w:r w:rsidR="00E06A88" w:rsidRPr="00505604">
        <w:rPr>
          <w:rFonts w:asciiTheme="minorHAnsi" w:hAnsiTheme="minorHAnsi"/>
        </w:rPr>
        <w:t xml:space="preserve">IMLS grant revenue of $281,000 was budgeted for the spring of 2021, and </w:t>
      </w:r>
      <w:r w:rsidR="00B90246" w:rsidRPr="00505604">
        <w:rPr>
          <w:rFonts w:asciiTheme="minorHAnsi" w:hAnsiTheme="minorHAnsi"/>
        </w:rPr>
        <w:t>the $120,000 in PLA funds that were budgeted for the first convening of 2021</w:t>
      </w:r>
      <w:r w:rsidR="00E06A88" w:rsidRPr="00505604">
        <w:rPr>
          <w:rFonts w:asciiTheme="minorHAnsi" w:hAnsiTheme="minorHAnsi"/>
        </w:rPr>
        <w:t xml:space="preserve"> was deleted (</w:t>
      </w:r>
      <w:r w:rsidR="00056787" w:rsidRPr="00505604">
        <w:rPr>
          <w:rFonts w:asciiTheme="minorHAnsi" w:hAnsiTheme="minorHAnsi"/>
        </w:rPr>
        <w:t xml:space="preserve">as noted above, </w:t>
      </w:r>
      <w:r w:rsidR="00E06A88" w:rsidRPr="00505604">
        <w:rPr>
          <w:rFonts w:asciiTheme="minorHAnsi" w:hAnsiTheme="minorHAnsi"/>
        </w:rPr>
        <w:t xml:space="preserve">before the postponement, 2021 was </w:t>
      </w:r>
      <w:r w:rsidR="00056787" w:rsidRPr="00505604">
        <w:rPr>
          <w:rFonts w:asciiTheme="minorHAnsi" w:hAnsiTheme="minorHAnsi"/>
        </w:rPr>
        <w:t>the first year PLA expected to carry without IMLS funding</w:t>
      </w:r>
      <w:r w:rsidR="00E06A88" w:rsidRPr="00505604">
        <w:rPr>
          <w:rFonts w:asciiTheme="minorHAnsi" w:hAnsiTheme="minorHAnsi"/>
        </w:rPr>
        <w:t>).</w:t>
      </w:r>
    </w:p>
    <w:p w14:paraId="1083CCA1" w14:textId="2A138B8D" w:rsidR="00A922CD" w:rsidRDefault="00A922CD" w:rsidP="00A922CD">
      <w:pPr>
        <w:autoSpaceDE w:val="0"/>
        <w:autoSpaceDN w:val="0"/>
        <w:adjustRightInd w:val="0"/>
        <w:rPr>
          <w:rFonts w:asciiTheme="minorHAnsi" w:hAnsiTheme="minorHAnsi"/>
        </w:rPr>
      </w:pPr>
    </w:p>
    <w:p w14:paraId="56D3CD4D" w14:textId="7382A28B" w:rsidR="00A922CD" w:rsidRDefault="00A922CD" w:rsidP="00A922CD">
      <w:pPr>
        <w:autoSpaceDE w:val="0"/>
        <w:autoSpaceDN w:val="0"/>
        <w:adjustRightInd w:val="0"/>
        <w:rPr>
          <w:rFonts w:asciiTheme="minorHAnsi" w:hAnsiTheme="minorHAnsi"/>
        </w:rPr>
      </w:pPr>
      <w:r>
        <w:rPr>
          <w:rFonts w:asciiTheme="minorHAnsi" w:hAnsiTheme="minorHAnsi"/>
        </w:rPr>
        <w:t xml:space="preserve">The resulting draft reduces PLA’s net loss in the general fund to $563,947. Grant </w:t>
      </w:r>
      <w:r w:rsidR="00936857">
        <w:rPr>
          <w:rFonts w:asciiTheme="minorHAnsi" w:hAnsiTheme="minorHAnsi"/>
        </w:rPr>
        <w:t>revenue and expenses remained similar</w:t>
      </w:r>
      <w:r w:rsidR="00936857" w:rsidRPr="00936857">
        <w:rPr>
          <w:rFonts w:asciiTheme="minorHAnsi" w:hAnsiTheme="minorHAnsi"/>
        </w:rPr>
        <w:t xml:space="preserve"> </w:t>
      </w:r>
      <w:r w:rsidR="00936857">
        <w:rPr>
          <w:rFonts w:asciiTheme="minorHAnsi" w:hAnsiTheme="minorHAnsi"/>
        </w:rPr>
        <w:t>at $1,234,044, with the reduction in Legacy spending due to furloughs and elimination of open positions balanced by the addition of III spending.</w:t>
      </w:r>
    </w:p>
    <w:p w14:paraId="75A2A481" w14:textId="7B8DEC5C" w:rsidR="00936857" w:rsidRDefault="00936857" w:rsidP="00A922CD">
      <w:pPr>
        <w:autoSpaceDE w:val="0"/>
        <w:autoSpaceDN w:val="0"/>
        <w:adjustRightInd w:val="0"/>
        <w:rPr>
          <w:rFonts w:asciiTheme="minorHAnsi" w:hAnsiTheme="minorHAnsi"/>
        </w:rPr>
      </w:pPr>
    </w:p>
    <w:p w14:paraId="0EB17D3C" w14:textId="1E733170" w:rsidR="00936857" w:rsidRDefault="00936857" w:rsidP="00A922CD">
      <w:pPr>
        <w:autoSpaceDE w:val="0"/>
        <w:autoSpaceDN w:val="0"/>
        <w:adjustRightInd w:val="0"/>
        <w:rPr>
          <w:rFonts w:asciiTheme="minorHAnsi" w:hAnsiTheme="minorHAnsi"/>
        </w:rPr>
      </w:pPr>
      <w:r>
        <w:rPr>
          <w:rFonts w:asciiTheme="minorHAnsi" w:hAnsiTheme="minorHAnsi"/>
          <w:b/>
          <w:bCs/>
          <w:u w:val="single"/>
        </w:rPr>
        <w:t>Anticipated FY21 Variances</w:t>
      </w:r>
    </w:p>
    <w:p w14:paraId="443C5022" w14:textId="299AB017" w:rsidR="00936857" w:rsidRDefault="00936857" w:rsidP="00A922CD">
      <w:pPr>
        <w:autoSpaceDE w:val="0"/>
        <w:autoSpaceDN w:val="0"/>
        <w:adjustRightInd w:val="0"/>
        <w:rPr>
          <w:rFonts w:asciiTheme="minorHAnsi" w:hAnsiTheme="minorHAnsi"/>
        </w:rPr>
      </w:pPr>
    </w:p>
    <w:p w14:paraId="2E622857" w14:textId="3B0C9989" w:rsidR="0012099B" w:rsidRDefault="0012099B" w:rsidP="00A922CD">
      <w:pPr>
        <w:autoSpaceDE w:val="0"/>
        <w:autoSpaceDN w:val="0"/>
        <w:adjustRightInd w:val="0"/>
        <w:rPr>
          <w:rFonts w:asciiTheme="minorHAnsi" w:hAnsiTheme="minorHAnsi"/>
        </w:rPr>
      </w:pPr>
      <w:r>
        <w:rPr>
          <w:rFonts w:asciiTheme="minorHAnsi" w:hAnsiTheme="minorHAnsi"/>
        </w:rPr>
        <w:t>Although the budget was developed based on best estimates and ALA guidance, the PLA Board and Budget and Finance Committee should be prepared to see more significant variances in FY21 than usual.</w:t>
      </w:r>
    </w:p>
    <w:p w14:paraId="4AF7085E" w14:textId="77777777" w:rsidR="0012099B" w:rsidRDefault="0012099B" w:rsidP="00A922CD">
      <w:pPr>
        <w:autoSpaceDE w:val="0"/>
        <w:autoSpaceDN w:val="0"/>
        <w:adjustRightInd w:val="0"/>
        <w:rPr>
          <w:rFonts w:asciiTheme="minorHAnsi" w:hAnsiTheme="minorHAnsi"/>
        </w:rPr>
      </w:pPr>
    </w:p>
    <w:p w14:paraId="35A3B6D9" w14:textId="5791126B" w:rsidR="00936857" w:rsidRDefault="00936857" w:rsidP="00A922CD">
      <w:pPr>
        <w:autoSpaceDE w:val="0"/>
        <w:autoSpaceDN w:val="0"/>
        <w:adjustRightInd w:val="0"/>
        <w:rPr>
          <w:rFonts w:asciiTheme="minorHAnsi" w:hAnsiTheme="minorHAnsi"/>
          <w:i/>
          <w:iCs/>
        </w:rPr>
      </w:pPr>
      <w:r>
        <w:rPr>
          <w:rFonts w:asciiTheme="minorHAnsi" w:hAnsiTheme="minorHAnsi"/>
          <w:i/>
          <w:iCs/>
        </w:rPr>
        <w:t>General Fund</w:t>
      </w:r>
    </w:p>
    <w:p w14:paraId="21919121" w14:textId="4C5856BD" w:rsidR="00E06A88" w:rsidRPr="00505604" w:rsidRDefault="00936857" w:rsidP="00A922CD">
      <w:pPr>
        <w:autoSpaceDE w:val="0"/>
        <w:autoSpaceDN w:val="0"/>
        <w:adjustRightInd w:val="0"/>
        <w:rPr>
          <w:rFonts w:asciiTheme="minorHAnsi" w:hAnsiTheme="minorHAnsi"/>
        </w:rPr>
      </w:pPr>
      <w:r>
        <w:rPr>
          <w:rFonts w:asciiTheme="minorHAnsi" w:hAnsiTheme="minorHAnsi"/>
        </w:rPr>
        <w:t xml:space="preserve">Plans for </w:t>
      </w:r>
      <w:r w:rsidR="00941548">
        <w:rPr>
          <w:rFonts w:asciiTheme="minorHAnsi" w:hAnsiTheme="minorHAnsi"/>
        </w:rPr>
        <w:t>FY21 professional development</w:t>
      </w:r>
      <w:r>
        <w:rPr>
          <w:rFonts w:asciiTheme="minorHAnsi" w:hAnsiTheme="minorHAnsi"/>
        </w:rPr>
        <w:t xml:space="preserve"> events</w:t>
      </w:r>
      <w:r w:rsidR="00941548">
        <w:rPr>
          <w:rFonts w:asciiTheme="minorHAnsi" w:hAnsiTheme="minorHAnsi"/>
        </w:rPr>
        <w:t>, many of which would be in person,</w:t>
      </w:r>
      <w:r>
        <w:rPr>
          <w:rFonts w:asciiTheme="minorHAnsi" w:hAnsiTheme="minorHAnsi"/>
        </w:rPr>
        <w:t xml:space="preserve"> are tentative due to the uncertainty that the COVID-19 crisis has created. PLA</w:t>
      </w:r>
      <w:r w:rsidR="0012099B">
        <w:rPr>
          <w:rFonts w:asciiTheme="minorHAnsi" w:hAnsiTheme="minorHAnsi"/>
        </w:rPr>
        <w:t xml:space="preserve">’s first draft of the budget, before the crisis, included these activities, and we </w:t>
      </w:r>
      <w:r>
        <w:rPr>
          <w:rFonts w:asciiTheme="minorHAnsi" w:hAnsiTheme="minorHAnsi"/>
        </w:rPr>
        <w:t>did not make revisions</w:t>
      </w:r>
      <w:r w:rsidR="0012099B">
        <w:rPr>
          <w:rFonts w:asciiTheme="minorHAnsi" w:hAnsiTheme="minorHAnsi"/>
        </w:rPr>
        <w:t xml:space="preserve"> during subsequent cycles. These include </w:t>
      </w:r>
      <w:r>
        <w:rPr>
          <w:rFonts w:asciiTheme="minorHAnsi" w:hAnsiTheme="minorHAnsi"/>
        </w:rPr>
        <w:t xml:space="preserve">the budgets for Regional CE (3007), </w:t>
      </w:r>
      <w:r w:rsidR="00941548">
        <w:rPr>
          <w:rFonts w:asciiTheme="minorHAnsi" w:hAnsiTheme="minorHAnsi"/>
        </w:rPr>
        <w:t xml:space="preserve">Annual Conference Preconferences (3026), </w:t>
      </w:r>
      <w:r>
        <w:rPr>
          <w:rFonts w:asciiTheme="minorHAnsi" w:hAnsiTheme="minorHAnsi"/>
        </w:rPr>
        <w:t>Family Engagement (3072), Equity, Diversity and Inclusion (3073),</w:t>
      </w:r>
      <w:r w:rsidR="00941548">
        <w:rPr>
          <w:rFonts w:asciiTheme="minorHAnsi" w:hAnsiTheme="minorHAnsi"/>
        </w:rPr>
        <w:t xml:space="preserve"> and Project Outcome Regional Training (3073)</w:t>
      </w:r>
      <w:r w:rsidR="0012099B">
        <w:rPr>
          <w:rFonts w:asciiTheme="minorHAnsi" w:hAnsiTheme="minorHAnsi"/>
        </w:rPr>
        <w:t xml:space="preserve">. These </w:t>
      </w:r>
      <w:r>
        <w:rPr>
          <w:rFonts w:asciiTheme="minorHAnsi" w:hAnsiTheme="minorHAnsi"/>
        </w:rPr>
        <w:t>planned events and professional development activit</w:t>
      </w:r>
      <w:r w:rsidR="00941548">
        <w:rPr>
          <w:rFonts w:asciiTheme="minorHAnsi" w:hAnsiTheme="minorHAnsi"/>
        </w:rPr>
        <w:t>ies</w:t>
      </w:r>
      <w:r>
        <w:rPr>
          <w:rFonts w:asciiTheme="minorHAnsi" w:hAnsiTheme="minorHAnsi"/>
        </w:rPr>
        <w:t xml:space="preserve"> remain budgeted.</w:t>
      </w:r>
      <w:r w:rsidR="00941548">
        <w:rPr>
          <w:rFonts w:asciiTheme="minorHAnsi" w:hAnsiTheme="minorHAnsi"/>
        </w:rPr>
        <w:t xml:space="preserve"> PLA may or may not incur revenue or expenses in those projects, depending on what happens with the COVID-19 crisis. Given that most projects </w:t>
      </w:r>
      <w:r w:rsidR="0012099B">
        <w:rPr>
          <w:rFonts w:asciiTheme="minorHAnsi" w:hAnsiTheme="minorHAnsi"/>
        </w:rPr>
        <w:t xml:space="preserve">were budgeted to </w:t>
      </w:r>
      <w:r w:rsidR="00941548">
        <w:rPr>
          <w:rFonts w:asciiTheme="minorHAnsi" w:hAnsiTheme="minorHAnsi"/>
        </w:rPr>
        <w:t>br</w:t>
      </w:r>
      <w:r w:rsidR="0012099B">
        <w:rPr>
          <w:rFonts w:asciiTheme="minorHAnsi" w:hAnsiTheme="minorHAnsi"/>
        </w:rPr>
        <w:t>eak</w:t>
      </w:r>
      <w:r w:rsidR="00941548">
        <w:rPr>
          <w:rFonts w:asciiTheme="minorHAnsi" w:hAnsiTheme="minorHAnsi"/>
        </w:rPr>
        <w:t xml:space="preserve"> even or ma</w:t>
      </w:r>
      <w:r w:rsidR="0012099B">
        <w:rPr>
          <w:rFonts w:asciiTheme="minorHAnsi" w:hAnsiTheme="minorHAnsi"/>
        </w:rPr>
        <w:t>k</w:t>
      </w:r>
      <w:r w:rsidR="00941548">
        <w:rPr>
          <w:rFonts w:asciiTheme="minorHAnsi" w:hAnsiTheme="minorHAnsi"/>
        </w:rPr>
        <w:t>e small profits, the overall impact on PLA’s bottom line will not be significant</w:t>
      </w:r>
      <w:r w:rsidR="0012099B">
        <w:rPr>
          <w:rFonts w:asciiTheme="minorHAnsi" w:hAnsiTheme="minorHAnsi"/>
        </w:rPr>
        <w:t>,</w:t>
      </w:r>
      <w:r w:rsidR="00941548">
        <w:rPr>
          <w:rFonts w:asciiTheme="minorHAnsi" w:hAnsiTheme="minorHAnsi"/>
        </w:rPr>
        <w:t xml:space="preserve"> regardless of what happens.</w:t>
      </w:r>
      <w:r w:rsidR="00E06A88">
        <w:rPr>
          <w:rFonts w:asciiTheme="minorHAnsi" w:hAnsiTheme="minorHAnsi"/>
        </w:rPr>
        <w:t xml:space="preserve"> A summary of these projects as budgeted is below to show the potential impact to PLA and to ALA (overhead) if they do not occur as budgeted. </w:t>
      </w:r>
      <w:r w:rsidR="00E06A88" w:rsidRPr="00505604">
        <w:rPr>
          <w:rFonts w:asciiTheme="minorHAnsi" w:hAnsiTheme="minorHAnsi"/>
        </w:rPr>
        <w:t xml:space="preserve">Total overhead to ALA is budgeted at $40,182, and total net </w:t>
      </w:r>
      <w:r w:rsidR="00D0652C" w:rsidRPr="00505604">
        <w:rPr>
          <w:rFonts w:asciiTheme="minorHAnsi" w:hAnsiTheme="minorHAnsi"/>
        </w:rPr>
        <w:t>budgeted</w:t>
      </w:r>
      <w:r w:rsidR="00E06A88" w:rsidRPr="00505604">
        <w:rPr>
          <w:rFonts w:asciiTheme="minorHAnsi" w:hAnsiTheme="minorHAnsi"/>
        </w:rPr>
        <w:t xml:space="preserve"> for PLA is $47,465.</w:t>
      </w:r>
    </w:p>
    <w:p w14:paraId="09963992" w14:textId="632B5760" w:rsidR="00E06A88" w:rsidRPr="00505604" w:rsidRDefault="00E06A88" w:rsidP="00A922CD">
      <w:pPr>
        <w:autoSpaceDE w:val="0"/>
        <w:autoSpaceDN w:val="0"/>
        <w:adjustRightInd w:val="0"/>
        <w:rPr>
          <w:rFonts w:asciiTheme="minorHAnsi" w:hAnsiTheme="minorHAnsi"/>
        </w:rPr>
      </w:pPr>
    </w:p>
    <w:tbl>
      <w:tblPr>
        <w:tblW w:w="0" w:type="auto"/>
        <w:tblInd w:w="1075" w:type="dxa"/>
        <w:tblLook w:val="04A0" w:firstRow="1" w:lastRow="0" w:firstColumn="1" w:lastColumn="0" w:noHBand="0" w:noVBand="1"/>
      </w:tblPr>
      <w:tblGrid>
        <w:gridCol w:w="1740"/>
        <w:gridCol w:w="1267"/>
        <w:gridCol w:w="1304"/>
        <w:gridCol w:w="1350"/>
        <w:gridCol w:w="887"/>
      </w:tblGrid>
      <w:tr w:rsidR="00E06A88" w:rsidRPr="00505604" w14:paraId="3BB12B0B" w14:textId="77777777" w:rsidTr="00E06A88">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35B91ABA" w14:textId="77777777" w:rsidR="00E06A88" w:rsidRPr="00505604" w:rsidRDefault="00E06A88" w:rsidP="00E06A88">
            <w:pPr>
              <w:rPr>
                <w:rFonts w:ascii="Calibri" w:eastAsia="Times New Roman" w:hAnsi="Calibri" w:cs="Calibri"/>
                <w:b/>
                <w:bCs/>
                <w:i/>
                <w:iCs/>
                <w:color w:val="000000"/>
                <w:sz w:val="18"/>
                <w:szCs w:val="18"/>
              </w:rPr>
            </w:pPr>
            <w:r w:rsidRPr="00505604">
              <w:rPr>
                <w:rFonts w:ascii="Calibri" w:eastAsia="Times New Roman" w:hAnsi="Calibri" w:cs="Calibri"/>
                <w:b/>
                <w:bCs/>
                <w:i/>
                <w:i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14:paraId="194329EA"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FY21 Revenue</w:t>
            </w:r>
          </w:p>
        </w:tc>
        <w:tc>
          <w:tcPr>
            <w:tcW w:w="0" w:type="auto"/>
            <w:tcBorders>
              <w:top w:val="single" w:sz="4" w:space="0" w:color="auto"/>
              <w:left w:val="nil"/>
              <w:bottom w:val="single" w:sz="4" w:space="0" w:color="auto"/>
              <w:right w:val="single" w:sz="4" w:space="0" w:color="auto"/>
            </w:tcBorders>
            <w:shd w:val="clear" w:color="auto" w:fill="auto"/>
            <w:hideMark/>
          </w:tcPr>
          <w:p w14:paraId="40ABAF67"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FY21 Expenses</w:t>
            </w:r>
          </w:p>
        </w:tc>
        <w:tc>
          <w:tcPr>
            <w:tcW w:w="0" w:type="auto"/>
            <w:tcBorders>
              <w:top w:val="single" w:sz="4" w:space="0" w:color="auto"/>
              <w:left w:val="nil"/>
              <w:bottom w:val="single" w:sz="4" w:space="0" w:color="auto"/>
              <w:right w:val="single" w:sz="4" w:space="0" w:color="auto"/>
            </w:tcBorders>
            <w:shd w:val="clear" w:color="auto" w:fill="auto"/>
            <w:hideMark/>
          </w:tcPr>
          <w:p w14:paraId="1574E181"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FY21 Overhead</w:t>
            </w:r>
          </w:p>
        </w:tc>
        <w:tc>
          <w:tcPr>
            <w:tcW w:w="0" w:type="auto"/>
            <w:tcBorders>
              <w:top w:val="single" w:sz="4" w:space="0" w:color="auto"/>
              <w:left w:val="nil"/>
              <w:bottom w:val="single" w:sz="4" w:space="0" w:color="auto"/>
              <w:right w:val="single" w:sz="4" w:space="0" w:color="auto"/>
            </w:tcBorders>
            <w:shd w:val="clear" w:color="auto" w:fill="auto"/>
            <w:hideMark/>
          </w:tcPr>
          <w:p w14:paraId="3FFBD899" w14:textId="1A3FECE5"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FY21 Net</w:t>
            </w:r>
          </w:p>
        </w:tc>
      </w:tr>
      <w:tr w:rsidR="00E06A88" w:rsidRPr="00505604" w14:paraId="40B9CFC8"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16CD0716" w14:textId="77777777" w:rsidR="00E06A88" w:rsidRPr="00505604" w:rsidRDefault="00E06A88" w:rsidP="00E06A88">
            <w:pPr>
              <w:rPr>
                <w:rFonts w:ascii="Calibri" w:eastAsia="Times New Roman" w:hAnsi="Calibri" w:cs="Calibri"/>
                <w:color w:val="000000"/>
                <w:sz w:val="18"/>
                <w:szCs w:val="18"/>
              </w:rPr>
            </w:pPr>
            <w:r w:rsidRPr="00505604">
              <w:rPr>
                <w:rFonts w:ascii="Calibri" w:eastAsia="Times New Roman" w:hAnsi="Calibri" w:cs="Calibri"/>
                <w:color w:val="000000"/>
                <w:sz w:val="18"/>
                <w:szCs w:val="18"/>
              </w:rPr>
              <w:t>Regional CE</w:t>
            </w:r>
          </w:p>
        </w:tc>
        <w:tc>
          <w:tcPr>
            <w:tcW w:w="0" w:type="auto"/>
            <w:tcBorders>
              <w:top w:val="nil"/>
              <w:left w:val="nil"/>
              <w:bottom w:val="single" w:sz="4" w:space="0" w:color="auto"/>
              <w:right w:val="single" w:sz="4" w:space="0" w:color="auto"/>
            </w:tcBorders>
            <w:shd w:val="clear" w:color="auto" w:fill="auto"/>
            <w:noWrap/>
            <w:hideMark/>
          </w:tcPr>
          <w:p w14:paraId="52959269"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$40,000 </w:t>
            </w:r>
          </w:p>
        </w:tc>
        <w:tc>
          <w:tcPr>
            <w:tcW w:w="0" w:type="auto"/>
            <w:tcBorders>
              <w:top w:val="nil"/>
              <w:left w:val="nil"/>
              <w:bottom w:val="single" w:sz="4" w:space="0" w:color="auto"/>
              <w:right w:val="single" w:sz="4" w:space="0" w:color="auto"/>
            </w:tcBorders>
            <w:shd w:val="clear" w:color="auto" w:fill="auto"/>
            <w:noWrap/>
            <w:hideMark/>
          </w:tcPr>
          <w:p w14:paraId="4F1EA18E"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$29,900 </w:t>
            </w:r>
          </w:p>
        </w:tc>
        <w:tc>
          <w:tcPr>
            <w:tcW w:w="0" w:type="auto"/>
            <w:tcBorders>
              <w:top w:val="nil"/>
              <w:left w:val="nil"/>
              <w:bottom w:val="single" w:sz="4" w:space="0" w:color="auto"/>
              <w:right w:val="single" w:sz="4" w:space="0" w:color="auto"/>
            </w:tcBorders>
            <w:shd w:val="clear" w:color="auto" w:fill="auto"/>
            <w:noWrap/>
            <w:hideMark/>
          </w:tcPr>
          <w:p w14:paraId="6528B580"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$10,600 </w:t>
            </w:r>
          </w:p>
        </w:tc>
        <w:tc>
          <w:tcPr>
            <w:tcW w:w="0" w:type="auto"/>
            <w:tcBorders>
              <w:top w:val="nil"/>
              <w:left w:val="nil"/>
              <w:bottom w:val="single" w:sz="4" w:space="0" w:color="auto"/>
              <w:right w:val="single" w:sz="4" w:space="0" w:color="auto"/>
            </w:tcBorders>
            <w:shd w:val="clear" w:color="auto" w:fill="auto"/>
            <w:noWrap/>
            <w:hideMark/>
          </w:tcPr>
          <w:p w14:paraId="65C7E56F"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FF0000"/>
                <w:sz w:val="18"/>
                <w:szCs w:val="18"/>
              </w:rPr>
              <w:t>($500)</w:t>
            </w:r>
          </w:p>
        </w:tc>
      </w:tr>
      <w:tr w:rsidR="00E06A88" w:rsidRPr="00505604" w14:paraId="68EBD8B4"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3364FA2F" w14:textId="77777777" w:rsidR="00E06A88" w:rsidRPr="00505604" w:rsidRDefault="00E06A88" w:rsidP="00E06A88">
            <w:pPr>
              <w:rPr>
                <w:rFonts w:ascii="Calibri" w:eastAsia="Times New Roman" w:hAnsi="Calibri" w:cs="Calibri"/>
                <w:color w:val="000000"/>
                <w:sz w:val="18"/>
                <w:szCs w:val="18"/>
              </w:rPr>
            </w:pPr>
            <w:r w:rsidRPr="00505604">
              <w:rPr>
                <w:rFonts w:ascii="Calibri" w:eastAsia="Times New Roman" w:hAnsi="Calibri" w:cs="Calibri"/>
                <w:color w:val="000000"/>
                <w:sz w:val="18"/>
                <w:szCs w:val="18"/>
              </w:rPr>
              <w:t>AC Preconferences</w:t>
            </w:r>
          </w:p>
        </w:tc>
        <w:tc>
          <w:tcPr>
            <w:tcW w:w="0" w:type="auto"/>
            <w:tcBorders>
              <w:top w:val="nil"/>
              <w:left w:val="nil"/>
              <w:bottom w:val="single" w:sz="4" w:space="0" w:color="auto"/>
              <w:right w:val="single" w:sz="4" w:space="0" w:color="auto"/>
            </w:tcBorders>
            <w:shd w:val="clear" w:color="auto" w:fill="auto"/>
            <w:noWrap/>
            <w:hideMark/>
          </w:tcPr>
          <w:p w14:paraId="43DE9E56"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$18,000 </w:t>
            </w:r>
          </w:p>
        </w:tc>
        <w:tc>
          <w:tcPr>
            <w:tcW w:w="0" w:type="auto"/>
            <w:tcBorders>
              <w:top w:val="nil"/>
              <w:left w:val="nil"/>
              <w:bottom w:val="single" w:sz="4" w:space="0" w:color="auto"/>
              <w:right w:val="single" w:sz="4" w:space="0" w:color="auto"/>
            </w:tcBorders>
            <w:shd w:val="clear" w:color="auto" w:fill="auto"/>
            <w:noWrap/>
            <w:hideMark/>
          </w:tcPr>
          <w:p w14:paraId="4E6D2B19"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$7,350 </w:t>
            </w:r>
          </w:p>
        </w:tc>
        <w:tc>
          <w:tcPr>
            <w:tcW w:w="0" w:type="auto"/>
            <w:tcBorders>
              <w:top w:val="nil"/>
              <w:left w:val="nil"/>
              <w:bottom w:val="single" w:sz="4" w:space="0" w:color="auto"/>
              <w:right w:val="single" w:sz="4" w:space="0" w:color="auto"/>
            </w:tcBorders>
            <w:shd w:val="clear" w:color="auto" w:fill="auto"/>
            <w:noWrap/>
            <w:hideMark/>
          </w:tcPr>
          <w:p w14:paraId="4D1B4076"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$6,792 </w:t>
            </w:r>
          </w:p>
        </w:tc>
        <w:tc>
          <w:tcPr>
            <w:tcW w:w="0" w:type="auto"/>
            <w:tcBorders>
              <w:top w:val="nil"/>
              <w:left w:val="nil"/>
              <w:bottom w:val="single" w:sz="4" w:space="0" w:color="auto"/>
              <w:right w:val="single" w:sz="4" w:space="0" w:color="auto"/>
            </w:tcBorders>
            <w:shd w:val="clear" w:color="auto" w:fill="auto"/>
            <w:noWrap/>
            <w:hideMark/>
          </w:tcPr>
          <w:p w14:paraId="2984DBAA"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$3,858 </w:t>
            </w:r>
          </w:p>
        </w:tc>
      </w:tr>
      <w:tr w:rsidR="00E06A88" w:rsidRPr="00505604" w14:paraId="41C264CD"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3AE56A53" w14:textId="77777777" w:rsidR="00E06A88" w:rsidRPr="00505604" w:rsidRDefault="00E06A88" w:rsidP="00E06A88">
            <w:pPr>
              <w:rPr>
                <w:rFonts w:ascii="Calibri" w:eastAsia="Times New Roman" w:hAnsi="Calibri" w:cs="Calibri"/>
                <w:color w:val="000000"/>
                <w:sz w:val="18"/>
                <w:szCs w:val="18"/>
              </w:rPr>
            </w:pPr>
            <w:r w:rsidRPr="00505604">
              <w:rPr>
                <w:rFonts w:ascii="Calibri" w:eastAsia="Times New Roman" w:hAnsi="Calibri" w:cs="Calibri"/>
                <w:color w:val="000000"/>
                <w:sz w:val="18"/>
                <w:szCs w:val="18"/>
              </w:rPr>
              <w:t>Family Engagement</w:t>
            </w:r>
          </w:p>
        </w:tc>
        <w:tc>
          <w:tcPr>
            <w:tcW w:w="0" w:type="auto"/>
            <w:tcBorders>
              <w:top w:val="nil"/>
              <w:left w:val="nil"/>
              <w:bottom w:val="single" w:sz="4" w:space="0" w:color="auto"/>
              <w:right w:val="single" w:sz="4" w:space="0" w:color="auto"/>
            </w:tcBorders>
            <w:shd w:val="clear" w:color="auto" w:fill="auto"/>
            <w:noWrap/>
            <w:hideMark/>
          </w:tcPr>
          <w:p w14:paraId="0E2CD270"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$36,000 </w:t>
            </w:r>
          </w:p>
        </w:tc>
        <w:tc>
          <w:tcPr>
            <w:tcW w:w="0" w:type="auto"/>
            <w:tcBorders>
              <w:top w:val="nil"/>
              <w:left w:val="nil"/>
              <w:bottom w:val="single" w:sz="4" w:space="0" w:color="auto"/>
              <w:right w:val="single" w:sz="4" w:space="0" w:color="auto"/>
            </w:tcBorders>
            <w:shd w:val="clear" w:color="auto" w:fill="auto"/>
            <w:noWrap/>
            <w:hideMark/>
          </w:tcPr>
          <w:p w14:paraId="6891D5D2"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$12,425 </w:t>
            </w:r>
          </w:p>
        </w:tc>
        <w:tc>
          <w:tcPr>
            <w:tcW w:w="0" w:type="auto"/>
            <w:tcBorders>
              <w:top w:val="nil"/>
              <w:left w:val="nil"/>
              <w:bottom w:val="single" w:sz="4" w:space="0" w:color="auto"/>
              <w:right w:val="single" w:sz="4" w:space="0" w:color="auto"/>
            </w:tcBorders>
            <w:shd w:val="clear" w:color="auto" w:fill="auto"/>
            <w:noWrap/>
            <w:hideMark/>
          </w:tcPr>
          <w:p w14:paraId="3DC4CFE7"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$9,540 </w:t>
            </w:r>
          </w:p>
        </w:tc>
        <w:tc>
          <w:tcPr>
            <w:tcW w:w="0" w:type="auto"/>
            <w:tcBorders>
              <w:top w:val="nil"/>
              <w:left w:val="nil"/>
              <w:bottom w:val="single" w:sz="4" w:space="0" w:color="auto"/>
              <w:right w:val="single" w:sz="4" w:space="0" w:color="auto"/>
            </w:tcBorders>
            <w:shd w:val="clear" w:color="auto" w:fill="auto"/>
            <w:noWrap/>
            <w:hideMark/>
          </w:tcPr>
          <w:p w14:paraId="42689900"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$14,035 </w:t>
            </w:r>
          </w:p>
        </w:tc>
      </w:tr>
      <w:tr w:rsidR="00E06A88" w:rsidRPr="00505604" w14:paraId="0EB4F68D"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59A1D11B" w14:textId="77777777" w:rsidR="00E06A88" w:rsidRPr="00505604" w:rsidRDefault="00E06A88" w:rsidP="00E06A88">
            <w:pPr>
              <w:rPr>
                <w:rFonts w:ascii="Calibri" w:eastAsia="Times New Roman" w:hAnsi="Calibri" w:cs="Calibri"/>
                <w:color w:val="000000"/>
                <w:sz w:val="18"/>
                <w:szCs w:val="18"/>
              </w:rPr>
            </w:pPr>
            <w:r w:rsidRPr="00505604">
              <w:rPr>
                <w:rFonts w:ascii="Calibri" w:eastAsia="Times New Roman" w:hAnsi="Calibri" w:cs="Calibri"/>
                <w:color w:val="000000"/>
                <w:sz w:val="18"/>
                <w:szCs w:val="18"/>
              </w:rPr>
              <w:t>EDISJ</w:t>
            </w:r>
          </w:p>
        </w:tc>
        <w:tc>
          <w:tcPr>
            <w:tcW w:w="0" w:type="auto"/>
            <w:tcBorders>
              <w:top w:val="nil"/>
              <w:left w:val="nil"/>
              <w:bottom w:val="single" w:sz="4" w:space="0" w:color="auto"/>
              <w:right w:val="single" w:sz="4" w:space="0" w:color="auto"/>
            </w:tcBorders>
            <w:shd w:val="clear" w:color="auto" w:fill="auto"/>
            <w:noWrap/>
            <w:hideMark/>
          </w:tcPr>
          <w:p w14:paraId="2FDFE156"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$110,000 </w:t>
            </w:r>
          </w:p>
        </w:tc>
        <w:tc>
          <w:tcPr>
            <w:tcW w:w="0" w:type="auto"/>
            <w:tcBorders>
              <w:top w:val="nil"/>
              <w:left w:val="nil"/>
              <w:bottom w:val="single" w:sz="4" w:space="0" w:color="auto"/>
              <w:right w:val="single" w:sz="4" w:space="0" w:color="auto"/>
            </w:tcBorders>
            <w:shd w:val="clear" w:color="auto" w:fill="auto"/>
            <w:noWrap/>
            <w:hideMark/>
          </w:tcPr>
          <w:p w14:paraId="3AD462A1"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$71,078 </w:t>
            </w:r>
          </w:p>
        </w:tc>
        <w:tc>
          <w:tcPr>
            <w:tcW w:w="0" w:type="auto"/>
            <w:tcBorders>
              <w:top w:val="nil"/>
              <w:left w:val="nil"/>
              <w:bottom w:val="single" w:sz="4" w:space="0" w:color="auto"/>
              <w:right w:val="single" w:sz="4" w:space="0" w:color="auto"/>
            </w:tcBorders>
            <w:shd w:val="clear" w:color="auto" w:fill="auto"/>
            <w:noWrap/>
            <w:hideMark/>
          </w:tcPr>
          <w:p w14:paraId="00D891C9"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$13,250 </w:t>
            </w:r>
          </w:p>
        </w:tc>
        <w:tc>
          <w:tcPr>
            <w:tcW w:w="0" w:type="auto"/>
            <w:tcBorders>
              <w:top w:val="nil"/>
              <w:left w:val="nil"/>
              <w:bottom w:val="single" w:sz="4" w:space="0" w:color="auto"/>
              <w:right w:val="single" w:sz="4" w:space="0" w:color="auto"/>
            </w:tcBorders>
            <w:shd w:val="clear" w:color="auto" w:fill="auto"/>
            <w:noWrap/>
            <w:hideMark/>
          </w:tcPr>
          <w:p w14:paraId="0F5D7096"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$25,672 </w:t>
            </w:r>
          </w:p>
        </w:tc>
      </w:tr>
      <w:tr w:rsidR="00E06A88" w:rsidRPr="00505604" w14:paraId="5F3BAE5D"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4F6325D9" w14:textId="77777777" w:rsidR="00E06A88" w:rsidRPr="00505604" w:rsidRDefault="00E06A88" w:rsidP="00E06A88">
            <w:pPr>
              <w:rPr>
                <w:rFonts w:ascii="Calibri" w:eastAsia="Times New Roman" w:hAnsi="Calibri" w:cs="Calibri"/>
                <w:sz w:val="18"/>
                <w:szCs w:val="18"/>
              </w:rPr>
            </w:pPr>
            <w:r w:rsidRPr="00505604">
              <w:rPr>
                <w:rFonts w:ascii="Calibri" w:eastAsia="Times New Roman" w:hAnsi="Calibri" w:cs="Calibri"/>
                <w:sz w:val="18"/>
                <w:szCs w:val="18"/>
              </w:rPr>
              <w:t>PORT</w:t>
            </w:r>
          </w:p>
        </w:tc>
        <w:tc>
          <w:tcPr>
            <w:tcW w:w="0" w:type="auto"/>
            <w:tcBorders>
              <w:top w:val="nil"/>
              <w:left w:val="nil"/>
              <w:bottom w:val="single" w:sz="4" w:space="0" w:color="auto"/>
              <w:right w:val="single" w:sz="4" w:space="0" w:color="auto"/>
            </w:tcBorders>
            <w:shd w:val="clear" w:color="auto" w:fill="auto"/>
            <w:noWrap/>
            <w:hideMark/>
          </w:tcPr>
          <w:p w14:paraId="29AFD4E1"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$7,000 </w:t>
            </w:r>
          </w:p>
        </w:tc>
        <w:tc>
          <w:tcPr>
            <w:tcW w:w="0" w:type="auto"/>
            <w:tcBorders>
              <w:top w:val="nil"/>
              <w:left w:val="nil"/>
              <w:bottom w:val="single" w:sz="4" w:space="0" w:color="auto"/>
              <w:right w:val="single" w:sz="4" w:space="0" w:color="auto"/>
            </w:tcBorders>
            <w:shd w:val="clear" w:color="auto" w:fill="auto"/>
            <w:noWrap/>
            <w:hideMark/>
          </w:tcPr>
          <w:p w14:paraId="59869234"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$2,600 </w:t>
            </w:r>
          </w:p>
        </w:tc>
        <w:tc>
          <w:tcPr>
            <w:tcW w:w="0" w:type="auto"/>
            <w:tcBorders>
              <w:top w:val="nil"/>
              <w:left w:val="nil"/>
              <w:bottom w:val="single" w:sz="4" w:space="0" w:color="auto"/>
              <w:right w:val="single" w:sz="4" w:space="0" w:color="auto"/>
            </w:tcBorders>
            <w:shd w:val="clear" w:color="auto" w:fill="auto"/>
            <w:noWrap/>
            <w:hideMark/>
          </w:tcPr>
          <w:p w14:paraId="1AA3C642"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$0 </w:t>
            </w:r>
          </w:p>
        </w:tc>
        <w:tc>
          <w:tcPr>
            <w:tcW w:w="0" w:type="auto"/>
            <w:tcBorders>
              <w:top w:val="nil"/>
              <w:left w:val="nil"/>
              <w:bottom w:val="single" w:sz="4" w:space="0" w:color="auto"/>
              <w:right w:val="single" w:sz="4" w:space="0" w:color="auto"/>
            </w:tcBorders>
            <w:shd w:val="clear" w:color="auto" w:fill="auto"/>
            <w:noWrap/>
            <w:hideMark/>
          </w:tcPr>
          <w:p w14:paraId="17F9A500" w14:textId="77777777" w:rsidR="00E06A88" w:rsidRPr="00505604" w:rsidRDefault="00E06A88" w:rsidP="00E06A88">
            <w:pPr>
              <w:jc w:val="right"/>
              <w:rPr>
                <w:rFonts w:ascii="Calibri" w:eastAsia="Times New Roman" w:hAnsi="Calibri" w:cs="Calibri"/>
                <w:color w:val="000000"/>
                <w:sz w:val="18"/>
                <w:szCs w:val="18"/>
              </w:rPr>
            </w:pPr>
            <w:r w:rsidRPr="00505604">
              <w:rPr>
                <w:rFonts w:ascii="Calibri" w:eastAsia="Times New Roman" w:hAnsi="Calibri" w:cs="Calibri"/>
                <w:color w:val="000000"/>
                <w:sz w:val="18"/>
                <w:szCs w:val="18"/>
              </w:rPr>
              <w:t xml:space="preserve">$4,400 </w:t>
            </w:r>
          </w:p>
        </w:tc>
      </w:tr>
      <w:tr w:rsidR="00E06A88" w:rsidRPr="00E06A88" w14:paraId="105E4C8D" w14:textId="77777777" w:rsidTr="00E06A88">
        <w:tc>
          <w:tcPr>
            <w:tcW w:w="1740" w:type="dxa"/>
            <w:tcBorders>
              <w:top w:val="nil"/>
              <w:left w:val="single" w:sz="4" w:space="0" w:color="auto"/>
              <w:bottom w:val="single" w:sz="4" w:space="0" w:color="auto"/>
              <w:right w:val="single" w:sz="4" w:space="0" w:color="auto"/>
            </w:tcBorders>
            <w:shd w:val="clear" w:color="auto" w:fill="auto"/>
            <w:noWrap/>
            <w:hideMark/>
          </w:tcPr>
          <w:p w14:paraId="0F9D1CED" w14:textId="77777777" w:rsidR="00E06A88" w:rsidRPr="00505604" w:rsidRDefault="00E06A88" w:rsidP="00E06A88">
            <w:pPr>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96B5C3C"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 xml:space="preserve">$211,000 </w:t>
            </w:r>
          </w:p>
        </w:tc>
        <w:tc>
          <w:tcPr>
            <w:tcW w:w="0" w:type="auto"/>
            <w:tcBorders>
              <w:top w:val="nil"/>
              <w:left w:val="nil"/>
              <w:bottom w:val="single" w:sz="4" w:space="0" w:color="auto"/>
              <w:right w:val="single" w:sz="4" w:space="0" w:color="auto"/>
            </w:tcBorders>
            <w:shd w:val="clear" w:color="auto" w:fill="auto"/>
            <w:noWrap/>
            <w:vAlign w:val="bottom"/>
            <w:hideMark/>
          </w:tcPr>
          <w:p w14:paraId="46BE1CBF"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 xml:space="preserve">$123,353 </w:t>
            </w:r>
          </w:p>
        </w:tc>
        <w:tc>
          <w:tcPr>
            <w:tcW w:w="0" w:type="auto"/>
            <w:tcBorders>
              <w:top w:val="nil"/>
              <w:left w:val="nil"/>
              <w:bottom w:val="single" w:sz="4" w:space="0" w:color="auto"/>
              <w:right w:val="single" w:sz="4" w:space="0" w:color="auto"/>
            </w:tcBorders>
            <w:shd w:val="clear" w:color="auto" w:fill="auto"/>
            <w:noWrap/>
            <w:vAlign w:val="bottom"/>
            <w:hideMark/>
          </w:tcPr>
          <w:p w14:paraId="0661B903" w14:textId="77777777" w:rsidR="00E06A88" w:rsidRPr="00505604"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 xml:space="preserve">$40,182 </w:t>
            </w:r>
          </w:p>
        </w:tc>
        <w:tc>
          <w:tcPr>
            <w:tcW w:w="0" w:type="auto"/>
            <w:tcBorders>
              <w:top w:val="nil"/>
              <w:left w:val="nil"/>
              <w:bottom w:val="single" w:sz="4" w:space="0" w:color="auto"/>
              <w:right w:val="single" w:sz="4" w:space="0" w:color="auto"/>
            </w:tcBorders>
            <w:shd w:val="clear" w:color="auto" w:fill="auto"/>
            <w:noWrap/>
            <w:vAlign w:val="bottom"/>
            <w:hideMark/>
          </w:tcPr>
          <w:p w14:paraId="6E035199" w14:textId="77777777" w:rsidR="00E06A88" w:rsidRPr="00E06A88" w:rsidRDefault="00E06A88" w:rsidP="00E06A88">
            <w:pPr>
              <w:jc w:val="right"/>
              <w:rPr>
                <w:rFonts w:ascii="Calibri" w:eastAsia="Times New Roman" w:hAnsi="Calibri" w:cs="Calibri"/>
                <w:b/>
                <w:bCs/>
                <w:color w:val="000000"/>
                <w:sz w:val="18"/>
                <w:szCs w:val="18"/>
              </w:rPr>
            </w:pPr>
            <w:r w:rsidRPr="00505604">
              <w:rPr>
                <w:rFonts w:ascii="Calibri" w:eastAsia="Times New Roman" w:hAnsi="Calibri" w:cs="Calibri"/>
                <w:b/>
                <w:bCs/>
                <w:color w:val="000000"/>
                <w:sz w:val="18"/>
                <w:szCs w:val="18"/>
              </w:rPr>
              <w:t>$47,465</w:t>
            </w:r>
            <w:r w:rsidRPr="00E06A88">
              <w:rPr>
                <w:rFonts w:ascii="Calibri" w:eastAsia="Times New Roman" w:hAnsi="Calibri" w:cs="Calibri"/>
                <w:b/>
                <w:bCs/>
                <w:color w:val="000000"/>
                <w:sz w:val="18"/>
                <w:szCs w:val="18"/>
              </w:rPr>
              <w:t xml:space="preserve"> </w:t>
            </w:r>
          </w:p>
        </w:tc>
      </w:tr>
    </w:tbl>
    <w:p w14:paraId="01FE6C80" w14:textId="189508C6" w:rsidR="00941548" w:rsidRDefault="00941548" w:rsidP="00A922CD">
      <w:pPr>
        <w:autoSpaceDE w:val="0"/>
        <w:autoSpaceDN w:val="0"/>
        <w:adjustRightInd w:val="0"/>
        <w:rPr>
          <w:rFonts w:asciiTheme="minorHAnsi" w:hAnsiTheme="minorHAnsi"/>
        </w:rPr>
      </w:pPr>
    </w:p>
    <w:p w14:paraId="61B6501B" w14:textId="3E58A520" w:rsidR="00936857" w:rsidRDefault="00941548" w:rsidP="00A922CD">
      <w:pPr>
        <w:autoSpaceDE w:val="0"/>
        <w:autoSpaceDN w:val="0"/>
        <w:adjustRightInd w:val="0"/>
        <w:rPr>
          <w:rFonts w:asciiTheme="minorHAnsi" w:hAnsiTheme="minorHAnsi"/>
        </w:rPr>
      </w:pPr>
      <w:r>
        <w:rPr>
          <w:rFonts w:asciiTheme="minorHAnsi" w:hAnsiTheme="minorHAnsi"/>
        </w:rPr>
        <w:t xml:space="preserve">Otherwise, the COVID-19 crisis </w:t>
      </w:r>
      <w:r w:rsidR="0012099B">
        <w:rPr>
          <w:rFonts w:asciiTheme="minorHAnsi" w:hAnsiTheme="minorHAnsi"/>
        </w:rPr>
        <w:t>will</w:t>
      </w:r>
      <w:r>
        <w:rPr>
          <w:rFonts w:asciiTheme="minorHAnsi" w:hAnsiTheme="minorHAnsi"/>
        </w:rPr>
        <w:t xml:space="preserve"> also impact librarians’ finances, so PLA might anticipate variances in Service to Members (3000) related to dues</w:t>
      </w:r>
      <w:r w:rsidR="0012099B">
        <w:rPr>
          <w:rFonts w:asciiTheme="minorHAnsi" w:hAnsiTheme="minorHAnsi"/>
        </w:rPr>
        <w:t>,</w:t>
      </w:r>
      <w:r>
        <w:rPr>
          <w:rFonts w:asciiTheme="minorHAnsi" w:hAnsiTheme="minorHAnsi"/>
        </w:rPr>
        <w:t xml:space="preserve"> and in the projects that include publication </w:t>
      </w:r>
      <w:r w:rsidR="0012099B">
        <w:rPr>
          <w:rFonts w:asciiTheme="minorHAnsi" w:hAnsiTheme="minorHAnsi"/>
        </w:rPr>
        <w:t>and</w:t>
      </w:r>
      <w:r>
        <w:rPr>
          <w:rFonts w:asciiTheme="minorHAnsi" w:hAnsiTheme="minorHAnsi"/>
        </w:rPr>
        <w:t xml:space="preserve"> paid webinar revenue</w:t>
      </w:r>
      <w:r w:rsidR="0012099B">
        <w:rPr>
          <w:rFonts w:asciiTheme="minorHAnsi" w:hAnsiTheme="minorHAnsi"/>
        </w:rPr>
        <w:t xml:space="preserve">. These are </w:t>
      </w:r>
      <w:r>
        <w:rPr>
          <w:rFonts w:asciiTheme="minorHAnsi" w:hAnsiTheme="minorHAnsi"/>
        </w:rPr>
        <w:t xml:space="preserve">already budgeted conservatively, so variances should not be significant. </w:t>
      </w:r>
    </w:p>
    <w:p w14:paraId="73A9B0E8" w14:textId="77777777" w:rsidR="00936857" w:rsidRPr="00936857" w:rsidRDefault="00936857" w:rsidP="00A922CD">
      <w:pPr>
        <w:autoSpaceDE w:val="0"/>
        <w:autoSpaceDN w:val="0"/>
        <w:adjustRightInd w:val="0"/>
        <w:rPr>
          <w:rFonts w:asciiTheme="minorHAnsi" w:hAnsiTheme="minorHAnsi"/>
        </w:rPr>
      </w:pPr>
    </w:p>
    <w:p w14:paraId="6FF6A450" w14:textId="77777777" w:rsidR="00941548" w:rsidRDefault="00941548" w:rsidP="00A922CD">
      <w:pPr>
        <w:autoSpaceDE w:val="0"/>
        <w:autoSpaceDN w:val="0"/>
        <w:adjustRightInd w:val="0"/>
        <w:rPr>
          <w:rFonts w:asciiTheme="minorHAnsi" w:hAnsiTheme="minorHAnsi"/>
          <w:i/>
          <w:iCs/>
        </w:rPr>
      </w:pPr>
      <w:r>
        <w:rPr>
          <w:rFonts w:asciiTheme="minorHAnsi" w:hAnsiTheme="minorHAnsi"/>
          <w:i/>
          <w:iCs/>
        </w:rPr>
        <w:t>Grants</w:t>
      </w:r>
    </w:p>
    <w:p w14:paraId="5354ABC7" w14:textId="22282A1F" w:rsidR="00936857" w:rsidRDefault="00936857" w:rsidP="00A922CD">
      <w:pPr>
        <w:autoSpaceDE w:val="0"/>
        <w:autoSpaceDN w:val="0"/>
        <w:adjustRightInd w:val="0"/>
        <w:rPr>
          <w:rFonts w:asciiTheme="minorHAnsi" w:hAnsiTheme="minorHAnsi"/>
        </w:rPr>
      </w:pPr>
      <w:r>
        <w:rPr>
          <w:rFonts w:asciiTheme="minorHAnsi" w:hAnsiTheme="minorHAnsi"/>
        </w:rPr>
        <w:t xml:space="preserve">During the final budget revision, PLA was advised not to budget for </w:t>
      </w:r>
      <w:r w:rsidR="00941548">
        <w:rPr>
          <w:rFonts w:asciiTheme="minorHAnsi" w:hAnsiTheme="minorHAnsi"/>
        </w:rPr>
        <w:t>new grant funds that had been confirmed over the summer</w:t>
      </w:r>
      <w:r w:rsidR="007E02C5">
        <w:rPr>
          <w:rFonts w:asciiTheme="minorHAnsi" w:hAnsiTheme="minorHAnsi"/>
        </w:rPr>
        <w:t xml:space="preserve">. </w:t>
      </w:r>
      <w:r w:rsidR="007E02C5" w:rsidRPr="00505604">
        <w:rPr>
          <w:rFonts w:asciiTheme="minorHAnsi" w:hAnsiTheme="minorHAnsi"/>
        </w:rPr>
        <w:t>PLA sent Finance staff funding and overhead amounts for these new grants and was told if the overhead flowing to the general fund was “minimal,” we should “leave them unbudgeted at this late stage.”</w:t>
      </w:r>
      <w:r w:rsidR="00941548" w:rsidRPr="00505604">
        <w:rPr>
          <w:rFonts w:asciiTheme="minorHAnsi" w:hAnsiTheme="minorHAnsi"/>
        </w:rPr>
        <w:t xml:space="preserve"> </w:t>
      </w:r>
      <w:proofErr w:type="gramStart"/>
      <w:r w:rsidR="00941548" w:rsidRPr="00505604">
        <w:rPr>
          <w:rFonts w:asciiTheme="minorHAnsi" w:hAnsiTheme="minorHAnsi"/>
        </w:rPr>
        <w:t>So</w:t>
      </w:r>
      <w:proofErr w:type="gramEnd"/>
      <w:r w:rsidR="00941548" w:rsidRPr="00505604">
        <w:rPr>
          <w:rFonts w:asciiTheme="minorHAnsi" w:hAnsiTheme="minorHAnsi"/>
        </w:rPr>
        <w:t xml:space="preserve"> the following are NOT included in the FY21 budget but will have revenue, expenses and overhead.</w:t>
      </w:r>
    </w:p>
    <w:p w14:paraId="59E71D68" w14:textId="58FF6063" w:rsidR="00941548" w:rsidRDefault="00941548" w:rsidP="00941548">
      <w:pPr>
        <w:pStyle w:val="ListParagraph"/>
        <w:numPr>
          <w:ilvl w:val="0"/>
          <w:numId w:val="22"/>
        </w:numPr>
        <w:autoSpaceDE w:val="0"/>
        <w:autoSpaceDN w:val="0"/>
        <w:adjustRightInd w:val="0"/>
        <w:rPr>
          <w:rFonts w:asciiTheme="minorHAnsi" w:hAnsiTheme="minorHAnsi"/>
        </w:rPr>
      </w:pPr>
      <w:r>
        <w:rPr>
          <w:rFonts w:asciiTheme="minorHAnsi" w:hAnsiTheme="minorHAnsi"/>
        </w:rPr>
        <w:lastRenderedPageBreak/>
        <w:t xml:space="preserve">IMLS Family Engagement Grant: PLA received a $99,949 award, which aligns with the ALA fiscal year (September 1, 2020 to August 31, 2021). </w:t>
      </w:r>
      <w:r w:rsidR="00392C22">
        <w:rPr>
          <w:rFonts w:asciiTheme="minorHAnsi" w:hAnsiTheme="minorHAnsi"/>
        </w:rPr>
        <w:t>This is a new project.</w:t>
      </w:r>
    </w:p>
    <w:p w14:paraId="58219A4B" w14:textId="312643E0" w:rsidR="00392C22" w:rsidRDefault="00392C22" w:rsidP="00941548">
      <w:pPr>
        <w:pStyle w:val="ListParagraph"/>
        <w:numPr>
          <w:ilvl w:val="0"/>
          <w:numId w:val="22"/>
        </w:numPr>
        <w:autoSpaceDE w:val="0"/>
        <w:autoSpaceDN w:val="0"/>
        <w:adjustRightInd w:val="0"/>
        <w:rPr>
          <w:rFonts w:asciiTheme="minorHAnsi" w:hAnsiTheme="minorHAnsi"/>
        </w:rPr>
      </w:pPr>
      <w:r w:rsidRPr="00392C22">
        <w:rPr>
          <w:rFonts w:asciiTheme="minorHAnsi" w:hAnsiTheme="minorHAnsi"/>
        </w:rPr>
        <w:t>RWJF/CC Insurance Outreach</w:t>
      </w:r>
      <w:r>
        <w:rPr>
          <w:rFonts w:asciiTheme="minorHAnsi" w:hAnsiTheme="minorHAnsi"/>
        </w:rPr>
        <w:t>: PLA’s insurance outreach project was renewed, and a new project to focus on Medicaid was added, for a total of $257,824 in funding. These projects will run July 2020 to June 2021.</w:t>
      </w:r>
    </w:p>
    <w:p w14:paraId="2406ACC9" w14:textId="4F1E740B" w:rsidR="00392C22" w:rsidRDefault="00392C22" w:rsidP="00941548">
      <w:pPr>
        <w:pStyle w:val="ListParagraph"/>
        <w:numPr>
          <w:ilvl w:val="0"/>
          <w:numId w:val="22"/>
        </w:numPr>
        <w:autoSpaceDE w:val="0"/>
        <w:autoSpaceDN w:val="0"/>
        <w:adjustRightInd w:val="0"/>
        <w:rPr>
          <w:rFonts w:asciiTheme="minorHAnsi" w:hAnsiTheme="minorHAnsi"/>
        </w:rPr>
      </w:pPr>
      <w:r>
        <w:rPr>
          <w:rFonts w:asciiTheme="minorHAnsi" w:hAnsiTheme="minorHAnsi"/>
        </w:rPr>
        <w:t xml:space="preserve">Microsoft: PLA will receive </w:t>
      </w:r>
      <w:r w:rsidR="00C918AB">
        <w:rPr>
          <w:rFonts w:asciiTheme="minorHAnsi" w:hAnsiTheme="minorHAnsi"/>
        </w:rPr>
        <w:t>at least an</w:t>
      </w:r>
      <w:r>
        <w:rPr>
          <w:rFonts w:asciiTheme="minorHAnsi" w:hAnsiTheme="minorHAnsi"/>
        </w:rPr>
        <w:t xml:space="preserve"> additional $100,000 in grant funds in September 2020 from Microsoft. That grant has not been budgeted, nor has the remaining spend down of the $500,000 received in FY19 and FY20</w:t>
      </w:r>
      <w:r w:rsidR="00C918AB">
        <w:rPr>
          <w:rFonts w:asciiTheme="minorHAnsi" w:hAnsiTheme="minorHAnsi"/>
        </w:rPr>
        <w:t>,</w:t>
      </w:r>
      <w:r>
        <w:rPr>
          <w:rFonts w:asciiTheme="minorHAnsi" w:hAnsiTheme="minorHAnsi"/>
        </w:rPr>
        <w:t xml:space="preserve"> </w:t>
      </w:r>
      <w:r w:rsidR="00C918AB">
        <w:rPr>
          <w:rFonts w:asciiTheme="minorHAnsi" w:hAnsiTheme="minorHAnsi"/>
        </w:rPr>
        <w:t>because PLA is unable to project remaining spending without ALA’s monthly reports</w:t>
      </w:r>
      <w:r>
        <w:rPr>
          <w:rFonts w:asciiTheme="minorHAnsi" w:hAnsiTheme="minorHAnsi"/>
        </w:rPr>
        <w:t>.</w:t>
      </w:r>
    </w:p>
    <w:p w14:paraId="39FAFBB6" w14:textId="3BCFA650" w:rsidR="00392C22" w:rsidRPr="00392C22" w:rsidRDefault="0012099B" w:rsidP="00392C22">
      <w:pPr>
        <w:autoSpaceDE w:val="0"/>
        <w:autoSpaceDN w:val="0"/>
        <w:adjustRightInd w:val="0"/>
        <w:rPr>
          <w:rFonts w:asciiTheme="minorHAnsi" w:hAnsiTheme="minorHAnsi"/>
        </w:rPr>
      </w:pPr>
      <w:r>
        <w:rPr>
          <w:rFonts w:asciiTheme="minorHAnsi" w:hAnsiTheme="minorHAnsi"/>
        </w:rPr>
        <w:t>These new grants total about $4</w:t>
      </w:r>
      <w:r w:rsidR="00C918AB">
        <w:rPr>
          <w:rFonts w:asciiTheme="minorHAnsi" w:hAnsiTheme="minorHAnsi"/>
        </w:rPr>
        <w:t>5</w:t>
      </w:r>
      <w:r>
        <w:rPr>
          <w:rFonts w:asciiTheme="minorHAnsi" w:hAnsiTheme="minorHAnsi"/>
        </w:rPr>
        <w:t xml:space="preserve">0,000 in spending, which is not in the budget. </w:t>
      </w:r>
      <w:r w:rsidR="00392C22">
        <w:rPr>
          <w:rFonts w:asciiTheme="minorHAnsi" w:hAnsiTheme="minorHAnsi"/>
        </w:rPr>
        <w:t>Overhead to ALA across the above new grant projects will total $40-50,000, which is also not budgeted.</w:t>
      </w:r>
    </w:p>
    <w:p w14:paraId="06728008" w14:textId="71A66EC5" w:rsidR="00941548" w:rsidRDefault="00941548" w:rsidP="00A922CD">
      <w:pPr>
        <w:autoSpaceDE w:val="0"/>
        <w:autoSpaceDN w:val="0"/>
        <w:adjustRightInd w:val="0"/>
        <w:rPr>
          <w:rFonts w:asciiTheme="minorHAnsi" w:hAnsiTheme="minorHAnsi"/>
        </w:rPr>
      </w:pPr>
    </w:p>
    <w:p w14:paraId="18F480CB" w14:textId="209905AA" w:rsidR="00941548" w:rsidRDefault="00941548" w:rsidP="00A922CD">
      <w:pPr>
        <w:autoSpaceDE w:val="0"/>
        <w:autoSpaceDN w:val="0"/>
        <w:adjustRightInd w:val="0"/>
        <w:rPr>
          <w:rFonts w:asciiTheme="minorHAnsi" w:hAnsiTheme="minorHAnsi"/>
        </w:rPr>
      </w:pPr>
      <w:r>
        <w:rPr>
          <w:rFonts w:asciiTheme="minorHAnsi" w:hAnsiTheme="minorHAnsi"/>
        </w:rPr>
        <w:t xml:space="preserve">Furthermore, because FY20 data is only available through February 2020, status of spending on the Gates </w:t>
      </w:r>
      <w:proofErr w:type="spellStart"/>
      <w:r>
        <w:rPr>
          <w:rFonts w:asciiTheme="minorHAnsi" w:hAnsiTheme="minorHAnsi"/>
        </w:rPr>
        <w:t>GenOps</w:t>
      </w:r>
      <w:proofErr w:type="spellEnd"/>
      <w:r>
        <w:rPr>
          <w:rFonts w:asciiTheme="minorHAnsi" w:hAnsiTheme="minorHAnsi"/>
        </w:rPr>
        <w:t xml:space="preserve"> (3177) and </w:t>
      </w:r>
      <w:proofErr w:type="spellStart"/>
      <w:r>
        <w:rPr>
          <w:rFonts w:asciiTheme="minorHAnsi" w:hAnsiTheme="minorHAnsi"/>
        </w:rPr>
        <w:t>AfLIA</w:t>
      </w:r>
      <w:proofErr w:type="spellEnd"/>
      <w:r>
        <w:rPr>
          <w:rFonts w:asciiTheme="minorHAnsi" w:hAnsiTheme="minorHAnsi"/>
        </w:rPr>
        <w:t xml:space="preserve"> (3176) grants is unknown. PLA’s intent was to spend down and close out both projects in FY20. However, either projects may have balances due to </w:t>
      </w:r>
      <w:r w:rsidRPr="00936857">
        <w:rPr>
          <w:rFonts w:asciiTheme="minorHAnsi" w:hAnsiTheme="minorHAnsi"/>
        </w:rPr>
        <w:t>slower spending</w:t>
      </w:r>
      <w:r>
        <w:rPr>
          <w:rFonts w:asciiTheme="minorHAnsi" w:hAnsiTheme="minorHAnsi"/>
        </w:rPr>
        <w:t xml:space="preserve"> and </w:t>
      </w:r>
      <w:r w:rsidRPr="00936857">
        <w:rPr>
          <w:rFonts w:asciiTheme="minorHAnsi" w:hAnsiTheme="minorHAnsi"/>
        </w:rPr>
        <w:t>open positions</w:t>
      </w:r>
      <w:r>
        <w:rPr>
          <w:rFonts w:asciiTheme="minorHAnsi" w:hAnsiTheme="minorHAnsi"/>
        </w:rPr>
        <w:t>, which could be spent down in FY21.</w:t>
      </w:r>
    </w:p>
    <w:p w14:paraId="4D9918E4" w14:textId="055CCFDA" w:rsidR="00936857" w:rsidRDefault="00936857" w:rsidP="00A922CD">
      <w:pPr>
        <w:autoSpaceDE w:val="0"/>
        <w:autoSpaceDN w:val="0"/>
        <w:adjustRightInd w:val="0"/>
        <w:rPr>
          <w:rFonts w:asciiTheme="minorHAnsi" w:hAnsiTheme="minorHAnsi"/>
        </w:rPr>
      </w:pPr>
    </w:p>
    <w:p w14:paraId="631878AE" w14:textId="77777777" w:rsidR="00936857" w:rsidRPr="00936857" w:rsidRDefault="00936857" w:rsidP="00A922CD">
      <w:pPr>
        <w:autoSpaceDE w:val="0"/>
        <w:autoSpaceDN w:val="0"/>
        <w:adjustRightInd w:val="0"/>
        <w:rPr>
          <w:rFonts w:asciiTheme="minorHAnsi" w:hAnsiTheme="minorHAnsi"/>
        </w:rPr>
      </w:pPr>
    </w:p>
    <w:sectPr w:rsidR="00936857" w:rsidRPr="00936857" w:rsidSect="000F781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F3BA" w14:textId="77777777" w:rsidR="005F09F0" w:rsidRDefault="005F09F0" w:rsidP="00835953">
      <w:r>
        <w:separator/>
      </w:r>
    </w:p>
  </w:endnote>
  <w:endnote w:type="continuationSeparator" w:id="0">
    <w:p w14:paraId="5D225F33" w14:textId="77777777" w:rsidR="005F09F0" w:rsidRDefault="005F09F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3E8E7DE"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CB12FB">
          <w:rPr>
            <w:rFonts w:asciiTheme="minorHAnsi" w:hAnsiTheme="minorHAnsi"/>
            <w:noProof/>
          </w:rPr>
          <w:t>1</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D9BA" w14:textId="77777777" w:rsidR="005F09F0" w:rsidRDefault="005F09F0" w:rsidP="00835953">
      <w:r>
        <w:separator/>
      </w:r>
    </w:p>
  </w:footnote>
  <w:footnote w:type="continuationSeparator" w:id="0">
    <w:p w14:paraId="4F63ACD1" w14:textId="77777777" w:rsidR="005F09F0" w:rsidRDefault="005F09F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9E5D" w14:textId="77777777" w:rsidR="004E1F38" w:rsidRPr="00503641" w:rsidRDefault="004E1F38" w:rsidP="000F7818">
    <w:pPr>
      <w:pStyle w:val="Header"/>
      <w:jc w:val="right"/>
      <w:rPr>
        <w:rFonts w:asciiTheme="minorHAnsi" w:hAnsiTheme="minorHAnsi"/>
      </w:rPr>
    </w:pPr>
    <w:r w:rsidRPr="00503641">
      <w:rPr>
        <w:rFonts w:asciiTheme="minorHAnsi" w:hAnsiTheme="minorHAnsi"/>
      </w:rPr>
      <w:t>PLA Board of Directors</w:t>
    </w:r>
  </w:p>
  <w:p w14:paraId="78ED01D7" w14:textId="0A985179" w:rsidR="00835953" w:rsidRDefault="00056731" w:rsidP="000F7818">
    <w:pPr>
      <w:pStyle w:val="Header"/>
      <w:tabs>
        <w:tab w:val="left" w:pos="5280"/>
      </w:tabs>
      <w:jc w:val="right"/>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611666">
      <w:rPr>
        <w:rFonts w:asciiTheme="minorHAnsi" w:hAnsiTheme="minorHAnsi"/>
      </w:rPr>
      <w:t>September</w:t>
    </w:r>
    <w:r w:rsidR="00D51178">
      <w:rPr>
        <w:rFonts w:asciiTheme="minorHAnsi" w:hAnsiTheme="minorHAnsi"/>
      </w:rPr>
      <w:t xml:space="preserve"> </w:t>
    </w:r>
    <w:r w:rsidR="00113326">
      <w:rPr>
        <w:rFonts w:asciiTheme="minorHAnsi" w:hAnsiTheme="minorHAnsi"/>
      </w:rPr>
      <w:t xml:space="preserve">18, </w:t>
    </w:r>
    <w:r w:rsidR="0081313B">
      <w:rPr>
        <w:rFonts w:asciiTheme="minorHAnsi" w:hAnsiTheme="minorHAnsi"/>
      </w:rPr>
      <w:t>2020 Virtual</w:t>
    </w:r>
    <w:r w:rsidR="00CB12FB">
      <w:rPr>
        <w:rFonts w:asciiTheme="minorHAnsi" w:hAnsiTheme="minorHAnsi"/>
      </w:rPr>
      <w:t xml:space="preserve"> Meeting</w:t>
    </w:r>
  </w:p>
  <w:p w14:paraId="5A895661" w14:textId="77142D21" w:rsidR="003738B0" w:rsidRDefault="0081313B" w:rsidP="00D51178">
    <w:pPr>
      <w:pStyle w:val="Header"/>
      <w:tabs>
        <w:tab w:val="left" w:pos="5280"/>
      </w:tabs>
      <w:jc w:val="right"/>
      <w:rPr>
        <w:rFonts w:asciiTheme="minorHAnsi" w:hAnsiTheme="minorHAnsi"/>
      </w:rPr>
    </w:pPr>
    <w:r>
      <w:rPr>
        <w:rFonts w:asciiTheme="minorHAnsi" w:hAnsiTheme="minorHAnsi"/>
      </w:rPr>
      <w:t xml:space="preserve">Document no.: </w:t>
    </w:r>
    <w:r w:rsidR="000F7818">
      <w:rPr>
        <w:rFonts w:asciiTheme="minorHAnsi" w:hAnsiTheme="minorHAnsi"/>
      </w:rPr>
      <w:t>2021.</w:t>
    </w:r>
    <w:r w:rsidR="00113326">
      <w:rPr>
        <w:rFonts w:asciiTheme="minorHAnsi" w:hAnsiTheme="minorHAnsi"/>
      </w:rPr>
      <w:t>18</w:t>
    </w:r>
  </w:p>
  <w:p w14:paraId="5C144485" w14:textId="77777777" w:rsidR="00113326" w:rsidRPr="00056731" w:rsidRDefault="00113326" w:rsidP="00D51178">
    <w:pPr>
      <w:pStyle w:val="Header"/>
      <w:tabs>
        <w:tab w:val="left" w:pos="5280"/>
      </w:tabs>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11C7A"/>
    <w:multiLevelType w:val="hybridMultilevel"/>
    <w:tmpl w:val="FB42D1EA"/>
    <w:lvl w:ilvl="0" w:tplc="7A1AB5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7CA9"/>
    <w:multiLevelType w:val="hybridMultilevel"/>
    <w:tmpl w:val="87229088"/>
    <w:lvl w:ilvl="0" w:tplc="25C205C4">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716992"/>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01ABD"/>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94323"/>
    <w:multiLevelType w:val="multilevel"/>
    <w:tmpl w:val="763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8"/>
  </w:num>
  <w:num w:numId="6">
    <w:abstractNumId w:val="19"/>
  </w:num>
  <w:num w:numId="7">
    <w:abstractNumId w:val="1"/>
  </w:num>
  <w:num w:numId="8">
    <w:abstractNumId w:val="11"/>
  </w:num>
  <w:num w:numId="9">
    <w:abstractNumId w:val="15"/>
  </w:num>
  <w:num w:numId="10">
    <w:abstractNumId w:val="17"/>
  </w:num>
  <w:num w:numId="11">
    <w:abstractNumId w:val="20"/>
  </w:num>
  <w:num w:numId="12">
    <w:abstractNumId w:val="2"/>
  </w:num>
  <w:num w:numId="13">
    <w:abstractNumId w:val="3"/>
  </w:num>
  <w:num w:numId="14">
    <w:abstractNumId w:val="14"/>
  </w:num>
  <w:num w:numId="15">
    <w:abstractNumId w:val="4"/>
  </w:num>
  <w:num w:numId="16">
    <w:abstractNumId w:val="10"/>
  </w:num>
  <w:num w:numId="17">
    <w:abstractNumId w:val="9"/>
  </w:num>
  <w:num w:numId="18">
    <w:abstractNumId w:val="12"/>
  </w:num>
  <w:num w:numId="19">
    <w:abstractNumId w:val="21"/>
  </w:num>
  <w:num w:numId="20">
    <w:abstractNumId w:val="8"/>
  </w:num>
  <w:num w:numId="21">
    <w:abstractNumId w:val="16"/>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56731"/>
    <w:rsid w:val="00056787"/>
    <w:rsid w:val="00064C7B"/>
    <w:rsid w:val="00076442"/>
    <w:rsid w:val="00076FAE"/>
    <w:rsid w:val="00077DB6"/>
    <w:rsid w:val="0008490C"/>
    <w:rsid w:val="000D793A"/>
    <w:rsid w:val="000F6932"/>
    <w:rsid w:val="000F7818"/>
    <w:rsid w:val="0010209F"/>
    <w:rsid w:val="00105AEE"/>
    <w:rsid w:val="001122F3"/>
    <w:rsid w:val="00113326"/>
    <w:rsid w:val="0012099B"/>
    <w:rsid w:val="00151A36"/>
    <w:rsid w:val="00172FEA"/>
    <w:rsid w:val="00176356"/>
    <w:rsid w:val="00187C5C"/>
    <w:rsid w:val="001C6961"/>
    <w:rsid w:val="001F0AF8"/>
    <w:rsid w:val="001F454E"/>
    <w:rsid w:val="00222617"/>
    <w:rsid w:val="0025394F"/>
    <w:rsid w:val="00256710"/>
    <w:rsid w:val="00272D39"/>
    <w:rsid w:val="002967BF"/>
    <w:rsid w:val="002D370B"/>
    <w:rsid w:val="00305AE2"/>
    <w:rsid w:val="0032134D"/>
    <w:rsid w:val="00337F37"/>
    <w:rsid w:val="003721A8"/>
    <w:rsid w:val="003738B0"/>
    <w:rsid w:val="003845C8"/>
    <w:rsid w:val="00390D25"/>
    <w:rsid w:val="00392C22"/>
    <w:rsid w:val="003A7635"/>
    <w:rsid w:val="003F3E2A"/>
    <w:rsid w:val="0040408D"/>
    <w:rsid w:val="0041593D"/>
    <w:rsid w:val="00423A21"/>
    <w:rsid w:val="004275AF"/>
    <w:rsid w:val="004433B2"/>
    <w:rsid w:val="00445346"/>
    <w:rsid w:val="0045526C"/>
    <w:rsid w:val="0045750E"/>
    <w:rsid w:val="00460CB1"/>
    <w:rsid w:val="004B7196"/>
    <w:rsid w:val="004D7ADA"/>
    <w:rsid w:val="004E1DEA"/>
    <w:rsid w:val="004E1F38"/>
    <w:rsid w:val="00503641"/>
    <w:rsid w:val="00505604"/>
    <w:rsid w:val="00515F62"/>
    <w:rsid w:val="00534411"/>
    <w:rsid w:val="00565757"/>
    <w:rsid w:val="00571D8F"/>
    <w:rsid w:val="00581118"/>
    <w:rsid w:val="005A2E2C"/>
    <w:rsid w:val="005C52CC"/>
    <w:rsid w:val="005F09F0"/>
    <w:rsid w:val="00611666"/>
    <w:rsid w:val="00625656"/>
    <w:rsid w:val="00637AA4"/>
    <w:rsid w:val="0064382A"/>
    <w:rsid w:val="00654F8C"/>
    <w:rsid w:val="00661ACB"/>
    <w:rsid w:val="0067319A"/>
    <w:rsid w:val="00694B07"/>
    <w:rsid w:val="00705AD6"/>
    <w:rsid w:val="00721543"/>
    <w:rsid w:val="00722986"/>
    <w:rsid w:val="00744EC4"/>
    <w:rsid w:val="0074706C"/>
    <w:rsid w:val="007521C8"/>
    <w:rsid w:val="00754B9C"/>
    <w:rsid w:val="00771CA1"/>
    <w:rsid w:val="007A210D"/>
    <w:rsid w:val="007C2EE0"/>
    <w:rsid w:val="007E02C5"/>
    <w:rsid w:val="0081313B"/>
    <w:rsid w:val="00835953"/>
    <w:rsid w:val="00880AAD"/>
    <w:rsid w:val="008812E9"/>
    <w:rsid w:val="008A0E90"/>
    <w:rsid w:val="008D5E9F"/>
    <w:rsid w:val="008E3E23"/>
    <w:rsid w:val="008E4481"/>
    <w:rsid w:val="00936857"/>
    <w:rsid w:val="00941548"/>
    <w:rsid w:val="00963689"/>
    <w:rsid w:val="0097693A"/>
    <w:rsid w:val="0098677C"/>
    <w:rsid w:val="0099431A"/>
    <w:rsid w:val="00A00488"/>
    <w:rsid w:val="00A41365"/>
    <w:rsid w:val="00A5269F"/>
    <w:rsid w:val="00A83CC7"/>
    <w:rsid w:val="00A922CD"/>
    <w:rsid w:val="00AC390A"/>
    <w:rsid w:val="00AE6A6B"/>
    <w:rsid w:val="00AF2E49"/>
    <w:rsid w:val="00B1416E"/>
    <w:rsid w:val="00B30B65"/>
    <w:rsid w:val="00B35407"/>
    <w:rsid w:val="00B371CD"/>
    <w:rsid w:val="00B42804"/>
    <w:rsid w:val="00B432CF"/>
    <w:rsid w:val="00B52AC9"/>
    <w:rsid w:val="00B90246"/>
    <w:rsid w:val="00B94065"/>
    <w:rsid w:val="00BA4966"/>
    <w:rsid w:val="00BC76C0"/>
    <w:rsid w:val="00BD61C0"/>
    <w:rsid w:val="00C05DC8"/>
    <w:rsid w:val="00C110E1"/>
    <w:rsid w:val="00C32515"/>
    <w:rsid w:val="00C33993"/>
    <w:rsid w:val="00C350EB"/>
    <w:rsid w:val="00C415C9"/>
    <w:rsid w:val="00C749D0"/>
    <w:rsid w:val="00C75495"/>
    <w:rsid w:val="00C76190"/>
    <w:rsid w:val="00C918AB"/>
    <w:rsid w:val="00C932EA"/>
    <w:rsid w:val="00CA412B"/>
    <w:rsid w:val="00CB12FB"/>
    <w:rsid w:val="00CC29EF"/>
    <w:rsid w:val="00CC561B"/>
    <w:rsid w:val="00D0652C"/>
    <w:rsid w:val="00D2238D"/>
    <w:rsid w:val="00D412CB"/>
    <w:rsid w:val="00D413DF"/>
    <w:rsid w:val="00D51178"/>
    <w:rsid w:val="00D6185F"/>
    <w:rsid w:val="00DA25E3"/>
    <w:rsid w:val="00DA709D"/>
    <w:rsid w:val="00DC2C92"/>
    <w:rsid w:val="00DC769C"/>
    <w:rsid w:val="00DD415C"/>
    <w:rsid w:val="00E06A88"/>
    <w:rsid w:val="00E41612"/>
    <w:rsid w:val="00E862ED"/>
    <w:rsid w:val="00EB6CD2"/>
    <w:rsid w:val="00ED4183"/>
    <w:rsid w:val="00EF0F53"/>
    <w:rsid w:val="00EF460C"/>
    <w:rsid w:val="00F22CBE"/>
    <w:rsid w:val="00F40C03"/>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2A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customStyle="1" w:styleId="Heading3Char">
    <w:name w:val="Heading 3 Char"/>
    <w:basedOn w:val="DefaultParagraphFont"/>
    <w:link w:val="Heading3"/>
    <w:uiPriority w:val="9"/>
    <w:semiHidden/>
    <w:rsid w:val="00B52AC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52AC9"/>
    <w:rPr>
      <w:color w:val="605E5C"/>
      <w:shd w:val="clear" w:color="auto" w:fill="E1DFDD"/>
    </w:rPr>
  </w:style>
  <w:style w:type="paragraph" w:styleId="BalloonText">
    <w:name w:val="Balloon Text"/>
    <w:basedOn w:val="Normal"/>
    <w:link w:val="BalloonTextChar"/>
    <w:uiPriority w:val="99"/>
    <w:semiHidden/>
    <w:unhideWhenUsed/>
    <w:rsid w:val="00747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359352989">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577014220">
      <w:bodyDiv w:val="1"/>
      <w:marLeft w:val="0"/>
      <w:marRight w:val="0"/>
      <w:marTop w:val="0"/>
      <w:marBottom w:val="0"/>
      <w:divBdr>
        <w:top w:val="none" w:sz="0" w:space="0" w:color="auto"/>
        <w:left w:val="none" w:sz="0" w:space="0" w:color="auto"/>
        <w:bottom w:val="none" w:sz="0" w:space="0" w:color="auto"/>
        <w:right w:val="none" w:sz="0" w:space="0" w:color="auto"/>
      </w:divBdr>
    </w:div>
    <w:div w:id="1590389351">
      <w:bodyDiv w:val="1"/>
      <w:marLeft w:val="0"/>
      <w:marRight w:val="0"/>
      <w:marTop w:val="0"/>
      <w:marBottom w:val="0"/>
      <w:divBdr>
        <w:top w:val="none" w:sz="0" w:space="0" w:color="auto"/>
        <w:left w:val="none" w:sz="0" w:space="0" w:color="auto"/>
        <w:bottom w:val="none" w:sz="0" w:space="0" w:color="auto"/>
        <w:right w:val="none" w:sz="0" w:space="0" w:color="auto"/>
      </w:divBdr>
    </w:div>
    <w:div w:id="1750808972">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 w:id="2012029270">
      <w:bodyDiv w:val="1"/>
      <w:marLeft w:val="0"/>
      <w:marRight w:val="0"/>
      <w:marTop w:val="0"/>
      <w:marBottom w:val="0"/>
      <w:divBdr>
        <w:top w:val="none" w:sz="0" w:space="0" w:color="auto"/>
        <w:left w:val="none" w:sz="0" w:space="0" w:color="auto"/>
        <w:bottom w:val="none" w:sz="0" w:space="0" w:color="auto"/>
        <w:right w:val="none" w:sz="0" w:space="0" w:color="auto"/>
      </w:divBdr>
    </w:div>
    <w:div w:id="20378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31D0-EDA2-4834-8C0E-61C14625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2020-09-10T17:42:00Z</dcterms:created>
  <dcterms:modified xsi:type="dcterms:W3CDTF">2020-09-11T15:18:00Z</dcterms:modified>
</cp:coreProperties>
</file>