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83D4" w14:textId="77777777" w:rsidR="00EE4E8E" w:rsidRDefault="006E396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FREEDOM TO READ FOUNDATION</w:t>
      </w:r>
    </w:p>
    <w:p w14:paraId="77081735" w14:textId="77777777" w:rsidR="00EE4E8E" w:rsidRDefault="006E396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BOARD OF TRUSTEES</w:t>
      </w:r>
    </w:p>
    <w:p w14:paraId="0C6F3921" w14:textId="77777777" w:rsidR="00EE4E8E" w:rsidRDefault="00EE4E8E">
      <w:pPr>
        <w:spacing w:after="0" w:line="240" w:lineRule="auto"/>
        <w:rPr>
          <w:sz w:val="20"/>
          <w:szCs w:val="20"/>
        </w:rPr>
      </w:pPr>
    </w:p>
    <w:p w14:paraId="21EF579E" w14:textId="77777777" w:rsidR="00EE4E8E" w:rsidRDefault="00EE4E8E">
      <w:pPr>
        <w:spacing w:after="0" w:line="200" w:lineRule="auto"/>
        <w:rPr>
          <w:sz w:val="20"/>
          <w:szCs w:val="20"/>
        </w:rPr>
      </w:pPr>
    </w:p>
    <w:p w14:paraId="76011DD0" w14:textId="77777777" w:rsidR="00EE4E8E" w:rsidRDefault="006E396E">
      <w:pPr>
        <w:spacing w:after="0" w:line="240" w:lineRule="auto"/>
        <w:ind w:left="235" w:right="-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 FOR THE VIRTUAL 2022 LIBLEARNX EXHIBITION MEETING</w:t>
      </w:r>
      <w:r>
        <w:rPr>
          <w:rFonts w:ascii="Times New Roman" w:eastAsia="Times New Roman" w:hAnsi="Times New Roman" w:cs="Times New Roman"/>
          <w:sz w:val="24"/>
          <w:szCs w:val="24"/>
        </w:rPr>
        <w:t xml:space="preserve"> of the 2021–2022 Board of Trustees of the Freedom to Read Foundation.</w:t>
      </w:r>
    </w:p>
    <w:p w14:paraId="23E1B777" w14:textId="77777777" w:rsidR="00EE4E8E" w:rsidRDefault="00EE4E8E">
      <w:pPr>
        <w:spacing w:before="6" w:after="0" w:line="280" w:lineRule="auto"/>
        <w:rPr>
          <w:sz w:val="28"/>
          <w:szCs w:val="28"/>
        </w:rPr>
      </w:pPr>
    </w:p>
    <w:p w14:paraId="2548104C" w14:textId="63105C3C" w:rsidR="00EE4E8E" w:rsidRPr="00E04445" w:rsidRDefault="006E396E" w:rsidP="00E04445">
      <w:r>
        <w:rPr>
          <w:rFonts w:ascii="Times New Roman" w:eastAsia="Times New Roman" w:hAnsi="Times New Roman" w:cs="Times New Roman"/>
          <w:sz w:val="24"/>
          <w:szCs w:val="24"/>
        </w:rPr>
        <w:t>WHERE:</w:t>
      </w:r>
      <w:r>
        <w:rPr>
          <w:rFonts w:ascii="Times New Roman" w:eastAsia="Times New Roman" w:hAnsi="Times New Roman" w:cs="Times New Roman"/>
          <w:sz w:val="24"/>
          <w:szCs w:val="24"/>
        </w:rPr>
        <w:tab/>
        <w:t xml:space="preserve">Via Zoom  </w:t>
      </w:r>
      <w:r w:rsidR="00E04445">
        <w:rPr>
          <w:rFonts w:ascii="Times New Roman" w:eastAsia="Times New Roman" w:hAnsi="Times New Roman" w:cs="Times New Roman"/>
          <w:sz w:val="24"/>
          <w:szCs w:val="24"/>
        </w:rPr>
        <w:br/>
      </w:r>
      <w:hyperlink r:id="rId8" w:history="1">
        <w:r w:rsidR="00E04445" w:rsidRPr="00A4636E">
          <w:rPr>
            <w:rStyle w:val="Hyperlink"/>
          </w:rPr>
          <w:t>https://ala-events.zoom.us/j/99392130661?pwd=UGUwOXlWcXlZaVB5Tk9PTEtjS1Y1Zz09</w:t>
        </w:r>
      </w:hyperlink>
    </w:p>
    <w:p w14:paraId="58A5F2B3" w14:textId="77777777" w:rsidR="00EE4E8E" w:rsidRDefault="006E396E">
      <w:pPr>
        <w:tabs>
          <w:tab w:val="left" w:pos="2400"/>
        </w:tabs>
        <w:spacing w:before="41" w:after="0" w:line="240" w:lineRule="auto"/>
        <w:ind w:left="9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Tuesday, January 18, 2022</w:t>
      </w:r>
    </w:p>
    <w:p w14:paraId="715C949E" w14:textId="77777777" w:rsidR="00EE4E8E" w:rsidRDefault="006E396E">
      <w:pPr>
        <w:tabs>
          <w:tab w:val="left" w:pos="2400"/>
        </w:tabs>
        <w:spacing w:before="42" w:after="0" w:line="240" w:lineRule="auto"/>
        <w:ind w:left="9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r>
        <w:rPr>
          <w:rFonts w:ascii="Times New Roman" w:eastAsia="Times New Roman" w:hAnsi="Times New Roman" w:cs="Times New Roman"/>
          <w:sz w:val="24"/>
          <w:szCs w:val="24"/>
        </w:rPr>
        <w:tab/>
        <w:t>1:30 p.m.–5:00 p.m., Central Time</w:t>
      </w:r>
    </w:p>
    <w:p w14:paraId="07BE5834" w14:textId="77777777" w:rsidR="00EE4E8E" w:rsidRDefault="00EE4E8E">
      <w:pPr>
        <w:tabs>
          <w:tab w:val="left" w:pos="2400"/>
        </w:tabs>
        <w:spacing w:before="41" w:after="0" w:line="240" w:lineRule="auto"/>
        <w:ind w:right="-20"/>
        <w:rPr>
          <w:sz w:val="13"/>
          <w:szCs w:val="13"/>
        </w:rPr>
      </w:pPr>
    </w:p>
    <w:p w14:paraId="2C4A7E76" w14:textId="77777777" w:rsidR="00EE4E8E" w:rsidRDefault="00EE4E8E">
      <w:pPr>
        <w:spacing w:before="2" w:after="0" w:line="130" w:lineRule="auto"/>
        <w:rPr>
          <w:sz w:val="13"/>
          <w:szCs w:val="13"/>
        </w:rPr>
      </w:pPr>
    </w:p>
    <w:p w14:paraId="40E237DA" w14:textId="77777777" w:rsidR="00EE4E8E" w:rsidRDefault="00EE4E8E">
      <w:pPr>
        <w:spacing w:before="2" w:after="0" w:line="130" w:lineRule="auto"/>
        <w:rPr>
          <w:sz w:val="13"/>
          <w:szCs w:val="13"/>
        </w:rPr>
      </w:pPr>
    </w:p>
    <w:p w14:paraId="41858EDF" w14:textId="77777777" w:rsidR="00EE4E8E" w:rsidRDefault="00EE4E8E">
      <w:pPr>
        <w:spacing w:before="2" w:after="0" w:line="130" w:lineRule="auto"/>
        <w:rPr>
          <w:sz w:val="13"/>
          <w:szCs w:val="13"/>
        </w:rPr>
      </w:pPr>
    </w:p>
    <w:p w14:paraId="3BC6D156" w14:textId="77777777" w:rsidR="00EE4E8E" w:rsidRDefault="006E396E">
      <w:pPr>
        <w:numPr>
          <w:ilvl w:val="0"/>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CALL TO ORDER</w:t>
      </w:r>
      <w:r>
        <w:rPr>
          <w:rFonts w:ascii="Times New Roman" w:eastAsia="Times New Roman" w:hAnsi="Times New Roman" w:cs="Times New Roman"/>
          <w:color w:val="000000"/>
          <w:sz w:val="24"/>
          <w:szCs w:val="24"/>
        </w:rPr>
        <w:t>:  B. Stripling</w:t>
      </w:r>
    </w:p>
    <w:p w14:paraId="55599F4A" w14:textId="77777777" w:rsidR="00EE4E8E" w:rsidRDefault="00EE4E8E">
      <w:pPr>
        <w:pBdr>
          <w:top w:val="nil"/>
          <w:left w:val="nil"/>
          <w:bottom w:val="nil"/>
          <w:right w:val="nil"/>
          <w:between w:val="nil"/>
        </w:pBdr>
        <w:tabs>
          <w:tab w:val="left" w:pos="840"/>
        </w:tabs>
        <w:spacing w:after="0" w:line="240" w:lineRule="auto"/>
        <w:ind w:left="720" w:right="-20"/>
        <w:rPr>
          <w:rFonts w:ascii="Times New Roman" w:eastAsia="Times New Roman" w:hAnsi="Times New Roman" w:cs="Times New Roman"/>
          <w:color w:val="000000"/>
          <w:sz w:val="24"/>
          <w:szCs w:val="24"/>
        </w:rPr>
      </w:pPr>
    </w:p>
    <w:p w14:paraId="6A40CBEC" w14:textId="77777777" w:rsidR="00EE4E8E" w:rsidRDefault="006E396E">
      <w:pPr>
        <w:numPr>
          <w:ilvl w:val="0"/>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INTRODUCTIONS</w:t>
      </w:r>
      <w:r>
        <w:rPr>
          <w:rFonts w:ascii="Times New Roman" w:eastAsia="Times New Roman" w:hAnsi="Times New Roman" w:cs="Times New Roman"/>
          <w:color w:val="000000"/>
          <w:sz w:val="24"/>
          <w:szCs w:val="24"/>
        </w:rPr>
        <w:t>:  B. Stripling</w:t>
      </w:r>
    </w:p>
    <w:p w14:paraId="52DC081B" w14:textId="77777777" w:rsidR="00EE4E8E" w:rsidRDefault="00EE4E8E">
      <w:pPr>
        <w:spacing w:before="16" w:after="0" w:line="260" w:lineRule="auto"/>
        <w:rPr>
          <w:sz w:val="26"/>
          <w:szCs w:val="26"/>
        </w:rPr>
      </w:pPr>
    </w:p>
    <w:p w14:paraId="5E2FD8CF" w14:textId="77777777" w:rsidR="00EE4E8E" w:rsidRDefault="006E396E">
      <w:pPr>
        <w:numPr>
          <w:ilvl w:val="0"/>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u w:val="single"/>
        </w:rPr>
        <w:t>DETERMINATION OF A QUORUM</w:t>
      </w:r>
      <w:r>
        <w:rPr>
          <w:rFonts w:ascii="Times New Roman" w:eastAsia="Times New Roman" w:hAnsi="Times New Roman" w:cs="Times New Roman"/>
          <w:color w:val="000000"/>
          <w:sz w:val="24"/>
          <w:szCs w:val="24"/>
        </w:rPr>
        <w:t>:  D. Caldwell-Stone</w:t>
      </w:r>
    </w:p>
    <w:p w14:paraId="6C9D77B4" w14:textId="77777777" w:rsidR="00EE4E8E" w:rsidRDefault="00EE4E8E">
      <w:pPr>
        <w:spacing w:before="16" w:after="0" w:line="260" w:lineRule="auto"/>
        <w:rPr>
          <w:sz w:val="26"/>
          <w:szCs w:val="26"/>
        </w:rPr>
      </w:pPr>
    </w:p>
    <w:p w14:paraId="700633EA" w14:textId="77777777" w:rsidR="00EE4E8E" w:rsidRDefault="006E396E">
      <w:pPr>
        <w:numPr>
          <w:ilvl w:val="0"/>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REVIEW AND APPROVAL OF AGENDA</w:t>
      </w:r>
      <w:r>
        <w:rPr>
          <w:rFonts w:ascii="Times New Roman" w:eastAsia="Times New Roman" w:hAnsi="Times New Roman" w:cs="Times New Roman"/>
          <w:color w:val="000000"/>
          <w:sz w:val="24"/>
          <w:szCs w:val="24"/>
        </w:rPr>
        <w:t>:  B. Stripling</w:t>
      </w:r>
    </w:p>
    <w:p w14:paraId="39029E35" w14:textId="77777777" w:rsidR="00EE4E8E" w:rsidRDefault="00EE4E8E">
      <w:pPr>
        <w:spacing w:before="16" w:after="0" w:line="260" w:lineRule="auto"/>
        <w:rPr>
          <w:sz w:val="26"/>
          <w:szCs w:val="26"/>
        </w:rPr>
      </w:pPr>
    </w:p>
    <w:p w14:paraId="347C1705" w14:textId="77777777" w:rsidR="00EE4E8E" w:rsidRDefault="006E396E">
      <w:pPr>
        <w:numPr>
          <w:ilvl w:val="0"/>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REVIEW AND APPROVAL OF MINUTES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of meetings held Thursday, June 24, 2021 and Tuesday, September 21, 2021</w:t>
      </w:r>
    </w:p>
    <w:p w14:paraId="178BE466" w14:textId="77777777" w:rsidR="00EE4E8E" w:rsidRDefault="00EE4E8E">
      <w:p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p>
    <w:p w14:paraId="6CC5DEC4" w14:textId="77777777" w:rsidR="00EE4E8E" w:rsidRDefault="00EE4E8E">
      <w:pPr>
        <w:pBdr>
          <w:top w:val="nil"/>
          <w:left w:val="nil"/>
          <w:bottom w:val="nil"/>
          <w:right w:val="nil"/>
          <w:between w:val="nil"/>
        </w:pBdr>
        <w:spacing w:after="0" w:line="240" w:lineRule="auto"/>
        <w:ind w:right="134"/>
        <w:rPr>
          <w:rFonts w:ascii="Times New Roman" w:eastAsia="Times New Roman" w:hAnsi="Times New Roman" w:cs="Times New Roman"/>
          <w:color w:val="000000"/>
          <w:sz w:val="24"/>
          <w:szCs w:val="24"/>
        </w:rPr>
      </w:pPr>
    </w:p>
    <w:p w14:paraId="7DFFEA81" w14:textId="77777777" w:rsidR="00EE4E8E" w:rsidRDefault="006E396E">
      <w:pPr>
        <w:pBdr>
          <w:top w:val="nil"/>
          <w:left w:val="nil"/>
          <w:bottom w:val="nil"/>
          <w:right w:val="nil"/>
          <w:between w:val="nil"/>
        </w:pBdr>
        <w:spacing w:after="0" w:line="240" w:lineRule="auto"/>
        <w:ind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have been distributed separately. Please bring your copy to the meeting along with your TRUSTEE MANUAL.</w:t>
      </w:r>
    </w:p>
    <w:p w14:paraId="5DD446E1" w14:textId="77777777" w:rsidR="00EE4E8E" w:rsidRDefault="00EE4E8E">
      <w:pPr>
        <w:spacing w:before="17" w:after="0" w:line="260" w:lineRule="auto"/>
        <w:rPr>
          <w:sz w:val="26"/>
          <w:szCs w:val="26"/>
        </w:rPr>
      </w:pPr>
    </w:p>
    <w:p w14:paraId="33B014DC" w14:textId="77777777" w:rsidR="00EE4E8E" w:rsidRDefault="006E396E">
      <w:pPr>
        <w:numPr>
          <w:ilvl w:val="0"/>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OLD BUSINESS</w:t>
      </w:r>
    </w:p>
    <w:p w14:paraId="051CFDB6" w14:textId="77777777" w:rsidR="00EE4E8E" w:rsidRDefault="00EE4E8E">
      <w:pPr>
        <w:pBdr>
          <w:top w:val="nil"/>
          <w:left w:val="nil"/>
          <w:bottom w:val="nil"/>
          <w:right w:val="nil"/>
          <w:between w:val="nil"/>
        </w:pBdr>
        <w:tabs>
          <w:tab w:val="left" w:pos="840"/>
        </w:tabs>
        <w:spacing w:after="0" w:line="240" w:lineRule="auto"/>
        <w:ind w:left="720" w:right="-20"/>
        <w:rPr>
          <w:rFonts w:ascii="Times New Roman" w:eastAsia="Times New Roman" w:hAnsi="Times New Roman" w:cs="Times New Roman"/>
          <w:color w:val="000000"/>
          <w:sz w:val="24"/>
          <w:szCs w:val="24"/>
        </w:rPr>
      </w:pPr>
    </w:p>
    <w:p w14:paraId="443DF506" w14:textId="77777777" w:rsidR="00EE4E8E" w:rsidRDefault="006E396E">
      <w:pPr>
        <w:numPr>
          <w:ilvl w:val="1"/>
          <w:numId w:val="1"/>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Litigation:  </w:t>
      </w:r>
      <w:r>
        <w:rPr>
          <w:rFonts w:ascii="Times New Roman" w:eastAsia="Times New Roman" w:hAnsi="Times New Roman" w:cs="Times New Roman"/>
          <w:color w:val="000000"/>
          <w:sz w:val="24"/>
          <w:szCs w:val="24"/>
        </w:rPr>
        <w:t xml:space="preserve">T. Chmara (Exhibit I, to be distributed) </w:t>
      </w:r>
    </w:p>
    <w:p w14:paraId="17EDD314"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p>
    <w:p w14:paraId="19C76F53" w14:textId="77777777" w:rsidR="00EE4E8E" w:rsidRDefault="006E396E">
      <w:pPr>
        <w:numPr>
          <w:ilvl w:val="2"/>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u w:val="single"/>
        </w:rPr>
        <w:t>Gibson Bros, Inc., et al., v. Oberlin College, et al</w:t>
      </w:r>
      <w:r>
        <w:rPr>
          <w:rFonts w:ascii="Times New Roman" w:eastAsia="Times New Roman" w:hAnsi="Times New Roman" w:cs="Times New Roman"/>
          <w:i/>
          <w:color w:val="000000"/>
          <w:sz w:val="24"/>
          <w:szCs w:val="24"/>
        </w:rPr>
        <w:t xml:space="preserve">.    </w:t>
      </w:r>
    </w:p>
    <w:p w14:paraId="13067A74"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i/>
          <w:color w:val="000000"/>
          <w:sz w:val="24"/>
          <w:szCs w:val="24"/>
        </w:rPr>
      </w:pPr>
    </w:p>
    <w:p w14:paraId="7A946990" w14:textId="77777777" w:rsidR="00EE4E8E" w:rsidRDefault="006E396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November 2016, a public protest occurred at Oberlin College in Ohio following a confrontation between an employee of Gibson’s Food Market and three African American Oberlin College students. On the day of the protest, the Oberlin Student Senate passed a resolution, which was posted in Oberlin's Wilder Hall. Oberlin employees and others also distributed a flyer during the protest. </w:t>
      </w:r>
    </w:p>
    <w:p w14:paraId="2AA2A6B6"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p>
    <w:p w14:paraId="3CE24F16" w14:textId="77777777" w:rsidR="00EE4E8E" w:rsidRDefault="006E396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that owns the market and bakery subsequently sued Oberlin College and its Dean of Students, alleging that they were defamed in the Oberlin Student Senate resolution and in the</w:t>
      </w:r>
      <w:r>
        <w:rPr>
          <w:color w:val="000000"/>
        </w:rPr>
        <w:t xml:space="preserve"> </w:t>
      </w:r>
      <w:r>
        <w:rPr>
          <w:rFonts w:ascii="Times New Roman" w:eastAsia="Times New Roman" w:hAnsi="Times New Roman" w:cs="Times New Roman"/>
          <w:color w:val="000000"/>
          <w:sz w:val="24"/>
          <w:szCs w:val="24"/>
        </w:rPr>
        <w:t xml:space="preserve">flyer handed out at the protest.  A jury found Oberlin and its Dean of Students liable for defamation after the </w:t>
      </w:r>
      <w:r>
        <w:rPr>
          <w:rFonts w:ascii="Times New Roman" w:eastAsia="Times New Roman" w:hAnsi="Times New Roman" w:cs="Times New Roman"/>
          <w:color w:val="000000"/>
          <w:sz w:val="24"/>
          <w:szCs w:val="24"/>
        </w:rPr>
        <w:lastRenderedPageBreak/>
        <w:t xml:space="preserve">trial court instructed the jury that it could find the defendants liable on the basis of mere negligence.  However, Ohio Supreme Court precedent establishes that those who redistribute others' speech can be held liable for defamation only upon a showing of actual malice, which requires proof that the defendant knew of the false statement or had  a reckless disregard of the truth.  </w:t>
      </w:r>
    </w:p>
    <w:p w14:paraId="5100D6F5"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p>
    <w:p w14:paraId="28435849" w14:textId="77777777" w:rsidR="00EE4E8E" w:rsidRDefault="006E396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FTRF has signed on to an amicus brief authored by counsel for the Reporters' Committee for Freedom of the Press that argues that a defamation claim against a redistributor of speech can succeed only if the plaintiff demonstrates actual malice.  Oral argument was held on November 10, 2020, and a decision is pending.</w:t>
      </w:r>
    </w:p>
    <w:p w14:paraId="3A9EB5D9"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p>
    <w:p w14:paraId="75B30AB0"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u w:val="single"/>
        </w:rPr>
      </w:pPr>
    </w:p>
    <w:p w14:paraId="70ADFF5D" w14:textId="77777777" w:rsidR="00EE4E8E" w:rsidRDefault="006E396E">
      <w:pPr>
        <w:numPr>
          <w:ilvl w:val="0"/>
          <w:numId w:val="4"/>
        </w:numPr>
        <w:pBdr>
          <w:top w:val="nil"/>
          <w:left w:val="nil"/>
          <w:bottom w:val="nil"/>
          <w:right w:val="nil"/>
          <w:between w:val="nil"/>
        </w:pBdr>
        <w:tabs>
          <w:tab w:val="left" w:pos="1560"/>
        </w:tabs>
        <w:spacing w:after="0"/>
        <w:ind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NEW BUSINESS</w:t>
      </w:r>
    </w:p>
    <w:p w14:paraId="5E2A95AF" w14:textId="77777777" w:rsidR="00EE4E8E" w:rsidRDefault="00EE4E8E">
      <w:pPr>
        <w:pBdr>
          <w:top w:val="nil"/>
          <w:left w:val="nil"/>
          <w:bottom w:val="nil"/>
          <w:right w:val="nil"/>
          <w:between w:val="nil"/>
        </w:pBdr>
        <w:tabs>
          <w:tab w:val="left" w:pos="1560"/>
        </w:tabs>
        <w:spacing w:after="0"/>
        <w:ind w:left="1008" w:right="-20"/>
        <w:rPr>
          <w:rFonts w:ascii="Times New Roman" w:eastAsia="Times New Roman" w:hAnsi="Times New Roman" w:cs="Times New Roman"/>
          <w:color w:val="000000"/>
          <w:sz w:val="24"/>
          <w:szCs w:val="24"/>
        </w:rPr>
      </w:pPr>
    </w:p>
    <w:p w14:paraId="22BD4101" w14:textId="77777777" w:rsidR="00EE4E8E" w:rsidRDefault="006E396E">
      <w:pPr>
        <w:numPr>
          <w:ilvl w:val="1"/>
          <w:numId w:val="4"/>
        </w:numPr>
        <w:pBdr>
          <w:top w:val="nil"/>
          <w:left w:val="nil"/>
          <w:bottom w:val="nil"/>
          <w:right w:val="nil"/>
          <w:between w:val="nil"/>
        </w:pBdr>
        <w:spacing w:after="0"/>
        <w:rPr>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 xml:space="preserve">New Litigation: </w:t>
      </w:r>
      <w:r>
        <w:rPr>
          <w:rFonts w:ascii="Times New Roman" w:eastAsia="Times New Roman" w:hAnsi="Times New Roman" w:cs="Times New Roman"/>
          <w:color w:val="000000"/>
          <w:sz w:val="24"/>
          <w:szCs w:val="24"/>
        </w:rPr>
        <w:t>T. Chmara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Exhibit I, to be distributed)</w:t>
      </w:r>
    </w:p>
    <w:p w14:paraId="51738274" w14:textId="77777777" w:rsidR="00EE4E8E" w:rsidRDefault="006E396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 </w:t>
      </w:r>
    </w:p>
    <w:p w14:paraId="0B26E7D9" w14:textId="5210D670" w:rsidR="000B3CCF" w:rsidRPr="000B3CCF" w:rsidRDefault="006E396E" w:rsidP="000B3CCF">
      <w:pPr>
        <w:numPr>
          <w:ilvl w:val="2"/>
          <w:numId w:val="4"/>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bookmarkStart w:id="3" w:name="_heading=h.3znysh7" w:colFirst="0" w:colLast="0"/>
      <w:bookmarkEnd w:id="3"/>
      <w:r>
        <w:rPr>
          <w:rFonts w:ascii="Times New Roman" w:eastAsia="Times New Roman" w:hAnsi="Times New Roman" w:cs="Times New Roman"/>
          <w:i/>
          <w:color w:val="000000"/>
          <w:sz w:val="24"/>
          <w:szCs w:val="24"/>
          <w:u w:val="single"/>
        </w:rPr>
        <w:t>Coleman v. Grand</w:t>
      </w:r>
      <w:r w:rsidR="002819AB">
        <w:rPr>
          <w:rFonts w:ascii="Times New Roman" w:eastAsia="Times New Roman" w:hAnsi="Times New Roman" w:cs="Times New Roman"/>
          <w:iCs/>
          <w:color w:val="000000"/>
          <w:sz w:val="24"/>
          <w:szCs w:val="24"/>
        </w:rPr>
        <w:t>:</w:t>
      </w:r>
      <w:r w:rsidRPr="002819AB">
        <w:rPr>
          <w:rFonts w:ascii="Times New Roman" w:eastAsia="Times New Roman" w:hAnsi="Times New Roman" w:cs="Times New Roman"/>
          <w:iCs/>
          <w:color w:val="000000"/>
          <w:sz w:val="24"/>
          <w:szCs w:val="24"/>
        </w:rPr>
        <w:t xml:space="preserve"> </w:t>
      </w:r>
      <w:r w:rsidR="002819AB">
        <w:rPr>
          <w:rFonts w:ascii="Times New Roman" w:eastAsia="Times New Roman" w:hAnsi="Times New Roman" w:cs="Times New Roman"/>
          <w:iCs/>
          <w:color w:val="000000"/>
          <w:sz w:val="24"/>
          <w:szCs w:val="24"/>
        </w:rPr>
        <w:t xml:space="preserve"> Steven </w:t>
      </w:r>
      <w:r w:rsidR="002819AB" w:rsidRPr="002819AB">
        <w:rPr>
          <w:rFonts w:ascii="Times New Roman" w:eastAsia="Times New Roman" w:hAnsi="Times New Roman" w:cs="Times New Roman"/>
          <w:iCs/>
          <w:color w:val="000000"/>
          <w:sz w:val="24"/>
          <w:szCs w:val="24"/>
        </w:rPr>
        <w:t xml:space="preserve">Coleman, a prominent jazz musician, sued </w:t>
      </w:r>
      <w:r w:rsidR="002819AB">
        <w:rPr>
          <w:rFonts w:ascii="Times New Roman" w:eastAsia="Times New Roman" w:hAnsi="Times New Roman" w:cs="Times New Roman"/>
          <w:iCs/>
          <w:color w:val="000000"/>
          <w:sz w:val="24"/>
          <w:szCs w:val="24"/>
        </w:rPr>
        <w:t xml:space="preserve">an </w:t>
      </w:r>
      <w:r w:rsidR="002819AB" w:rsidRPr="002819AB">
        <w:rPr>
          <w:rFonts w:ascii="Times New Roman" w:eastAsia="Times New Roman" w:hAnsi="Times New Roman" w:cs="Times New Roman"/>
          <w:iCs/>
          <w:color w:val="000000"/>
          <w:sz w:val="24"/>
          <w:szCs w:val="24"/>
        </w:rPr>
        <w:t>aspiring musician</w:t>
      </w:r>
      <w:r w:rsidR="002819AB">
        <w:rPr>
          <w:rFonts w:ascii="Times New Roman" w:eastAsia="Times New Roman" w:hAnsi="Times New Roman" w:cs="Times New Roman"/>
          <w:iCs/>
          <w:color w:val="000000"/>
          <w:sz w:val="24"/>
          <w:szCs w:val="24"/>
        </w:rPr>
        <w:t>,</w:t>
      </w:r>
      <w:r w:rsidR="002819AB" w:rsidRPr="002819AB">
        <w:rPr>
          <w:rFonts w:ascii="Times New Roman" w:eastAsia="Times New Roman" w:hAnsi="Times New Roman" w:cs="Times New Roman"/>
          <w:iCs/>
          <w:color w:val="000000"/>
          <w:sz w:val="24"/>
          <w:szCs w:val="24"/>
        </w:rPr>
        <w:t xml:space="preserve"> María Grand</w:t>
      </w:r>
      <w:r w:rsidR="00DC73F6">
        <w:rPr>
          <w:rFonts w:ascii="Times New Roman" w:eastAsia="Times New Roman" w:hAnsi="Times New Roman" w:cs="Times New Roman"/>
          <w:iCs/>
          <w:color w:val="000000"/>
          <w:sz w:val="24"/>
          <w:szCs w:val="24"/>
        </w:rPr>
        <w:t>,</w:t>
      </w:r>
      <w:r w:rsidR="002819AB">
        <w:rPr>
          <w:rFonts w:ascii="Times New Roman" w:eastAsia="Times New Roman" w:hAnsi="Times New Roman" w:cs="Times New Roman"/>
          <w:iCs/>
          <w:color w:val="000000"/>
          <w:sz w:val="24"/>
          <w:szCs w:val="24"/>
        </w:rPr>
        <w:t xml:space="preserve"> in federal district court, claiming that  </w:t>
      </w:r>
      <w:r w:rsidR="002819AB" w:rsidRPr="002819AB">
        <w:rPr>
          <w:rFonts w:ascii="Times New Roman" w:eastAsia="Times New Roman" w:hAnsi="Times New Roman" w:cs="Times New Roman"/>
          <w:iCs/>
          <w:color w:val="000000"/>
          <w:sz w:val="24"/>
          <w:szCs w:val="24"/>
        </w:rPr>
        <w:t xml:space="preserve"> comments she made in a November 2017 letter to friends and colleagues in the jazz music industry</w:t>
      </w:r>
      <w:r w:rsidR="002819AB">
        <w:rPr>
          <w:rFonts w:ascii="Times New Roman" w:eastAsia="Times New Roman" w:hAnsi="Times New Roman" w:cs="Times New Roman"/>
          <w:iCs/>
          <w:color w:val="000000"/>
          <w:sz w:val="24"/>
          <w:szCs w:val="24"/>
        </w:rPr>
        <w:t xml:space="preserve"> about Coleman's and Grand's</w:t>
      </w:r>
      <w:r w:rsidR="002819AB" w:rsidRPr="002819AB">
        <w:rPr>
          <w:rFonts w:ascii="Times New Roman" w:eastAsia="Times New Roman" w:hAnsi="Times New Roman" w:cs="Times New Roman"/>
          <w:iCs/>
          <w:color w:val="000000"/>
          <w:sz w:val="24"/>
          <w:szCs w:val="24"/>
        </w:rPr>
        <w:t xml:space="preserve"> personal and professional relationship</w:t>
      </w:r>
      <w:r w:rsidR="002819AB">
        <w:rPr>
          <w:rFonts w:ascii="Times New Roman" w:eastAsia="Times New Roman" w:hAnsi="Times New Roman" w:cs="Times New Roman"/>
          <w:iCs/>
          <w:color w:val="000000"/>
          <w:sz w:val="24"/>
          <w:szCs w:val="24"/>
        </w:rPr>
        <w:t xml:space="preserve"> defamed him</w:t>
      </w:r>
      <w:r w:rsidR="002819AB" w:rsidRPr="002819AB">
        <w:rPr>
          <w:rFonts w:ascii="Times New Roman" w:eastAsia="Times New Roman" w:hAnsi="Times New Roman" w:cs="Times New Roman"/>
          <w:iCs/>
          <w:color w:val="000000"/>
          <w:sz w:val="24"/>
          <w:szCs w:val="24"/>
        </w:rPr>
        <w:t>.</w:t>
      </w:r>
      <w:r w:rsidR="00DC73F6">
        <w:rPr>
          <w:rFonts w:ascii="Times New Roman" w:eastAsia="Times New Roman" w:hAnsi="Times New Roman" w:cs="Times New Roman"/>
          <w:iCs/>
          <w:color w:val="000000"/>
          <w:sz w:val="24"/>
          <w:szCs w:val="24"/>
        </w:rPr>
        <w:t xml:space="preserve">  The district court awarded summary judgment to Grand, finding that under the actual malice fault standard established by</w:t>
      </w:r>
      <w:r w:rsidR="002819AB" w:rsidRPr="002819AB">
        <w:rPr>
          <w:rFonts w:ascii="Times New Roman" w:eastAsia="Times New Roman" w:hAnsi="Times New Roman" w:cs="Times New Roman"/>
          <w:iCs/>
          <w:color w:val="000000"/>
          <w:sz w:val="24"/>
          <w:szCs w:val="24"/>
        </w:rPr>
        <w:t xml:space="preserve"> New York's newly amended anti-SLAPP law Coleman</w:t>
      </w:r>
      <w:r w:rsidR="00DC73F6">
        <w:rPr>
          <w:rFonts w:ascii="Times New Roman" w:eastAsia="Times New Roman" w:hAnsi="Times New Roman" w:cs="Times New Roman"/>
          <w:iCs/>
          <w:color w:val="000000"/>
          <w:sz w:val="24"/>
          <w:szCs w:val="24"/>
        </w:rPr>
        <w:t xml:space="preserve"> had</w:t>
      </w:r>
      <w:r w:rsidR="002819AB" w:rsidRPr="002819AB">
        <w:rPr>
          <w:rFonts w:ascii="Times New Roman" w:eastAsia="Times New Roman" w:hAnsi="Times New Roman" w:cs="Times New Roman"/>
          <w:iCs/>
          <w:color w:val="000000"/>
          <w:sz w:val="24"/>
          <w:szCs w:val="24"/>
        </w:rPr>
        <w:t xml:space="preserve"> failed to show by clear and convincing evidence that Grand acted with actual malice. </w:t>
      </w:r>
      <w:r w:rsidR="00DC73F6">
        <w:rPr>
          <w:rFonts w:ascii="Times New Roman" w:eastAsia="Times New Roman" w:hAnsi="Times New Roman" w:cs="Times New Roman"/>
          <w:iCs/>
          <w:color w:val="000000"/>
          <w:sz w:val="24"/>
          <w:szCs w:val="24"/>
        </w:rPr>
        <w:t xml:space="preserve"> </w:t>
      </w:r>
      <w:r w:rsidR="000B3CCF">
        <w:rPr>
          <w:rFonts w:ascii="Times New Roman" w:eastAsia="Times New Roman" w:hAnsi="Times New Roman" w:cs="Times New Roman"/>
          <w:iCs/>
          <w:color w:val="000000"/>
          <w:sz w:val="24"/>
          <w:szCs w:val="24"/>
        </w:rPr>
        <w:t>[</w:t>
      </w:r>
      <w:r w:rsidR="00DC73F6">
        <w:rPr>
          <w:rFonts w:ascii="Times New Roman" w:eastAsia="Times New Roman" w:hAnsi="Times New Roman" w:cs="Times New Roman"/>
          <w:iCs/>
          <w:color w:val="000000"/>
          <w:sz w:val="24"/>
          <w:szCs w:val="24"/>
        </w:rPr>
        <w:t xml:space="preserve">Anti-SLAPP </w:t>
      </w:r>
      <w:r w:rsidR="00DC73F6" w:rsidRPr="00DC73F6">
        <w:rPr>
          <w:rFonts w:ascii="Times New Roman" w:eastAsia="Times New Roman" w:hAnsi="Times New Roman" w:cs="Times New Roman"/>
          <w:iCs/>
          <w:color w:val="000000"/>
          <w:sz w:val="24"/>
          <w:szCs w:val="24"/>
          <w:u w:val="single"/>
        </w:rPr>
        <w:t>(</w:t>
      </w:r>
      <w:r w:rsidR="00DC73F6" w:rsidRPr="00DC73F6">
        <w:rPr>
          <w:rFonts w:ascii="Times New Roman" w:eastAsia="Times New Roman" w:hAnsi="Times New Roman" w:cs="Times New Roman"/>
          <w:iCs/>
          <w:color w:val="000000"/>
          <w:sz w:val="24"/>
          <w:szCs w:val="24"/>
        </w:rPr>
        <w:t>"Strategic Lawsuit Against Public Participation")</w:t>
      </w:r>
      <w:r w:rsidR="00DC73F6">
        <w:rPr>
          <w:rFonts w:ascii="Times New Roman" w:eastAsia="Times New Roman" w:hAnsi="Times New Roman" w:cs="Times New Roman"/>
          <w:iCs/>
          <w:color w:val="000000"/>
          <w:sz w:val="24"/>
          <w:szCs w:val="24"/>
        </w:rPr>
        <w:t xml:space="preserve"> </w:t>
      </w:r>
      <w:r w:rsidR="000B3CCF">
        <w:rPr>
          <w:rFonts w:ascii="Times New Roman" w:eastAsia="Times New Roman" w:hAnsi="Times New Roman" w:cs="Times New Roman"/>
          <w:iCs/>
          <w:color w:val="000000"/>
          <w:sz w:val="24"/>
          <w:szCs w:val="24"/>
        </w:rPr>
        <w:t xml:space="preserve">statutes </w:t>
      </w:r>
      <w:r w:rsidR="00DC73F6">
        <w:rPr>
          <w:rFonts w:ascii="Times New Roman" w:eastAsia="Times New Roman" w:hAnsi="Times New Roman" w:cs="Times New Roman"/>
          <w:iCs/>
          <w:color w:val="000000"/>
          <w:sz w:val="24"/>
          <w:szCs w:val="24"/>
        </w:rPr>
        <w:t>li</w:t>
      </w:r>
      <w:r w:rsidR="000B3CCF">
        <w:rPr>
          <w:rFonts w:ascii="Times New Roman" w:eastAsia="Times New Roman" w:hAnsi="Times New Roman" w:cs="Times New Roman"/>
          <w:iCs/>
          <w:color w:val="000000"/>
          <w:sz w:val="24"/>
          <w:szCs w:val="24"/>
        </w:rPr>
        <w:t>mit the use of defamation lawsuits to silence critics speaking out on matters of public concern.]</w:t>
      </w:r>
    </w:p>
    <w:p w14:paraId="456C9E1A" w14:textId="77777777" w:rsidR="00DC73F6" w:rsidRDefault="00DC73F6" w:rsidP="00DC73F6">
      <w:pPr>
        <w:pBdr>
          <w:top w:val="nil"/>
          <w:left w:val="nil"/>
          <w:bottom w:val="nil"/>
          <w:right w:val="nil"/>
          <w:between w:val="nil"/>
        </w:pBdr>
        <w:spacing w:after="0" w:line="240" w:lineRule="auto"/>
        <w:ind w:left="1944"/>
        <w:rPr>
          <w:rFonts w:ascii="Times New Roman" w:eastAsia="Times New Roman" w:hAnsi="Times New Roman" w:cs="Times New Roman"/>
          <w:i/>
          <w:color w:val="000000"/>
          <w:sz w:val="24"/>
          <w:szCs w:val="24"/>
          <w:u w:val="single"/>
        </w:rPr>
      </w:pPr>
    </w:p>
    <w:p w14:paraId="6EB595EC" w14:textId="3E6FCD62" w:rsidR="002819AB" w:rsidRPr="002819AB" w:rsidRDefault="000B3CCF" w:rsidP="00DC73F6">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Coleman has appealed that decision, arguing that New York state law should not apply in a federal lawsuit and </w:t>
      </w:r>
      <w:r w:rsidR="002819AB" w:rsidRPr="002819AB">
        <w:rPr>
          <w:rFonts w:ascii="Times New Roman" w:eastAsia="Times New Roman" w:hAnsi="Times New Roman" w:cs="Times New Roman"/>
          <w:iCs/>
          <w:color w:val="000000"/>
          <w:sz w:val="24"/>
          <w:szCs w:val="24"/>
        </w:rPr>
        <w:t xml:space="preserve">that the district court erred in applying the </w:t>
      </w:r>
      <w:r>
        <w:rPr>
          <w:rFonts w:ascii="Times New Roman" w:eastAsia="Times New Roman" w:hAnsi="Times New Roman" w:cs="Times New Roman"/>
          <w:iCs/>
          <w:color w:val="000000"/>
          <w:sz w:val="24"/>
          <w:szCs w:val="24"/>
        </w:rPr>
        <w:t xml:space="preserve">New York's </w:t>
      </w:r>
      <w:r w:rsidR="002819AB" w:rsidRPr="002819AB">
        <w:rPr>
          <w:rFonts w:ascii="Times New Roman" w:eastAsia="Times New Roman" w:hAnsi="Times New Roman" w:cs="Times New Roman"/>
          <w:iCs/>
          <w:color w:val="000000"/>
          <w:sz w:val="24"/>
          <w:szCs w:val="24"/>
        </w:rPr>
        <w:t>actual malice standard in his case</w:t>
      </w:r>
      <w:r>
        <w:rPr>
          <w:rFonts w:ascii="Times New Roman" w:eastAsia="Times New Roman" w:hAnsi="Times New Roman" w:cs="Times New Roman"/>
          <w:iCs/>
          <w:color w:val="000000"/>
          <w:sz w:val="24"/>
          <w:szCs w:val="24"/>
        </w:rPr>
        <w:t xml:space="preserve">. </w:t>
      </w:r>
      <w:r w:rsidR="002819AB" w:rsidRPr="002819AB">
        <w:rPr>
          <w:rFonts w:ascii="Times New Roman" w:eastAsia="Times New Roman" w:hAnsi="Times New Roman" w:cs="Times New Roman"/>
          <w:iCs/>
          <w:color w:val="000000"/>
          <w:sz w:val="24"/>
          <w:szCs w:val="24"/>
        </w:rPr>
        <w:t xml:space="preserve"> He also argues that Grand's statements concern "purely private matters" and do not constitute "an issue of public interest" for purposes of the anti-SLAPP law.</w:t>
      </w:r>
    </w:p>
    <w:p w14:paraId="474572A6" w14:textId="77777777" w:rsidR="002819AB" w:rsidRPr="002819AB" w:rsidRDefault="002819AB" w:rsidP="002819AB">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p>
    <w:p w14:paraId="576073BB" w14:textId="4F94AEEC" w:rsidR="00EE4E8E" w:rsidRPr="002819AB" w:rsidRDefault="000B3CCF" w:rsidP="002819AB">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FTRF has joined an amicus curiae brief authored by counsel for t</w:t>
      </w:r>
      <w:r w:rsidR="002819AB" w:rsidRPr="002819AB">
        <w:rPr>
          <w:rFonts w:ascii="Times New Roman" w:eastAsia="Times New Roman" w:hAnsi="Times New Roman" w:cs="Times New Roman"/>
          <w:iCs/>
          <w:color w:val="000000"/>
          <w:sz w:val="24"/>
          <w:szCs w:val="24"/>
        </w:rPr>
        <w:t xml:space="preserve">he Reporters’ Committee </w:t>
      </w:r>
      <w:r>
        <w:rPr>
          <w:rFonts w:ascii="Times New Roman" w:eastAsia="Times New Roman" w:hAnsi="Times New Roman" w:cs="Times New Roman"/>
          <w:iCs/>
          <w:color w:val="000000"/>
          <w:sz w:val="24"/>
          <w:szCs w:val="24"/>
        </w:rPr>
        <w:t>for Freedom of the Press</w:t>
      </w:r>
      <w:r w:rsidR="007045F5">
        <w:rPr>
          <w:rFonts w:ascii="Times New Roman" w:eastAsia="Times New Roman" w:hAnsi="Times New Roman" w:cs="Times New Roman"/>
          <w:iCs/>
          <w:color w:val="000000"/>
          <w:sz w:val="24"/>
          <w:szCs w:val="24"/>
        </w:rPr>
        <w:t xml:space="preserve"> </w:t>
      </w:r>
      <w:r w:rsidR="00EA3CE9">
        <w:rPr>
          <w:rFonts w:ascii="Times New Roman" w:eastAsia="Times New Roman" w:hAnsi="Times New Roman" w:cs="Times New Roman"/>
          <w:iCs/>
          <w:color w:val="000000"/>
          <w:sz w:val="24"/>
          <w:szCs w:val="24"/>
        </w:rPr>
        <w:t xml:space="preserve">that </w:t>
      </w:r>
      <w:r w:rsidR="007045F5">
        <w:rPr>
          <w:rFonts w:ascii="Times New Roman" w:eastAsia="Times New Roman" w:hAnsi="Times New Roman" w:cs="Times New Roman"/>
          <w:iCs/>
          <w:color w:val="000000"/>
          <w:sz w:val="24"/>
          <w:szCs w:val="24"/>
        </w:rPr>
        <w:t xml:space="preserve">supports providing </w:t>
      </w:r>
      <w:r w:rsidR="007045F5" w:rsidRPr="007045F5">
        <w:rPr>
          <w:rFonts w:ascii="Times New Roman" w:eastAsia="Times New Roman" w:hAnsi="Times New Roman" w:cs="Times New Roman"/>
          <w:iCs/>
          <w:color w:val="000000"/>
          <w:sz w:val="24"/>
          <w:szCs w:val="24"/>
        </w:rPr>
        <w:t xml:space="preserve">additional protection for speakers making comments on matters of public concern, </w:t>
      </w:r>
      <w:r w:rsidR="007045F5">
        <w:rPr>
          <w:rFonts w:ascii="Times New Roman" w:eastAsia="Times New Roman" w:hAnsi="Times New Roman" w:cs="Times New Roman"/>
          <w:iCs/>
          <w:color w:val="000000"/>
          <w:sz w:val="24"/>
          <w:szCs w:val="24"/>
        </w:rPr>
        <w:t xml:space="preserve">such as </w:t>
      </w:r>
      <w:r w:rsidR="00EA3CE9">
        <w:rPr>
          <w:rFonts w:ascii="Times New Roman" w:eastAsia="Times New Roman" w:hAnsi="Times New Roman" w:cs="Times New Roman"/>
          <w:iCs/>
          <w:color w:val="000000"/>
          <w:sz w:val="24"/>
          <w:szCs w:val="24"/>
        </w:rPr>
        <w:t xml:space="preserve">the </w:t>
      </w:r>
      <w:r w:rsidR="007045F5">
        <w:rPr>
          <w:rFonts w:ascii="Times New Roman" w:eastAsia="Times New Roman" w:hAnsi="Times New Roman" w:cs="Times New Roman"/>
          <w:iCs/>
          <w:color w:val="000000"/>
          <w:sz w:val="24"/>
          <w:szCs w:val="24"/>
        </w:rPr>
        <w:t>comments</w:t>
      </w:r>
      <w:r w:rsidR="00EA3CE9">
        <w:rPr>
          <w:rFonts w:ascii="Times New Roman" w:eastAsia="Times New Roman" w:hAnsi="Times New Roman" w:cs="Times New Roman"/>
          <w:iCs/>
          <w:color w:val="000000"/>
          <w:sz w:val="24"/>
          <w:szCs w:val="24"/>
        </w:rPr>
        <w:t xml:space="preserve"> made by </w:t>
      </w:r>
      <w:r w:rsidR="007045F5">
        <w:rPr>
          <w:rFonts w:ascii="Times New Roman" w:eastAsia="Times New Roman" w:hAnsi="Times New Roman" w:cs="Times New Roman"/>
          <w:iCs/>
          <w:color w:val="000000"/>
          <w:sz w:val="24"/>
          <w:szCs w:val="24"/>
        </w:rPr>
        <w:t>the defendant</w:t>
      </w:r>
      <w:r w:rsidR="00EA3CE9">
        <w:rPr>
          <w:rFonts w:ascii="Times New Roman" w:eastAsia="Times New Roman" w:hAnsi="Times New Roman" w:cs="Times New Roman"/>
          <w:iCs/>
          <w:color w:val="000000"/>
          <w:sz w:val="24"/>
          <w:szCs w:val="24"/>
        </w:rPr>
        <w:t xml:space="preserve"> about her </w:t>
      </w:r>
      <w:r w:rsidR="007045F5" w:rsidRPr="007045F5">
        <w:rPr>
          <w:rFonts w:ascii="Times New Roman" w:eastAsia="Times New Roman" w:hAnsi="Times New Roman" w:cs="Times New Roman"/>
          <w:iCs/>
          <w:color w:val="000000"/>
          <w:sz w:val="24"/>
          <w:szCs w:val="24"/>
        </w:rPr>
        <w:t>views on sexism in the jazz music industry</w:t>
      </w:r>
      <w:r w:rsidR="00EA3CE9">
        <w:rPr>
          <w:rFonts w:ascii="Times New Roman" w:eastAsia="Times New Roman" w:hAnsi="Times New Roman" w:cs="Times New Roman"/>
          <w:iCs/>
          <w:color w:val="000000"/>
          <w:sz w:val="24"/>
          <w:szCs w:val="24"/>
        </w:rPr>
        <w:t>.</w:t>
      </w:r>
      <w:r w:rsidR="007045F5">
        <w:rPr>
          <w:rFonts w:ascii="Times New Roman" w:eastAsia="Times New Roman" w:hAnsi="Times New Roman" w:cs="Times New Roman"/>
          <w:iCs/>
          <w:color w:val="000000"/>
          <w:sz w:val="24"/>
          <w:szCs w:val="24"/>
        </w:rPr>
        <w:t xml:space="preserve"> The </w:t>
      </w:r>
      <w:r w:rsidR="002819AB" w:rsidRPr="002819AB">
        <w:rPr>
          <w:rFonts w:ascii="Times New Roman" w:eastAsia="Times New Roman" w:hAnsi="Times New Roman" w:cs="Times New Roman"/>
          <w:iCs/>
          <w:color w:val="000000"/>
          <w:sz w:val="24"/>
          <w:szCs w:val="24"/>
        </w:rPr>
        <w:t xml:space="preserve">brief argues that the Anti-SLAPP law applies because </w:t>
      </w:r>
      <w:r w:rsidR="007045F5">
        <w:rPr>
          <w:rFonts w:ascii="Times New Roman" w:eastAsia="Times New Roman" w:hAnsi="Times New Roman" w:cs="Times New Roman"/>
          <w:iCs/>
          <w:color w:val="000000"/>
          <w:sz w:val="24"/>
          <w:szCs w:val="24"/>
        </w:rPr>
        <w:t xml:space="preserve">the case involves </w:t>
      </w:r>
      <w:r w:rsidR="002819AB" w:rsidRPr="002819AB">
        <w:rPr>
          <w:rFonts w:ascii="Times New Roman" w:eastAsia="Times New Roman" w:hAnsi="Times New Roman" w:cs="Times New Roman"/>
          <w:iCs/>
          <w:color w:val="000000"/>
          <w:sz w:val="24"/>
          <w:szCs w:val="24"/>
        </w:rPr>
        <w:t>a substantive matter</w:t>
      </w:r>
      <w:r w:rsidR="007045F5">
        <w:rPr>
          <w:rFonts w:ascii="Times New Roman" w:eastAsia="Times New Roman" w:hAnsi="Times New Roman" w:cs="Times New Roman"/>
          <w:iCs/>
          <w:color w:val="000000"/>
          <w:sz w:val="24"/>
          <w:szCs w:val="24"/>
        </w:rPr>
        <w:t xml:space="preserve"> </w:t>
      </w:r>
      <w:r w:rsidR="002819AB" w:rsidRPr="002819AB">
        <w:rPr>
          <w:rFonts w:ascii="Times New Roman" w:eastAsia="Times New Roman" w:hAnsi="Times New Roman" w:cs="Times New Roman"/>
          <w:iCs/>
          <w:color w:val="000000"/>
          <w:sz w:val="24"/>
          <w:szCs w:val="24"/>
        </w:rPr>
        <w:t xml:space="preserve">and not a procedural </w:t>
      </w:r>
      <w:r w:rsidR="007045F5">
        <w:rPr>
          <w:rFonts w:ascii="Times New Roman" w:eastAsia="Times New Roman" w:hAnsi="Times New Roman" w:cs="Times New Roman"/>
          <w:iCs/>
          <w:color w:val="000000"/>
          <w:sz w:val="24"/>
          <w:szCs w:val="24"/>
        </w:rPr>
        <w:t>matter</w:t>
      </w:r>
      <w:r w:rsidR="002819AB" w:rsidRPr="002819AB">
        <w:rPr>
          <w:rFonts w:ascii="Times New Roman" w:eastAsia="Times New Roman" w:hAnsi="Times New Roman" w:cs="Times New Roman"/>
          <w:iCs/>
          <w:color w:val="000000"/>
          <w:sz w:val="24"/>
          <w:szCs w:val="24"/>
        </w:rPr>
        <w:t xml:space="preserve"> and that actual malice is the correct standard</w:t>
      </w:r>
      <w:r w:rsidR="007045F5">
        <w:rPr>
          <w:rFonts w:ascii="Times New Roman" w:eastAsia="Times New Roman" w:hAnsi="Times New Roman" w:cs="Times New Roman"/>
          <w:iCs/>
          <w:color w:val="000000"/>
          <w:sz w:val="24"/>
          <w:szCs w:val="24"/>
        </w:rPr>
        <w:t xml:space="preserve"> to be applied in this lawsuit</w:t>
      </w:r>
      <w:r w:rsidR="002819AB" w:rsidRPr="002819AB">
        <w:rPr>
          <w:rFonts w:ascii="Times New Roman" w:eastAsia="Times New Roman" w:hAnsi="Times New Roman" w:cs="Times New Roman"/>
          <w:iCs/>
          <w:color w:val="000000"/>
          <w:sz w:val="24"/>
          <w:szCs w:val="24"/>
        </w:rPr>
        <w:t xml:space="preserve">. The brief further argues that Grand's statements concerning sexual harassment in the music industry, made in the early days of the #MeToo movement, concern an issue of vital public interest. Finally, the brief highlights examples of meaningful reporting concerning the #MeToo </w:t>
      </w:r>
      <w:r w:rsidR="002819AB" w:rsidRPr="002819AB">
        <w:rPr>
          <w:rFonts w:ascii="Times New Roman" w:eastAsia="Times New Roman" w:hAnsi="Times New Roman" w:cs="Times New Roman"/>
          <w:iCs/>
          <w:color w:val="000000"/>
          <w:sz w:val="24"/>
          <w:szCs w:val="24"/>
        </w:rPr>
        <w:lastRenderedPageBreak/>
        <w:t>movement which relied on the willingness of individuals to share their subjective, personal experiences and warns of the possible chilling effect should individuals no longer feel free to share their stories for fear of potential civil liability.</w:t>
      </w:r>
      <w:r w:rsidR="009B63C9">
        <w:rPr>
          <w:rFonts w:ascii="Times New Roman" w:eastAsia="Times New Roman" w:hAnsi="Times New Roman" w:cs="Times New Roman"/>
          <w:iCs/>
          <w:color w:val="000000"/>
          <w:sz w:val="24"/>
          <w:szCs w:val="24"/>
        </w:rPr>
        <w:t xml:space="preserve"> The case is pending before the Second Circuit Court of Appeals.</w:t>
      </w:r>
    </w:p>
    <w:p w14:paraId="2A44B3BD" w14:textId="77777777" w:rsidR="00EE4E8E" w:rsidRDefault="00EE4E8E">
      <w:pPr>
        <w:pBdr>
          <w:top w:val="nil"/>
          <w:left w:val="nil"/>
          <w:bottom w:val="nil"/>
          <w:right w:val="nil"/>
          <w:between w:val="nil"/>
        </w:pBdr>
        <w:spacing w:after="0" w:line="240" w:lineRule="auto"/>
        <w:ind w:left="1944"/>
        <w:rPr>
          <w:rFonts w:ascii="Times New Roman" w:eastAsia="Times New Roman" w:hAnsi="Times New Roman" w:cs="Times New Roman"/>
          <w:i/>
          <w:color w:val="000000"/>
          <w:sz w:val="24"/>
          <w:szCs w:val="24"/>
          <w:u w:val="single"/>
        </w:rPr>
      </w:pPr>
      <w:bookmarkStart w:id="4" w:name="_heading=h.2et92p0" w:colFirst="0" w:colLast="0"/>
      <w:bookmarkEnd w:id="4"/>
    </w:p>
    <w:p w14:paraId="0E9DBFDD" w14:textId="77777777" w:rsidR="009B63C9" w:rsidRDefault="006E396E" w:rsidP="009B63C9">
      <w:pPr>
        <w:numPr>
          <w:ilvl w:val="2"/>
          <w:numId w:val="4"/>
        </w:num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proofErr w:type="spellStart"/>
      <w:r>
        <w:rPr>
          <w:rFonts w:ascii="Times New Roman" w:eastAsia="Times New Roman" w:hAnsi="Times New Roman" w:cs="Times New Roman"/>
          <w:i/>
          <w:color w:val="000000"/>
          <w:sz w:val="24"/>
          <w:szCs w:val="24"/>
          <w:u w:val="single"/>
        </w:rPr>
        <w:t>Hepp</w:t>
      </w:r>
      <w:proofErr w:type="spellEnd"/>
      <w:r>
        <w:rPr>
          <w:rFonts w:ascii="Times New Roman" w:eastAsia="Times New Roman" w:hAnsi="Times New Roman" w:cs="Times New Roman"/>
          <w:i/>
          <w:color w:val="000000"/>
          <w:sz w:val="24"/>
          <w:szCs w:val="24"/>
          <w:u w:val="single"/>
        </w:rPr>
        <w:t xml:space="preserve"> v. Facebook, Inc. and WGCZ</w:t>
      </w:r>
      <w:r w:rsidR="009B63C9">
        <w:rPr>
          <w:rFonts w:ascii="Times New Roman" w:eastAsia="Times New Roman" w:hAnsi="Times New Roman" w:cs="Times New Roman"/>
          <w:iCs/>
          <w:color w:val="000000"/>
          <w:sz w:val="24"/>
          <w:szCs w:val="24"/>
        </w:rPr>
        <w:t xml:space="preserve">:  </w:t>
      </w:r>
      <w:r w:rsidR="009B63C9" w:rsidRPr="009B63C9">
        <w:rPr>
          <w:rFonts w:ascii="Times New Roman" w:eastAsia="Times New Roman" w:hAnsi="Times New Roman" w:cs="Times New Roman"/>
          <w:iCs/>
          <w:color w:val="000000"/>
          <w:sz w:val="24"/>
          <w:szCs w:val="24"/>
        </w:rPr>
        <w:t xml:space="preserve">Karen </w:t>
      </w:r>
      <w:proofErr w:type="spellStart"/>
      <w:r w:rsidR="009B63C9" w:rsidRPr="009B63C9">
        <w:rPr>
          <w:rFonts w:ascii="Times New Roman" w:eastAsia="Times New Roman" w:hAnsi="Times New Roman" w:cs="Times New Roman"/>
          <w:iCs/>
          <w:color w:val="000000"/>
          <w:sz w:val="24"/>
          <w:szCs w:val="24"/>
        </w:rPr>
        <w:t>Hepp</w:t>
      </w:r>
      <w:proofErr w:type="spellEnd"/>
      <w:r w:rsidR="009B63C9" w:rsidRPr="009B63C9">
        <w:rPr>
          <w:rFonts w:ascii="Times New Roman" w:eastAsia="Times New Roman" w:hAnsi="Times New Roman" w:cs="Times New Roman"/>
          <w:iCs/>
          <w:color w:val="000000"/>
          <w:sz w:val="24"/>
          <w:szCs w:val="24"/>
        </w:rPr>
        <w:t>, a Philadelphia-based newscaster, filed suit against Facebook and other platforms after discovering in 2018 that her photograph was being used in an advertisement for a dating app appearing on Facebook</w:t>
      </w:r>
      <w:r w:rsidR="009B63C9">
        <w:rPr>
          <w:rFonts w:ascii="Times New Roman" w:eastAsia="Times New Roman" w:hAnsi="Times New Roman" w:cs="Times New Roman"/>
          <w:iCs/>
          <w:color w:val="000000"/>
          <w:sz w:val="24"/>
          <w:szCs w:val="24"/>
        </w:rPr>
        <w:t>.  The photo w</w:t>
      </w:r>
      <w:r w:rsidR="009B63C9" w:rsidRPr="009B63C9">
        <w:rPr>
          <w:rFonts w:ascii="Times New Roman" w:eastAsia="Times New Roman" w:hAnsi="Times New Roman" w:cs="Times New Roman"/>
          <w:iCs/>
          <w:color w:val="000000"/>
          <w:sz w:val="24"/>
          <w:szCs w:val="24"/>
        </w:rPr>
        <w:t xml:space="preserve">as also being shared on the online forum Reddit and image-hosting website </w:t>
      </w:r>
      <w:proofErr w:type="spellStart"/>
      <w:r w:rsidR="009B63C9" w:rsidRPr="009B63C9">
        <w:rPr>
          <w:rFonts w:ascii="Times New Roman" w:eastAsia="Times New Roman" w:hAnsi="Times New Roman" w:cs="Times New Roman"/>
          <w:iCs/>
          <w:color w:val="000000"/>
          <w:sz w:val="24"/>
          <w:szCs w:val="24"/>
        </w:rPr>
        <w:t>Imgur</w:t>
      </w:r>
      <w:proofErr w:type="spellEnd"/>
      <w:r w:rsidR="009B63C9" w:rsidRPr="009B63C9">
        <w:rPr>
          <w:rFonts w:ascii="Times New Roman" w:eastAsia="Times New Roman" w:hAnsi="Times New Roman" w:cs="Times New Roman"/>
          <w:iCs/>
          <w:color w:val="000000"/>
          <w:sz w:val="24"/>
          <w:szCs w:val="24"/>
        </w:rPr>
        <w:t xml:space="preserve">.  </w:t>
      </w:r>
    </w:p>
    <w:p w14:paraId="38DE2393" w14:textId="77777777" w:rsidR="009B63C9" w:rsidRDefault="009B63C9" w:rsidP="009B63C9">
      <w:pPr>
        <w:pBdr>
          <w:top w:val="nil"/>
          <w:left w:val="nil"/>
          <w:bottom w:val="nil"/>
          <w:right w:val="nil"/>
          <w:between w:val="nil"/>
        </w:pBdr>
        <w:spacing w:after="0" w:line="240" w:lineRule="auto"/>
        <w:ind w:left="1944"/>
        <w:rPr>
          <w:rFonts w:ascii="Times New Roman" w:eastAsia="Times New Roman" w:hAnsi="Times New Roman" w:cs="Times New Roman"/>
          <w:i/>
          <w:color w:val="000000"/>
          <w:sz w:val="24"/>
          <w:szCs w:val="24"/>
          <w:u w:val="single"/>
        </w:rPr>
      </w:pPr>
    </w:p>
    <w:p w14:paraId="158767F7" w14:textId="4C3DAB63" w:rsidR="009B63C9" w:rsidRPr="009B63C9" w:rsidRDefault="009B63C9" w:rsidP="009B63C9">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proofErr w:type="spellStart"/>
      <w:r w:rsidRPr="009B63C9">
        <w:rPr>
          <w:rFonts w:ascii="Times New Roman" w:eastAsia="Times New Roman" w:hAnsi="Times New Roman" w:cs="Times New Roman"/>
          <w:iCs/>
          <w:color w:val="000000"/>
          <w:sz w:val="24"/>
          <w:szCs w:val="24"/>
        </w:rPr>
        <w:t>Hepp’s</w:t>
      </w:r>
      <w:proofErr w:type="spellEnd"/>
      <w:r w:rsidRPr="009B63C9">
        <w:rPr>
          <w:rFonts w:ascii="Times New Roman" w:eastAsia="Times New Roman" w:hAnsi="Times New Roman" w:cs="Times New Roman"/>
          <w:iCs/>
          <w:color w:val="000000"/>
          <w:sz w:val="24"/>
          <w:szCs w:val="24"/>
        </w:rPr>
        <w:t xml:space="preserve"> complaint against Facebook, Reddit, </w:t>
      </w:r>
      <w:proofErr w:type="spellStart"/>
      <w:r w:rsidRPr="009B63C9">
        <w:rPr>
          <w:rFonts w:ascii="Times New Roman" w:eastAsia="Times New Roman" w:hAnsi="Times New Roman" w:cs="Times New Roman"/>
          <w:iCs/>
          <w:color w:val="000000"/>
          <w:sz w:val="24"/>
          <w:szCs w:val="24"/>
        </w:rPr>
        <w:t>Imgur</w:t>
      </w:r>
      <w:proofErr w:type="spellEnd"/>
      <w:r w:rsidRPr="009B63C9">
        <w:rPr>
          <w:rFonts w:ascii="Times New Roman" w:eastAsia="Times New Roman" w:hAnsi="Times New Roman" w:cs="Times New Roman"/>
          <w:iCs/>
          <w:color w:val="000000"/>
          <w:sz w:val="24"/>
          <w:szCs w:val="24"/>
        </w:rPr>
        <w:t xml:space="preserve"> and others asserted claims for violation of her right of publicity under Pennsylvania </w:t>
      </w:r>
      <w:r>
        <w:rPr>
          <w:rFonts w:ascii="Times New Roman" w:eastAsia="Times New Roman" w:hAnsi="Times New Roman" w:cs="Times New Roman"/>
          <w:iCs/>
          <w:color w:val="000000"/>
          <w:sz w:val="24"/>
          <w:szCs w:val="24"/>
        </w:rPr>
        <w:t xml:space="preserve">law. At trial, the federal </w:t>
      </w:r>
      <w:r w:rsidRPr="009B63C9">
        <w:rPr>
          <w:rFonts w:ascii="Times New Roman" w:eastAsia="Times New Roman" w:hAnsi="Times New Roman" w:cs="Times New Roman"/>
          <w:iCs/>
          <w:color w:val="000000"/>
          <w:sz w:val="24"/>
          <w:szCs w:val="24"/>
        </w:rPr>
        <w:t xml:space="preserve">district court dismissed </w:t>
      </w:r>
      <w:proofErr w:type="spellStart"/>
      <w:r w:rsidRPr="009B63C9">
        <w:rPr>
          <w:rFonts w:ascii="Times New Roman" w:eastAsia="Times New Roman" w:hAnsi="Times New Roman" w:cs="Times New Roman"/>
          <w:iCs/>
          <w:color w:val="000000"/>
          <w:sz w:val="24"/>
          <w:szCs w:val="24"/>
        </w:rPr>
        <w:t>Hepp’s</w:t>
      </w:r>
      <w:proofErr w:type="spellEnd"/>
      <w:r w:rsidRPr="009B63C9">
        <w:rPr>
          <w:rFonts w:ascii="Times New Roman" w:eastAsia="Times New Roman" w:hAnsi="Times New Roman" w:cs="Times New Roman"/>
          <w:iCs/>
          <w:color w:val="000000"/>
          <w:sz w:val="24"/>
          <w:szCs w:val="24"/>
        </w:rPr>
        <w:t xml:space="preserve"> complaint with prejudice, ruling that the three companies were entitled to immunity pursuant to Section 230(c) of the Communications Decency Act. </w:t>
      </w:r>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Hepp</w:t>
      </w:r>
      <w:proofErr w:type="spellEnd"/>
      <w:r>
        <w:rPr>
          <w:rFonts w:ascii="Times New Roman" w:eastAsia="Times New Roman" w:hAnsi="Times New Roman" w:cs="Times New Roman"/>
          <w:iCs/>
          <w:color w:val="000000"/>
          <w:sz w:val="24"/>
          <w:szCs w:val="24"/>
        </w:rPr>
        <w:t xml:space="preserve"> appealed that decision, and th</w:t>
      </w:r>
      <w:r w:rsidRPr="009B63C9">
        <w:rPr>
          <w:rFonts w:ascii="Times New Roman" w:eastAsia="Times New Roman" w:hAnsi="Times New Roman" w:cs="Times New Roman"/>
          <w:iCs/>
          <w:color w:val="000000"/>
          <w:sz w:val="24"/>
          <w:szCs w:val="24"/>
        </w:rPr>
        <w:t xml:space="preserve">e </w:t>
      </w:r>
      <w:r>
        <w:rPr>
          <w:rFonts w:ascii="Times New Roman" w:eastAsia="Times New Roman" w:hAnsi="Times New Roman" w:cs="Times New Roman"/>
          <w:iCs/>
          <w:color w:val="000000"/>
          <w:sz w:val="24"/>
          <w:szCs w:val="24"/>
        </w:rPr>
        <w:t>T</w:t>
      </w:r>
      <w:r w:rsidRPr="009B63C9">
        <w:rPr>
          <w:rFonts w:ascii="Times New Roman" w:eastAsia="Times New Roman" w:hAnsi="Times New Roman" w:cs="Times New Roman"/>
          <w:iCs/>
          <w:color w:val="000000"/>
          <w:sz w:val="24"/>
          <w:szCs w:val="24"/>
        </w:rPr>
        <w:t>hird Circuit</w:t>
      </w:r>
      <w:r>
        <w:rPr>
          <w:rFonts w:ascii="Times New Roman" w:eastAsia="Times New Roman" w:hAnsi="Times New Roman" w:cs="Times New Roman"/>
          <w:iCs/>
          <w:color w:val="000000"/>
          <w:sz w:val="24"/>
          <w:szCs w:val="24"/>
        </w:rPr>
        <w:t xml:space="preserve"> Court of Appeals</w:t>
      </w:r>
      <w:r w:rsidRPr="009B63C9">
        <w:rPr>
          <w:rFonts w:ascii="Times New Roman" w:eastAsia="Times New Roman" w:hAnsi="Times New Roman" w:cs="Times New Roman"/>
          <w:iCs/>
          <w:color w:val="000000"/>
          <w:sz w:val="24"/>
          <w:szCs w:val="24"/>
        </w:rPr>
        <w:t xml:space="preserve"> reversed</w:t>
      </w:r>
      <w:r>
        <w:rPr>
          <w:rFonts w:ascii="Times New Roman" w:eastAsia="Times New Roman" w:hAnsi="Times New Roman" w:cs="Times New Roman"/>
          <w:iCs/>
          <w:color w:val="000000"/>
          <w:sz w:val="24"/>
          <w:szCs w:val="24"/>
        </w:rPr>
        <w:t xml:space="preserve"> it</w:t>
      </w:r>
      <w:r w:rsidRPr="009B63C9">
        <w:rPr>
          <w:rFonts w:ascii="Times New Roman" w:eastAsia="Times New Roman" w:hAnsi="Times New Roman" w:cs="Times New Roman"/>
          <w:iCs/>
          <w:color w:val="000000"/>
          <w:sz w:val="24"/>
          <w:szCs w:val="24"/>
        </w:rPr>
        <w:t xml:space="preserve"> and remanded</w:t>
      </w:r>
      <w:r>
        <w:rPr>
          <w:rFonts w:ascii="Times New Roman" w:eastAsia="Times New Roman" w:hAnsi="Times New Roman" w:cs="Times New Roman"/>
          <w:iCs/>
          <w:color w:val="000000"/>
          <w:sz w:val="24"/>
          <w:szCs w:val="24"/>
        </w:rPr>
        <w:t xml:space="preserve"> the case to the trial court</w:t>
      </w:r>
      <w:r w:rsidRPr="009B63C9">
        <w:rPr>
          <w:rFonts w:ascii="Times New Roman" w:eastAsia="Times New Roman" w:hAnsi="Times New Roman" w:cs="Times New Roman"/>
          <w:iCs/>
          <w:color w:val="000000"/>
          <w:sz w:val="24"/>
          <w:szCs w:val="24"/>
        </w:rPr>
        <w:t xml:space="preserve">, finding that Section 230 does not provide immunity from state law-based intellectual property claims and that </w:t>
      </w:r>
      <w:proofErr w:type="spellStart"/>
      <w:r w:rsidRPr="009B63C9">
        <w:rPr>
          <w:rFonts w:ascii="Times New Roman" w:eastAsia="Times New Roman" w:hAnsi="Times New Roman" w:cs="Times New Roman"/>
          <w:iCs/>
          <w:color w:val="000000"/>
          <w:sz w:val="24"/>
          <w:szCs w:val="24"/>
        </w:rPr>
        <w:t>Hepp’s</w:t>
      </w:r>
      <w:proofErr w:type="spellEnd"/>
      <w:r w:rsidRPr="009B63C9">
        <w:rPr>
          <w:rFonts w:ascii="Times New Roman" w:eastAsia="Times New Roman" w:hAnsi="Times New Roman" w:cs="Times New Roman"/>
          <w:iCs/>
          <w:color w:val="000000"/>
          <w:sz w:val="24"/>
          <w:szCs w:val="24"/>
        </w:rPr>
        <w:t xml:space="preserve"> right of publicity claims under Pennsylvania law </w:t>
      </w:r>
      <w:r>
        <w:rPr>
          <w:rFonts w:ascii="Times New Roman" w:eastAsia="Times New Roman" w:hAnsi="Times New Roman" w:cs="Times New Roman"/>
          <w:iCs/>
          <w:color w:val="000000"/>
          <w:sz w:val="24"/>
          <w:szCs w:val="24"/>
        </w:rPr>
        <w:t>represented</w:t>
      </w:r>
      <w:r w:rsidRPr="009B63C9">
        <w:rPr>
          <w:rFonts w:ascii="Times New Roman" w:eastAsia="Times New Roman" w:hAnsi="Times New Roman" w:cs="Times New Roman"/>
          <w:iCs/>
          <w:color w:val="000000"/>
          <w:sz w:val="24"/>
          <w:szCs w:val="24"/>
        </w:rPr>
        <w:t xml:space="preserve"> such claims.  </w:t>
      </w:r>
    </w:p>
    <w:p w14:paraId="06AC23B5" w14:textId="77777777" w:rsidR="009B63C9" w:rsidRPr="009B63C9" w:rsidRDefault="009B63C9" w:rsidP="009B63C9">
      <w:p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p>
    <w:p w14:paraId="7576A7B0" w14:textId="77777777" w:rsidR="008C230D" w:rsidRDefault="008B124C" w:rsidP="008B124C">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FTRF has joined an amicus curiae brief authored by counsel for the Electronic Frontier Foundation that argues that excluding </w:t>
      </w:r>
      <w:r w:rsidR="009B63C9" w:rsidRPr="009B63C9">
        <w:rPr>
          <w:rFonts w:ascii="Times New Roman" w:eastAsia="Times New Roman" w:hAnsi="Times New Roman" w:cs="Times New Roman"/>
          <w:iCs/>
          <w:color w:val="000000"/>
          <w:sz w:val="24"/>
          <w:szCs w:val="24"/>
        </w:rPr>
        <w:t>state publicity rights claims from Section 230 immunity</w:t>
      </w:r>
      <w:r>
        <w:rPr>
          <w:rFonts w:ascii="Times New Roman" w:eastAsia="Times New Roman" w:hAnsi="Times New Roman" w:cs="Times New Roman"/>
          <w:iCs/>
          <w:color w:val="000000"/>
          <w:sz w:val="24"/>
          <w:szCs w:val="24"/>
        </w:rPr>
        <w:t xml:space="preserve"> would impair the ability of online platforms to host content</w:t>
      </w:r>
      <w:r w:rsidR="008C230D">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as such online</w:t>
      </w:r>
      <w:r w:rsidR="009B63C9" w:rsidRPr="009B63C9">
        <w:rPr>
          <w:rFonts w:ascii="Times New Roman" w:eastAsia="Times New Roman" w:hAnsi="Times New Roman" w:cs="Times New Roman"/>
          <w:iCs/>
          <w:color w:val="000000"/>
          <w:sz w:val="24"/>
          <w:szCs w:val="24"/>
        </w:rPr>
        <w:t xml:space="preserve"> intermediaries could only host as much speech as their lawyers, content moderators, and filters could screen beforehand, based on the most restrictive provisions in varying state laws. Th</w:t>
      </w:r>
      <w:r w:rsidR="008C230D">
        <w:rPr>
          <w:rFonts w:ascii="Times New Roman" w:eastAsia="Times New Roman" w:hAnsi="Times New Roman" w:cs="Times New Roman"/>
          <w:iCs/>
          <w:color w:val="000000"/>
          <w:sz w:val="24"/>
          <w:szCs w:val="24"/>
        </w:rPr>
        <w:t xml:space="preserve">ese circumstances </w:t>
      </w:r>
      <w:r w:rsidR="009B63C9" w:rsidRPr="009B63C9">
        <w:rPr>
          <w:rFonts w:ascii="Times New Roman" w:eastAsia="Times New Roman" w:hAnsi="Times New Roman" w:cs="Times New Roman"/>
          <w:iCs/>
          <w:color w:val="000000"/>
          <w:sz w:val="24"/>
          <w:szCs w:val="24"/>
        </w:rPr>
        <w:t>will force email providers, social media platforms, and any site that supports user-generated content to tailor their sites to ensure compliance with the most restrictive state law</w:t>
      </w:r>
      <w:r w:rsidR="008C230D">
        <w:rPr>
          <w:rFonts w:ascii="Times New Roman" w:eastAsia="Times New Roman" w:hAnsi="Times New Roman" w:cs="Times New Roman"/>
          <w:iCs/>
          <w:color w:val="000000"/>
          <w:sz w:val="24"/>
          <w:szCs w:val="24"/>
        </w:rPr>
        <w:t>s</w:t>
      </w:r>
      <w:r>
        <w:rPr>
          <w:rFonts w:ascii="Times New Roman" w:eastAsia="Times New Roman" w:hAnsi="Times New Roman" w:cs="Times New Roman"/>
          <w:iCs/>
          <w:color w:val="000000"/>
          <w:sz w:val="24"/>
          <w:szCs w:val="24"/>
        </w:rPr>
        <w:t xml:space="preserve">. Libraries, for example, might need to closely monitor patrons' use of the Internet. </w:t>
      </w:r>
    </w:p>
    <w:p w14:paraId="6D86B9D4" w14:textId="77777777" w:rsidR="008C230D" w:rsidRDefault="008C230D" w:rsidP="008B124C">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p>
    <w:p w14:paraId="28B0153B" w14:textId="3900C4B2" w:rsidR="00EE4E8E" w:rsidRPr="008B124C" w:rsidRDefault="008B124C" w:rsidP="008B124C">
      <w:pPr>
        <w:pBdr>
          <w:top w:val="nil"/>
          <w:left w:val="nil"/>
          <w:bottom w:val="nil"/>
          <w:right w:val="nil"/>
          <w:between w:val="nil"/>
        </w:pBdr>
        <w:spacing w:after="0" w:line="240" w:lineRule="auto"/>
        <w:ind w:left="194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Third Circuit issued its opinion and mandate on November 26, 2021.</w:t>
      </w:r>
    </w:p>
    <w:p w14:paraId="062B3B6C" w14:textId="77777777" w:rsidR="00EE4E8E" w:rsidRDefault="006E396E">
      <w:pPr>
        <w:pBdr>
          <w:top w:val="nil"/>
          <w:left w:val="nil"/>
          <w:bottom w:val="nil"/>
          <w:right w:val="nil"/>
          <w:between w:val="nil"/>
        </w:pBdr>
        <w:spacing w:after="0" w:line="240" w:lineRule="auto"/>
        <w:ind w:left="1944"/>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 xml:space="preserve"> </w:t>
      </w:r>
    </w:p>
    <w:p w14:paraId="4393608C" w14:textId="77777777" w:rsidR="00EE4E8E" w:rsidRDefault="006E396E">
      <w:pPr>
        <w:numPr>
          <w:ilvl w:val="1"/>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 xml:space="preserve">Media Coalition Report and Update: </w:t>
      </w:r>
      <w:r>
        <w:rPr>
          <w:rFonts w:ascii="Times New Roman" w:eastAsia="Times New Roman" w:hAnsi="Times New Roman" w:cs="Times New Roman"/>
          <w:color w:val="000000"/>
          <w:sz w:val="24"/>
          <w:szCs w:val="24"/>
        </w:rPr>
        <w:t>D. Horowitz</w:t>
      </w:r>
    </w:p>
    <w:p w14:paraId="07EBAB30" w14:textId="77777777" w:rsidR="00EE4E8E" w:rsidRDefault="00EE4E8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7712F91F" w14:textId="77777777" w:rsidR="00EE4E8E" w:rsidRDefault="006E396E">
      <w:pPr>
        <w:numPr>
          <w:ilvl w:val="1"/>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State, Federal, and Local Actions Impacting the Freedom to Read:</w:t>
      </w:r>
      <w:r>
        <w:rPr>
          <w:rFonts w:ascii="Times New Roman" w:eastAsia="Times New Roman" w:hAnsi="Times New Roman" w:cs="Times New Roman"/>
          <w:color w:val="000000"/>
          <w:sz w:val="24"/>
          <w:szCs w:val="24"/>
        </w:rPr>
        <w:t xml:space="preserve"> D. Caldwell-Stone </w:t>
      </w:r>
    </w:p>
    <w:p w14:paraId="2DEC0C4E" w14:textId="77777777" w:rsidR="00EE4E8E" w:rsidRDefault="00EE4E8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53A0D17E" w14:textId="77777777" w:rsidR="00EE4E8E" w:rsidRDefault="006E396E">
      <w:pPr>
        <w:keepNext/>
        <w:keepLines/>
        <w:widowControl/>
        <w:numPr>
          <w:ilvl w:val="1"/>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lastRenderedPageBreak/>
        <w:t>Developing Issues Committee: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Cole Adams</w:t>
      </w:r>
    </w:p>
    <w:p w14:paraId="5B91C1B6" w14:textId="77777777" w:rsidR="00EE4E8E" w:rsidRDefault="00EE4E8E">
      <w:pPr>
        <w:keepNext/>
        <w:keepLines/>
        <w:widowControl/>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1C15563" w14:textId="77777777" w:rsidR="00EE4E8E" w:rsidRDefault="006E396E">
      <w:pPr>
        <w:keepNext/>
        <w:keepLines/>
        <w:widowControl/>
        <w:numPr>
          <w:ilvl w:val="1"/>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sz w:val="24"/>
          <w:szCs w:val="24"/>
        </w:rPr>
        <w:t>Symposium</w:t>
      </w:r>
      <w:r>
        <w:rPr>
          <w:rFonts w:ascii="Times New Roman" w:eastAsia="Times New Roman" w:hAnsi="Times New Roman" w:cs="Times New Roman"/>
          <w:b/>
          <w:color w:val="000000"/>
          <w:sz w:val="24"/>
          <w:szCs w:val="24"/>
        </w:rPr>
        <w:t xml:space="preserve"> on Intersection between Intellectual Freedom and Social Justice: </w:t>
      </w:r>
      <w:r>
        <w:rPr>
          <w:rFonts w:ascii="Times New Roman" w:eastAsia="Times New Roman" w:hAnsi="Times New Roman" w:cs="Times New Roman"/>
          <w:sz w:val="24"/>
          <w:szCs w:val="24"/>
        </w:rPr>
        <w:t>Sukrit Goswami, Sophia Sotilleo</w:t>
      </w:r>
    </w:p>
    <w:p w14:paraId="70F56A83" w14:textId="77777777" w:rsidR="00EE4E8E" w:rsidRDefault="00EE4E8E">
      <w:pPr>
        <w:keepNext/>
        <w:keepLines/>
        <w:widowControl/>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2042299" w14:textId="77777777" w:rsidR="00EE4E8E" w:rsidRDefault="006E396E">
      <w:pPr>
        <w:keepNext/>
        <w:keepLines/>
        <w:widowControl/>
        <w:numPr>
          <w:ilvl w:val="1"/>
          <w:numId w:val="4"/>
        </w:numPr>
        <w:pBdr>
          <w:top w:val="nil"/>
          <w:left w:val="nil"/>
          <w:bottom w:val="nil"/>
          <w:right w:val="nil"/>
          <w:between w:val="nil"/>
        </w:pBdr>
        <w:spacing w:after="0" w:line="240" w:lineRule="auto"/>
        <w:rPr>
          <w:sz w:val="24"/>
          <w:szCs w:val="24"/>
        </w:rPr>
      </w:pPr>
      <w:r>
        <w:rPr>
          <w:rFonts w:ascii="Times New Roman" w:eastAsia="Times New Roman" w:hAnsi="Times New Roman" w:cs="Times New Roman"/>
          <w:b/>
          <w:sz w:val="24"/>
          <w:szCs w:val="24"/>
        </w:rPr>
        <w:t xml:space="preserve">Discussion of Mission and Future Direction of Foundation: </w:t>
      </w:r>
      <w:r>
        <w:rPr>
          <w:rFonts w:ascii="Times New Roman" w:eastAsia="Times New Roman" w:hAnsi="Times New Roman" w:cs="Times New Roman"/>
          <w:sz w:val="24"/>
          <w:szCs w:val="24"/>
        </w:rPr>
        <w:t>B. Stripling, D. Caldwell-Stone</w:t>
      </w:r>
    </w:p>
    <w:p w14:paraId="43B00D7D" w14:textId="77777777" w:rsidR="00EE4E8E" w:rsidRDefault="00EE4E8E">
      <w:pPr>
        <w:keepNext/>
        <w:keepLines/>
        <w:widowControl/>
        <w:pBdr>
          <w:top w:val="nil"/>
          <w:left w:val="nil"/>
          <w:bottom w:val="nil"/>
          <w:right w:val="nil"/>
          <w:between w:val="nil"/>
        </w:pBdr>
        <w:spacing w:after="0" w:line="240" w:lineRule="auto"/>
        <w:rPr>
          <w:rFonts w:ascii="Times New Roman" w:eastAsia="Times New Roman" w:hAnsi="Times New Roman" w:cs="Times New Roman"/>
          <w:sz w:val="24"/>
          <w:szCs w:val="24"/>
        </w:rPr>
      </w:pPr>
    </w:p>
    <w:p w14:paraId="5402604E" w14:textId="77777777" w:rsidR="00EE4E8E" w:rsidRDefault="00EE4E8E">
      <w:pPr>
        <w:widowControl/>
        <w:spacing w:after="0" w:line="240" w:lineRule="auto"/>
        <w:rPr>
          <w:rFonts w:ascii="Times New Roman" w:eastAsia="Times New Roman" w:hAnsi="Times New Roman" w:cs="Times New Roman"/>
          <w:sz w:val="24"/>
          <w:szCs w:val="24"/>
        </w:rPr>
      </w:pPr>
    </w:p>
    <w:p w14:paraId="7A357FC0" w14:textId="77777777" w:rsidR="00EE4E8E" w:rsidRDefault="006E396E">
      <w:pPr>
        <w:numPr>
          <w:ilvl w:val="0"/>
          <w:numId w:val="4"/>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REPORTS OF OFFICERS</w:t>
      </w:r>
    </w:p>
    <w:p w14:paraId="7172ECC5" w14:textId="77777777" w:rsidR="00EE4E8E" w:rsidRDefault="00EE4E8E">
      <w:pPr>
        <w:spacing w:after="0" w:line="240" w:lineRule="auto"/>
        <w:ind w:right="-20"/>
        <w:rPr>
          <w:rFonts w:ascii="Times New Roman" w:eastAsia="Times New Roman" w:hAnsi="Times New Roman" w:cs="Times New Roman"/>
          <w:sz w:val="24"/>
          <w:szCs w:val="24"/>
        </w:rPr>
      </w:pPr>
    </w:p>
    <w:p w14:paraId="60F243DD"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President’s Report</w:t>
      </w:r>
      <w:r>
        <w:rPr>
          <w:rFonts w:ascii="Times New Roman" w:eastAsia="Times New Roman" w:hAnsi="Times New Roman" w:cs="Times New Roman"/>
          <w:color w:val="000000"/>
          <w:sz w:val="24"/>
          <w:szCs w:val="24"/>
        </w:rPr>
        <w:t>:  B. Stripling</w:t>
      </w:r>
    </w:p>
    <w:p w14:paraId="492270B1" w14:textId="77777777" w:rsidR="00EE4E8E" w:rsidRDefault="00EE4E8E">
      <w:pPr>
        <w:spacing w:after="0" w:line="240" w:lineRule="auto"/>
        <w:rPr>
          <w:sz w:val="26"/>
          <w:szCs w:val="26"/>
        </w:rPr>
      </w:pPr>
    </w:p>
    <w:p w14:paraId="494A165C" w14:textId="77777777" w:rsidR="00EE4E8E" w:rsidRDefault="006E396E">
      <w:pPr>
        <w:numPr>
          <w:ilvl w:val="2"/>
          <w:numId w:val="2"/>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Members' Commitment ($500)</w:t>
      </w:r>
    </w:p>
    <w:p w14:paraId="3A489C04" w14:textId="77777777" w:rsidR="00EE4E8E" w:rsidRDefault="00EE4E8E">
      <w:pPr>
        <w:spacing w:after="0" w:line="240" w:lineRule="auto"/>
        <w:rPr>
          <w:sz w:val="26"/>
          <w:szCs w:val="26"/>
        </w:rPr>
      </w:pPr>
    </w:p>
    <w:p w14:paraId="0E962211"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 and Finance Committee</w:t>
      </w:r>
      <w:r>
        <w:rPr>
          <w:rFonts w:ascii="Times New Roman" w:eastAsia="Times New Roman" w:hAnsi="Times New Roman" w:cs="Times New Roman"/>
          <w:color w:val="000000"/>
          <w:sz w:val="24"/>
          <w:szCs w:val="24"/>
        </w:rPr>
        <w:t>; J. Neal</w:t>
      </w:r>
    </w:p>
    <w:p w14:paraId="30A5AD22" w14:textId="77777777" w:rsidR="00EE4E8E" w:rsidRDefault="00EE4E8E">
      <w:pPr>
        <w:spacing w:after="0" w:line="240" w:lineRule="auto"/>
        <w:rPr>
          <w:sz w:val="26"/>
          <w:szCs w:val="26"/>
        </w:rPr>
      </w:pPr>
    </w:p>
    <w:p w14:paraId="5EEFCBB7" w14:textId="77777777" w:rsidR="00EE4E8E" w:rsidRDefault="006E396E">
      <w:pPr>
        <w:numPr>
          <w:ilvl w:val="2"/>
          <w:numId w:val="2"/>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and Asset Overview (Exhibit__, to be distributed)</w:t>
      </w:r>
    </w:p>
    <w:p w14:paraId="30670792" w14:textId="77777777" w:rsidR="00EE4E8E" w:rsidRDefault="006E396E">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Action Item:</w:t>
      </w:r>
      <w:r>
        <w:rPr>
          <w:color w:val="000000"/>
        </w:rPr>
        <w:t xml:space="preserve">  </w:t>
      </w:r>
      <w:r>
        <w:rPr>
          <w:rFonts w:ascii="Times New Roman" w:eastAsia="Times New Roman" w:hAnsi="Times New Roman" w:cs="Times New Roman"/>
          <w:color w:val="000000"/>
          <w:sz w:val="24"/>
          <w:szCs w:val="24"/>
        </w:rPr>
        <w:t>Proposed 2021-202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Budget (Exhibit__, to be distributed)</w:t>
      </w:r>
    </w:p>
    <w:p w14:paraId="7B9A2894" w14:textId="77777777" w:rsidR="00EE4E8E" w:rsidRDefault="00EE4E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413ACFA" w14:textId="77777777" w:rsidR="00EE4E8E" w:rsidRDefault="006E396E">
      <w:pPr>
        <w:numPr>
          <w:ilvl w:val="1"/>
          <w:numId w:val="2"/>
        </w:numPr>
        <w:pBdr>
          <w:top w:val="nil"/>
          <w:left w:val="nil"/>
          <w:bottom w:val="nil"/>
          <w:right w:val="nil"/>
          <w:between w:val="nil"/>
        </w:pBdr>
        <w:spacing w:after="0"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Director's Update</w:t>
      </w:r>
      <w:r>
        <w:rPr>
          <w:rFonts w:ascii="Times New Roman" w:eastAsia="Times New Roman" w:hAnsi="Times New Roman" w:cs="Times New Roman"/>
          <w:color w:val="000000"/>
          <w:sz w:val="24"/>
          <w:szCs w:val="24"/>
        </w:rPr>
        <w:t>: D. Caldwell-Stone</w:t>
      </w:r>
    </w:p>
    <w:p w14:paraId="61DFCC5C" w14:textId="77777777" w:rsidR="00EE4E8E" w:rsidRDefault="00EE4E8E">
      <w:pPr>
        <w:pBdr>
          <w:top w:val="nil"/>
          <w:left w:val="nil"/>
          <w:bottom w:val="nil"/>
          <w:right w:val="nil"/>
          <w:between w:val="nil"/>
        </w:pBdr>
        <w:spacing w:after="0" w:line="240" w:lineRule="auto"/>
        <w:ind w:left="1440" w:right="-20"/>
        <w:rPr>
          <w:rFonts w:ascii="Times New Roman" w:eastAsia="Times New Roman" w:hAnsi="Times New Roman" w:cs="Times New Roman"/>
          <w:color w:val="000000"/>
          <w:sz w:val="24"/>
          <w:szCs w:val="24"/>
        </w:rPr>
      </w:pPr>
    </w:p>
    <w:p w14:paraId="61AFC195" w14:textId="77777777" w:rsidR="00EE4E8E" w:rsidRDefault="006E396E">
      <w:pPr>
        <w:numPr>
          <w:ilvl w:val="2"/>
          <w:numId w:val="2"/>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Advocacy:  Letters and Statements</w:t>
      </w:r>
    </w:p>
    <w:p w14:paraId="2EA25B01" w14:textId="77777777" w:rsidR="00EE4E8E" w:rsidRDefault="006E396E">
      <w:pPr>
        <w:keepNext/>
        <w:widowControl/>
        <w:numPr>
          <w:ilvl w:val="2"/>
          <w:numId w:val="2"/>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Update: UIUC Downs Award Sponsorship </w:t>
      </w:r>
    </w:p>
    <w:p w14:paraId="258A0217" w14:textId="77777777" w:rsidR="00EE4E8E" w:rsidRDefault="006E396E">
      <w:pPr>
        <w:keepNext/>
        <w:widowControl/>
        <w:numPr>
          <w:ilvl w:val="2"/>
          <w:numId w:val="2"/>
        </w:numPr>
        <w:pBdr>
          <w:top w:val="nil"/>
          <w:left w:val="nil"/>
          <w:bottom w:val="nil"/>
          <w:right w:val="nil"/>
          <w:between w:val="nil"/>
        </w:pBdr>
        <w:spacing w:after="0" w:line="240" w:lineRule="auto"/>
        <w:rPr>
          <w:color w:val="000000"/>
          <w:sz w:val="26"/>
          <w:szCs w:val="26"/>
        </w:rPr>
      </w:pPr>
      <w:r>
        <w:rPr>
          <w:rFonts w:ascii="Times New Roman" w:eastAsia="Times New Roman" w:hAnsi="Times New Roman" w:cs="Times New Roman"/>
          <w:color w:val="000000"/>
          <w:sz w:val="24"/>
          <w:szCs w:val="24"/>
        </w:rPr>
        <w:t>Update: ALA</w:t>
      </w:r>
      <w:r>
        <w:rPr>
          <w:rFonts w:ascii="Times New Roman" w:eastAsia="Times New Roman" w:hAnsi="Times New Roman" w:cs="Times New Roman"/>
          <w:sz w:val="24"/>
          <w:szCs w:val="24"/>
        </w:rPr>
        <w:t xml:space="preserve"> Return to Office and COVID Response</w:t>
      </w:r>
    </w:p>
    <w:p w14:paraId="3A7F0632" w14:textId="77777777" w:rsidR="00EE4E8E" w:rsidRDefault="00EE4E8E">
      <w:pPr>
        <w:spacing w:after="0" w:line="240" w:lineRule="auto"/>
        <w:rPr>
          <w:sz w:val="26"/>
          <w:szCs w:val="26"/>
        </w:rPr>
      </w:pPr>
    </w:p>
    <w:p w14:paraId="361D7DD6" w14:textId="77777777" w:rsidR="00EE4E8E" w:rsidRDefault="006E396E">
      <w:pPr>
        <w:numPr>
          <w:ilvl w:val="0"/>
          <w:numId w:val="2"/>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COMMITTEE REPORTS</w:t>
      </w:r>
    </w:p>
    <w:p w14:paraId="24715422" w14:textId="77777777" w:rsidR="00EE4E8E" w:rsidRDefault="00EE4E8E">
      <w:pPr>
        <w:spacing w:after="0" w:line="240" w:lineRule="auto"/>
        <w:rPr>
          <w:sz w:val="26"/>
          <w:szCs w:val="26"/>
        </w:rPr>
      </w:pPr>
    </w:p>
    <w:p w14:paraId="2AB56A94"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Membership Committee</w:t>
      </w:r>
      <w:r>
        <w:rPr>
          <w:rFonts w:ascii="Times New Roman" w:eastAsia="Times New Roman" w:hAnsi="Times New Roman" w:cs="Times New Roman"/>
          <w:color w:val="000000"/>
          <w:sz w:val="24"/>
          <w:szCs w:val="24"/>
        </w:rPr>
        <w:t>:  S. Dallas</w:t>
      </w:r>
    </w:p>
    <w:p w14:paraId="0CC67B86" w14:textId="77777777" w:rsidR="00EE4E8E" w:rsidRDefault="00EE4E8E">
      <w:pPr>
        <w:pBdr>
          <w:top w:val="nil"/>
          <w:left w:val="nil"/>
          <w:bottom w:val="nil"/>
          <w:right w:val="nil"/>
          <w:between w:val="nil"/>
        </w:pBdr>
        <w:tabs>
          <w:tab w:val="left" w:pos="1560"/>
        </w:tabs>
        <w:spacing w:after="0" w:line="240" w:lineRule="auto"/>
        <w:ind w:left="1440" w:right="-20"/>
        <w:rPr>
          <w:rFonts w:ascii="Times New Roman" w:eastAsia="Times New Roman" w:hAnsi="Times New Roman" w:cs="Times New Roman"/>
          <w:color w:val="000000"/>
          <w:sz w:val="24"/>
          <w:szCs w:val="24"/>
        </w:rPr>
      </w:pPr>
    </w:p>
    <w:p w14:paraId="357D694B"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Fundraising Committee: </w:t>
      </w:r>
      <w:r>
        <w:rPr>
          <w:rFonts w:ascii="Times New Roman" w:eastAsia="Times New Roman" w:hAnsi="Times New Roman" w:cs="Times New Roman"/>
          <w:color w:val="000000"/>
          <w:sz w:val="24"/>
          <w:szCs w:val="24"/>
        </w:rPr>
        <w:t>P. Coyl</w:t>
      </w:r>
    </w:p>
    <w:p w14:paraId="273D4321" w14:textId="77777777" w:rsidR="00EE4E8E" w:rsidRDefault="00EE4E8E">
      <w:pPr>
        <w:pBdr>
          <w:top w:val="nil"/>
          <w:left w:val="nil"/>
          <w:bottom w:val="nil"/>
          <w:right w:val="nil"/>
          <w:between w:val="nil"/>
        </w:pBdr>
        <w:tabs>
          <w:tab w:val="left" w:pos="1560"/>
        </w:tabs>
        <w:spacing w:after="0" w:line="240" w:lineRule="auto"/>
        <w:ind w:left="1440" w:right="-20"/>
        <w:rPr>
          <w:rFonts w:ascii="Times New Roman" w:eastAsia="Times New Roman" w:hAnsi="Times New Roman" w:cs="Times New Roman"/>
          <w:color w:val="000000"/>
          <w:sz w:val="24"/>
          <w:szCs w:val="24"/>
        </w:rPr>
      </w:pPr>
    </w:p>
    <w:p w14:paraId="74451D81"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Krug Fund</w:t>
      </w:r>
      <w:r>
        <w:rPr>
          <w:rFonts w:ascii="Times New Roman" w:eastAsia="Times New Roman" w:hAnsi="Times New Roman" w:cs="Times New Roman"/>
          <w:color w:val="000000"/>
          <w:sz w:val="24"/>
          <w:szCs w:val="24"/>
        </w:rPr>
        <w:t xml:space="preserve"> </w:t>
      </w:r>
    </w:p>
    <w:p w14:paraId="1A89D9DF" w14:textId="77777777" w:rsidR="00EE4E8E" w:rsidRDefault="00EE4E8E">
      <w:pPr>
        <w:pBdr>
          <w:top w:val="nil"/>
          <w:left w:val="nil"/>
          <w:bottom w:val="nil"/>
          <w:right w:val="nil"/>
          <w:between w:val="nil"/>
        </w:pBdr>
        <w:tabs>
          <w:tab w:val="left" w:pos="1560"/>
        </w:tabs>
        <w:spacing w:after="0" w:line="240" w:lineRule="auto"/>
        <w:ind w:left="1440" w:right="-20"/>
        <w:rPr>
          <w:rFonts w:ascii="Times New Roman" w:eastAsia="Times New Roman" w:hAnsi="Times New Roman" w:cs="Times New Roman"/>
          <w:color w:val="000000"/>
          <w:sz w:val="24"/>
          <w:szCs w:val="24"/>
        </w:rPr>
      </w:pPr>
    </w:p>
    <w:p w14:paraId="35780B2A" w14:textId="77777777" w:rsidR="00EE4E8E" w:rsidRDefault="006E396E">
      <w:pPr>
        <w:numPr>
          <w:ilvl w:val="2"/>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Banned Books Week Grants</w:t>
      </w:r>
      <w:r>
        <w:rPr>
          <w:rFonts w:ascii="Times New Roman" w:eastAsia="Times New Roman" w:hAnsi="Times New Roman" w:cs="Times New Roman"/>
          <w:color w:val="000000"/>
          <w:sz w:val="24"/>
          <w:szCs w:val="24"/>
        </w:rPr>
        <w:t>: W. Huffaker, J. Hagen-McIntosh</w:t>
      </w:r>
    </w:p>
    <w:p w14:paraId="59512B37" w14:textId="77777777" w:rsidR="00EE4E8E" w:rsidRDefault="00EE4E8E">
      <w:pPr>
        <w:pBdr>
          <w:top w:val="nil"/>
          <w:left w:val="nil"/>
          <w:bottom w:val="nil"/>
          <w:right w:val="nil"/>
          <w:between w:val="nil"/>
        </w:pBdr>
        <w:tabs>
          <w:tab w:val="left" w:pos="1560"/>
        </w:tabs>
        <w:spacing w:after="0" w:line="240" w:lineRule="auto"/>
        <w:ind w:left="1440" w:right="-20"/>
        <w:rPr>
          <w:rFonts w:ascii="Times New Roman" w:eastAsia="Times New Roman" w:hAnsi="Times New Roman" w:cs="Times New Roman"/>
          <w:color w:val="000000"/>
          <w:sz w:val="24"/>
          <w:szCs w:val="24"/>
        </w:rPr>
      </w:pPr>
    </w:p>
    <w:p w14:paraId="19F3B878" w14:textId="77777777" w:rsidR="00EE4E8E" w:rsidRDefault="006E396E">
      <w:pPr>
        <w:numPr>
          <w:ilvl w:val="2"/>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LIS Education Initiative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 Hand</w:t>
      </w:r>
      <w:r>
        <w:rPr>
          <w:rFonts w:ascii="Times New Roman" w:eastAsia="Times New Roman" w:hAnsi="Times New Roman" w:cs="Times New Roman"/>
          <w:color w:val="000000"/>
          <w:sz w:val="24"/>
          <w:szCs w:val="24"/>
        </w:rPr>
        <w:t>, J. Hagen-McIntosh</w:t>
      </w:r>
    </w:p>
    <w:p w14:paraId="35F8A51E" w14:textId="77777777" w:rsidR="00EE4E8E" w:rsidRDefault="00EE4E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EE33B5B"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Communications Committee</w:t>
      </w:r>
      <w:r>
        <w:rPr>
          <w:rFonts w:ascii="Times New Roman" w:eastAsia="Times New Roman" w:hAnsi="Times New Roman" w:cs="Times New Roman"/>
          <w:color w:val="000000"/>
          <w:sz w:val="24"/>
          <w:szCs w:val="24"/>
        </w:rPr>
        <w:t>: E. Knox</w:t>
      </w:r>
    </w:p>
    <w:p w14:paraId="0E68C22A" w14:textId="77777777" w:rsidR="00EE4E8E" w:rsidRDefault="006E39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p w14:paraId="63ED9042"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Nominating Committee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 Downing</w:t>
      </w:r>
    </w:p>
    <w:p w14:paraId="2BC42D5D" w14:textId="77777777" w:rsidR="00EE4E8E" w:rsidRDefault="00EE4E8E">
      <w:pPr>
        <w:spacing w:after="0" w:line="240" w:lineRule="auto"/>
        <w:rPr>
          <w:sz w:val="26"/>
          <w:szCs w:val="26"/>
        </w:rPr>
      </w:pPr>
    </w:p>
    <w:p w14:paraId="200D0627"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Roll of Honor Committee</w:t>
      </w:r>
      <w:r>
        <w:rPr>
          <w:rFonts w:ascii="Times New Roman" w:eastAsia="Times New Roman" w:hAnsi="Times New Roman" w:cs="Times New Roman"/>
          <w:color w:val="000000"/>
          <w:sz w:val="24"/>
          <w:szCs w:val="24"/>
        </w:rPr>
        <w:t>: P. Coyl</w:t>
      </w:r>
    </w:p>
    <w:p w14:paraId="2EB1D6F1" w14:textId="77777777" w:rsidR="00EE4E8E" w:rsidRDefault="00EE4E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78FAE0B" w14:textId="77777777" w:rsidR="00EE4E8E" w:rsidRDefault="006E396E">
      <w:pPr>
        <w:numPr>
          <w:ilvl w:val="1"/>
          <w:numId w:val="2"/>
        </w:num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Conable</w:t>
      </w:r>
      <w:proofErr w:type="spellEnd"/>
      <w:r>
        <w:rPr>
          <w:rFonts w:ascii="Times New Roman" w:eastAsia="Times New Roman" w:hAnsi="Times New Roman" w:cs="Times New Roman"/>
          <w:b/>
          <w:color w:val="000000"/>
          <w:sz w:val="24"/>
          <w:szCs w:val="24"/>
        </w:rPr>
        <w:t xml:space="preserve"> Scholarship Committee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 Garcia-Febo</w:t>
      </w:r>
    </w:p>
    <w:p w14:paraId="5E14DBAC" w14:textId="77777777" w:rsidR="00EE4E8E" w:rsidRDefault="00EE4E8E">
      <w:pPr>
        <w:pBdr>
          <w:top w:val="nil"/>
          <w:left w:val="nil"/>
          <w:bottom w:val="nil"/>
          <w:right w:val="nil"/>
          <w:between w:val="nil"/>
        </w:pBdr>
        <w:tabs>
          <w:tab w:val="left" w:pos="1560"/>
        </w:tabs>
        <w:spacing w:after="0" w:line="240" w:lineRule="auto"/>
        <w:ind w:right="-20"/>
        <w:rPr>
          <w:rFonts w:ascii="Times New Roman" w:eastAsia="Times New Roman" w:hAnsi="Times New Roman" w:cs="Times New Roman"/>
          <w:color w:val="000000"/>
          <w:sz w:val="24"/>
          <w:szCs w:val="24"/>
        </w:rPr>
      </w:pPr>
    </w:p>
    <w:p w14:paraId="613C431A" w14:textId="77777777" w:rsidR="00EE4E8E" w:rsidRDefault="006E396E">
      <w:pPr>
        <w:numPr>
          <w:ilvl w:val="1"/>
          <w:numId w:val="2"/>
        </w:numPr>
        <w:tabs>
          <w:tab w:val="left" w:pos="1560"/>
        </w:tabs>
        <w:spacing w:after="0" w:line="240" w:lineRule="auto"/>
        <w:ind w:right="-20"/>
      </w:pPr>
      <w:r>
        <w:rPr>
          <w:rFonts w:ascii="Times New Roman" w:eastAsia="Times New Roman" w:hAnsi="Times New Roman" w:cs="Times New Roman"/>
          <w:b/>
          <w:sz w:val="24"/>
          <w:szCs w:val="24"/>
        </w:rPr>
        <w:lastRenderedPageBreak/>
        <w:t xml:space="preserve">Intellectual Freedom - Equity, Diversity, Inclusion Committee: </w:t>
      </w:r>
      <w:r>
        <w:rPr>
          <w:rFonts w:ascii="Times New Roman" w:eastAsia="Times New Roman" w:hAnsi="Times New Roman" w:cs="Times New Roman"/>
          <w:sz w:val="24"/>
          <w:szCs w:val="24"/>
        </w:rPr>
        <w:t>C. Hohl</w:t>
      </w:r>
    </w:p>
    <w:p w14:paraId="5FE732AE" w14:textId="77777777" w:rsidR="00EE4E8E" w:rsidRDefault="00EE4E8E">
      <w:pPr>
        <w:tabs>
          <w:tab w:val="left" w:pos="1560"/>
        </w:tabs>
        <w:spacing w:after="0" w:line="240" w:lineRule="auto"/>
        <w:ind w:left="1440" w:right="-20"/>
        <w:rPr>
          <w:rFonts w:ascii="Times New Roman" w:eastAsia="Times New Roman" w:hAnsi="Times New Roman" w:cs="Times New Roman"/>
          <w:sz w:val="24"/>
          <w:szCs w:val="24"/>
        </w:rPr>
      </w:pPr>
    </w:p>
    <w:p w14:paraId="43902F2D" w14:textId="77777777" w:rsidR="00EE4E8E" w:rsidRDefault="006E396E">
      <w:pPr>
        <w:numPr>
          <w:ilvl w:val="0"/>
          <w:numId w:val="2"/>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REPORTS FROM LIAISONS</w:t>
      </w:r>
    </w:p>
    <w:p w14:paraId="0D6EB5C1" w14:textId="77777777" w:rsidR="00EE4E8E" w:rsidRDefault="00EE4E8E">
      <w:pPr>
        <w:pBdr>
          <w:top w:val="nil"/>
          <w:left w:val="nil"/>
          <w:bottom w:val="nil"/>
          <w:right w:val="nil"/>
          <w:between w:val="nil"/>
        </w:pBdr>
        <w:tabs>
          <w:tab w:val="left" w:pos="840"/>
        </w:tabs>
        <w:spacing w:after="0" w:line="240" w:lineRule="auto"/>
        <w:ind w:left="1008" w:right="-20"/>
        <w:rPr>
          <w:rFonts w:ascii="Times New Roman" w:eastAsia="Times New Roman" w:hAnsi="Times New Roman" w:cs="Times New Roman"/>
          <w:b/>
          <w:sz w:val="24"/>
          <w:szCs w:val="24"/>
          <w:u w:val="single"/>
        </w:rPr>
      </w:pPr>
    </w:p>
    <w:p w14:paraId="6B3F6FDF" w14:textId="77777777" w:rsidR="00EE4E8E" w:rsidRDefault="006E396E">
      <w:pPr>
        <w:numPr>
          <w:ilvl w:val="0"/>
          <w:numId w:val="2"/>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ALA EXECUTIVE BOARD REPORT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 Wong</w:t>
      </w:r>
    </w:p>
    <w:p w14:paraId="7BB3B824" w14:textId="77777777" w:rsidR="00EE4E8E" w:rsidRDefault="00EE4E8E">
      <w:pPr>
        <w:pBdr>
          <w:top w:val="nil"/>
          <w:left w:val="nil"/>
          <w:bottom w:val="nil"/>
          <w:right w:val="nil"/>
          <w:between w:val="nil"/>
        </w:pBdr>
        <w:tabs>
          <w:tab w:val="left" w:pos="840"/>
        </w:tabs>
        <w:spacing w:after="0" w:line="240" w:lineRule="auto"/>
        <w:ind w:left="720" w:right="-20"/>
        <w:rPr>
          <w:rFonts w:ascii="Times New Roman" w:eastAsia="Times New Roman" w:hAnsi="Times New Roman" w:cs="Times New Roman"/>
          <w:color w:val="000000"/>
          <w:sz w:val="24"/>
          <w:szCs w:val="24"/>
        </w:rPr>
      </w:pPr>
    </w:p>
    <w:p w14:paraId="38AC4047" w14:textId="77777777" w:rsidR="00EE4E8E" w:rsidRDefault="006E396E">
      <w:pPr>
        <w:numPr>
          <w:ilvl w:val="0"/>
          <w:numId w:val="2"/>
        </w:numPr>
        <w:pBdr>
          <w:top w:val="nil"/>
          <w:left w:val="nil"/>
          <w:bottom w:val="nil"/>
          <w:right w:val="nil"/>
          <w:between w:val="nil"/>
        </w:pBdr>
        <w:tabs>
          <w:tab w:val="left" w:pos="84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UPCOMING MEETINGS</w:t>
      </w:r>
    </w:p>
    <w:p w14:paraId="432ABFBB" w14:textId="77777777" w:rsidR="00EE4E8E" w:rsidRDefault="00EE4E8E">
      <w:pPr>
        <w:spacing w:after="0" w:line="240" w:lineRule="auto"/>
        <w:rPr>
          <w:sz w:val="26"/>
          <w:szCs w:val="26"/>
        </w:rPr>
      </w:pPr>
    </w:p>
    <w:p w14:paraId="5A0A3DE7" w14:textId="77777777" w:rsidR="00EE4E8E" w:rsidRDefault="006E396E">
      <w:pPr>
        <w:pBdr>
          <w:top w:val="nil"/>
          <w:left w:val="nil"/>
          <w:bottom w:val="nil"/>
          <w:right w:val="nil"/>
          <w:between w:val="nil"/>
        </w:pBd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meeting of the 2021–2022 Board of Trustees is tentatively scheduled to take place during ALA's 2022 </w:t>
      </w:r>
      <w:r>
        <w:rPr>
          <w:rFonts w:ascii="Times New Roman" w:eastAsia="Times New Roman" w:hAnsi="Times New Roman" w:cs="Times New Roman"/>
          <w:sz w:val="24"/>
          <w:szCs w:val="24"/>
        </w:rPr>
        <w:t xml:space="preserve">Annual Conference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Washington, DC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J</w:t>
      </w:r>
      <w:r>
        <w:rPr>
          <w:rFonts w:ascii="Times New Roman" w:eastAsia="Times New Roman" w:hAnsi="Times New Roman" w:cs="Times New Roman"/>
          <w:sz w:val="24"/>
          <w:szCs w:val="24"/>
        </w:rPr>
        <w:t>une 20</w:t>
      </w:r>
      <w:r>
        <w:rPr>
          <w:rFonts w:ascii="Times New Roman" w:eastAsia="Times New Roman" w:hAnsi="Times New Roman" w:cs="Times New Roman"/>
          <w:color w:val="000000"/>
          <w:sz w:val="24"/>
          <w:szCs w:val="24"/>
        </w:rPr>
        <w:t>22.</w:t>
      </w:r>
    </w:p>
    <w:p w14:paraId="55F5A002" w14:textId="77777777" w:rsidR="00EE4E8E" w:rsidRDefault="00EE4E8E">
      <w:pPr>
        <w:pBdr>
          <w:top w:val="nil"/>
          <w:left w:val="nil"/>
          <w:bottom w:val="nil"/>
          <w:right w:val="nil"/>
          <w:between w:val="nil"/>
        </w:pBdr>
        <w:spacing w:after="0" w:line="240" w:lineRule="auto"/>
        <w:ind w:left="1440" w:right="-20"/>
        <w:rPr>
          <w:rFonts w:ascii="Times New Roman" w:eastAsia="Times New Roman" w:hAnsi="Times New Roman" w:cs="Times New Roman"/>
          <w:color w:val="000000"/>
          <w:sz w:val="24"/>
          <w:szCs w:val="24"/>
        </w:rPr>
      </w:pPr>
    </w:p>
    <w:p w14:paraId="4B084571" w14:textId="77777777" w:rsidR="00EE4E8E" w:rsidRDefault="006E396E">
      <w:pPr>
        <w:numPr>
          <w:ilvl w:val="0"/>
          <w:numId w:val="3"/>
        </w:numPr>
        <w:pBdr>
          <w:top w:val="nil"/>
          <w:left w:val="nil"/>
          <w:bottom w:val="nil"/>
          <w:right w:val="nil"/>
          <w:between w:val="nil"/>
        </w:pBdr>
        <w:spacing w:after="0" w:line="240" w:lineRule="auto"/>
        <w:ind w:right="-20" w:hanging="6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ANY OTHER BUSINESS THAT PROPERLY MAY COME BEFORE THE BOARD OF TRUSTEES</w:t>
      </w:r>
    </w:p>
    <w:p w14:paraId="175CDC4A" w14:textId="77777777" w:rsidR="00EE4E8E" w:rsidRDefault="00EE4E8E">
      <w:pPr>
        <w:pBdr>
          <w:top w:val="nil"/>
          <w:left w:val="nil"/>
          <w:bottom w:val="nil"/>
          <w:right w:val="nil"/>
          <w:between w:val="nil"/>
        </w:pBdr>
        <w:spacing w:after="0" w:line="240" w:lineRule="auto"/>
        <w:ind w:left="1440" w:right="-20"/>
        <w:rPr>
          <w:rFonts w:ascii="Times New Roman" w:eastAsia="Times New Roman" w:hAnsi="Times New Roman" w:cs="Times New Roman"/>
          <w:color w:val="000000"/>
          <w:sz w:val="24"/>
          <w:szCs w:val="24"/>
          <w:u w:val="single"/>
        </w:rPr>
      </w:pPr>
    </w:p>
    <w:p w14:paraId="607BCD5C" w14:textId="77777777" w:rsidR="00EE4E8E" w:rsidRDefault="006E396E">
      <w:pPr>
        <w:numPr>
          <w:ilvl w:val="0"/>
          <w:numId w:val="3"/>
        </w:numPr>
        <w:pBdr>
          <w:top w:val="nil"/>
          <w:left w:val="nil"/>
          <w:bottom w:val="nil"/>
          <w:right w:val="nil"/>
          <w:between w:val="nil"/>
        </w:pBdr>
        <w:tabs>
          <w:tab w:val="left" w:pos="840"/>
        </w:tabs>
        <w:spacing w:after="0" w:line="240" w:lineRule="auto"/>
        <w:ind w:right="-20" w:hanging="64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CONFIRMATION OF GRANTS</w:t>
      </w:r>
    </w:p>
    <w:p w14:paraId="08823165" w14:textId="77777777" w:rsidR="00EE4E8E" w:rsidRDefault="00EE4E8E">
      <w:pPr>
        <w:pBdr>
          <w:top w:val="nil"/>
          <w:left w:val="nil"/>
          <w:bottom w:val="nil"/>
          <w:right w:val="nil"/>
          <w:between w:val="nil"/>
        </w:pBdr>
        <w:tabs>
          <w:tab w:val="left" w:pos="840"/>
        </w:tabs>
        <w:spacing w:after="0" w:line="240" w:lineRule="auto"/>
        <w:ind w:left="864" w:right="-20"/>
        <w:rPr>
          <w:rFonts w:ascii="Times New Roman" w:eastAsia="Times New Roman" w:hAnsi="Times New Roman" w:cs="Times New Roman"/>
          <w:color w:val="000000"/>
          <w:sz w:val="24"/>
          <w:szCs w:val="24"/>
        </w:rPr>
      </w:pPr>
    </w:p>
    <w:p w14:paraId="05ADA38C" w14:textId="77777777" w:rsidR="00EE4E8E" w:rsidRDefault="006E396E">
      <w:pPr>
        <w:pBdr>
          <w:top w:val="nil"/>
          <w:left w:val="nil"/>
          <w:bottom w:val="nil"/>
          <w:right w:val="nil"/>
          <w:between w:val="nil"/>
        </w:pBdr>
        <w:tabs>
          <w:tab w:val="left" w:pos="840"/>
        </w:tabs>
        <w:spacing w:after="0" w:line="240" w:lineRule="auto"/>
        <w:ind w:left="8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Board procedure, the Trustees’ last item of business is final approval of grants tentatively authorized during the meeting.</w:t>
      </w:r>
    </w:p>
    <w:p w14:paraId="7167D9A5" w14:textId="77777777" w:rsidR="00EE4E8E" w:rsidRDefault="00EE4E8E">
      <w:pPr>
        <w:spacing w:after="0" w:line="240" w:lineRule="auto"/>
        <w:rPr>
          <w:sz w:val="26"/>
          <w:szCs w:val="26"/>
        </w:rPr>
      </w:pPr>
    </w:p>
    <w:p w14:paraId="38157A17" w14:textId="77777777" w:rsidR="00EE4E8E" w:rsidRDefault="006E396E">
      <w:pPr>
        <w:numPr>
          <w:ilvl w:val="0"/>
          <w:numId w:val="3"/>
        </w:numPr>
        <w:pBdr>
          <w:top w:val="nil"/>
          <w:left w:val="nil"/>
          <w:bottom w:val="nil"/>
          <w:right w:val="nil"/>
          <w:between w:val="nil"/>
        </w:pBdr>
        <w:tabs>
          <w:tab w:val="left" w:pos="840"/>
        </w:tabs>
        <w:spacing w:after="0" w:line="240" w:lineRule="auto"/>
        <w:ind w:right="-20" w:hanging="64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ADJOURNMENT</w:t>
      </w:r>
    </w:p>
    <w:sectPr w:rsidR="00EE4E8E">
      <w:footerReference w:type="default" r:id="rId9"/>
      <w:pgSz w:w="12240" w:h="15840"/>
      <w:pgMar w:top="1440"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D0EB" w14:textId="77777777" w:rsidR="00680DEA" w:rsidRDefault="00680DEA">
      <w:pPr>
        <w:spacing w:after="0" w:line="240" w:lineRule="auto"/>
      </w:pPr>
      <w:r>
        <w:separator/>
      </w:r>
    </w:p>
  </w:endnote>
  <w:endnote w:type="continuationSeparator" w:id="0">
    <w:p w14:paraId="3AA82413" w14:textId="77777777" w:rsidR="00680DEA" w:rsidRDefault="0068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6B9E" w14:textId="77777777" w:rsidR="00EE4E8E" w:rsidRDefault="006E396E">
    <w:pPr>
      <w:spacing w:after="0" w:line="200" w:lineRule="auto"/>
      <w:rPr>
        <w:sz w:val="20"/>
        <w:szCs w:val="20"/>
      </w:rPr>
    </w:pPr>
    <w:r>
      <w:rPr>
        <w:noProof/>
      </w:rPr>
      <mc:AlternateContent>
        <mc:Choice Requires="wpg">
          <w:drawing>
            <wp:anchor distT="0" distB="0" distL="0" distR="0" simplePos="0" relativeHeight="251658240" behindDoc="1" locked="0" layoutInCell="1" hidden="0" allowOverlap="1" wp14:anchorId="25085549" wp14:editId="4BBC8751">
              <wp:simplePos x="0" y="0"/>
              <wp:positionH relativeFrom="column">
                <wp:posOffset>3022600</wp:posOffset>
              </wp:positionH>
              <wp:positionV relativeFrom="paragraph">
                <wp:posOffset>9563100</wp:posOffset>
              </wp:positionV>
              <wp:extent cx="136525" cy="187325"/>
              <wp:effectExtent l="0" t="0" r="0" b="0"/>
              <wp:wrapNone/>
              <wp:docPr id="2" name="Rectangle 2"/>
              <wp:cNvGraphicFramePr/>
              <a:graphic xmlns:a="http://schemas.openxmlformats.org/drawingml/2006/main">
                <a:graphicData uri="http://schemas.microsoft.com/office/word/2010/wordprocessingShape">
                  <wps:wsp>
                    <wps:cNvSpPr/>
                    <wps:spPr>
                      <a:xfrm>
                        <a:off x="5282500" y="3691100"/>
                        <a:ext cx="127000" cy="177800"/>
                      </a:xfrm>
                      <a:prstGeom prst="rect">
                        <a:avLst/>
                      </a:prstGeom>
                      <a:noFill/>
                      <a:ln>
                        <a:noFill/>
                      </a:ln>
                    </wps:spPr>
                    <wps:txbx>
                      <w:txbxContent>
                        <w:p w14:paraId="1AA0184D" w14:textId="77777777" w:rsidR="00EE4E8E" w:rsidRDefault="006E396E">
                          <w:pPr>
                            <w:spacing w:after="0" w:line="264" w:lineRule="auto"/>
                            <w:ind w:left="40" w:right="-20" w:firstLine="40"/>
                            <w:textDirection w:val="btLr"/>
                          </w:pPr>
                          <w:r>
                            <w:rPr>
                              <w:rFonts w:ascii="Times New Roman" w:eastAsia="Times New Roman" w:hAnsi="Times New Roman" w:cs="Times New Roman"/>
                              <w:color w:val="000000"/>
                              <w:sz w:val="24"/>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3022600</wp:posOffset>
              </wp:positionH>
              <wp:positionV relativeFrom="paragraph">
                <wp:posOffset>9563100</wp:posOffset>
              </wp:positionV>
              <wp:extent cx="136525" cy="18732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6525"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3627" w14:textId="77777777" w:rsidR="00680DEA" w:rsidRDefault="00680DEA">
      <w:pPr>
        <w:spacing w:after="0" w:line="240" w:lineRule="auto"/>
      </w:pPr>
      <w:r>
        <w:separator/>
      </w:r>
    </w:p>
  </w:footnote>
  <w:footnote w:type="continuationSeparator" w:id="0">
    <w:p w14:paraId="362652CC" w14:textId="77777777" w:rsidR="00680DEA" w:rsidRDefault="00680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A33"/>
    <w:multiLevelType w:val="multilevel"/>
    <w:tmpl w:val="D3584D5A"/>
    <w:lvl w:ilvl="0">
      <w:start w:val="7"/>
      <w:numFmt w:val="upperRoman"/>
      <w:lvlText w:val="%1."/>
      <w:lvlJc w:val="left"/>
      <w:pPr>
        <w:ind w:left="1008" w:hanging="864"/>
      </w:pPr>
      <w:rPr>
        <w:rFonts w:ascii="Times New Roman" w:eastAsia="Times New Roman" w:hAnsi="Times New Roman" w:cs="Times New Roman"/>
        <w:b/>
        <w:sz w:val="24"/>
        <w:szCs w:val="24"/>
      </w:rPr>
    </w:lvl>
    <w:lvl w:ilvl="1">
      <w:start w:val="1"/>
      <w:numFmt w:val="upperLetter"/>
      <w:lvlText w:val="%2."/>
      <w:lvlJc w:val="left"/>
      <w:pPr>
        <w:ind w:left="1440" w:hanging="432"/>
      </w:pPr>
      <w:rPr>
        <w:rFonts w:ascii="Times New Roman" w:eastAsia="Times New Roman" w:hAnsi="Times New Roman" w:cs="Times New Roman"/>
        <w:b/>
        <w:sz w:val="24"/>
        <w:szCs w:val="24"/>
      </w:rPr>
    </w:lvl>
    <w:lvl w:ilvl="2">
      <w:start w:val="1"/>
      <w:numFmt w:val="decimal"/>
      <w:lvlText w:val="%3."/>
      <w:lvlJc w:val="right"/>
      <w:pPr>
        <w:ind w:left="1944" w:hanging="144"/>
      </w:pPr>
      <w:rPr>
        <w:rFonts w:ascii="Times New Roman" w:eastAsia="Times New Roman" w:hAnsi="Times New Roman" w:cs="Times New Roman"/>
        <w:sz w:val="24"/>
        <w:szCs w:val="24"/>
      </w:rPr>
    </w:lvl>
    <w:lvl w:ilvl="3">
      <w:start w:val="1"/>
      <w:numFmt w:val="lowerLetter"/>
      <w:lvlText w:val="%4."/>
      <w:lvlJc w:val="left"/>
      <w:pPr>
        <w:ind w:left="2520" w:hanging="576"/>
      </w:pPr>
    </w:lvl>
    <w:lvl w:ilvl="4">
      <w:start w:val="1"/>
      <w:numFmt w:val="lowerRoman"/>
      <w:lvlText w:val="%5."/>
      <w:lvlJc w:val="left"/>
      <w:pPr>
        <w:ind w:left="3024" w:hanging="432"/>
      </w:pPr>
      <w:rPr>
        <w:rFonts w:ascii="Times New Roman" w:eastAsia="Times New Roman" w:hAnsi="Times New Roman" w:cs="Times New Roman"/>
        <w:sz w:val="24"/>
        <w:szCs w:val="24"/>
      </w:rPr>
    </w:lvl>
    <w:lvl w:ilvl="5">
      <w:start w:val="1"/>
      <w:numFmt w:val="decimal"/>
      <w:lvlText w:val=""/>
      <w:lvlJc w:val="left"/>
      <w:pPr>
        <w:ind w:left="3168" w:firstLine="1800"/>
      </w:pPr>
    </w:lvl>
    <w:lvl w:ilvl="6">
      <w:start w:val="1"/>
      <w:numFmt w:val="decimal"/>
      <w:lvlText w:val="%7."/>
      <w:lvlJc w:val="left"/>
      <w:pPr>
        <w:ind w:left="3096" w:hanging="3096"/>
      </w:pPr>
    </w:lvl>
    <w:lvl w:ilvl="7">
      <w:start w:val="1"/>
      <w:numFmt w:val="decimal"/>
      <w:lvlText w:val="%8."/>
      <w:lvlJc w:val="left"/>
      <w:pPr>
        <w:ind w:left="3240" w:hanging="3240"/>
      </w:pPr>
    </w:lvl>
    <w:lvl w:ilvl="8">
      <w:start w:val="1"/>
      <w:numFmt w:val="decimal"/>
      <w:lvlText w:val="%9."/>
      <w:lvlJc w:val="right"/>
      <w:pPr>
        <w:ind w:left="3312" w:hanging="3312"/>
      </w:pPr>
    </w:lvl>
  </w:abstractNum>
  <w:abstractNum w:abstractNumId="1" w15:restartNumberingAfterBreak="0">
    <w:nsid w:val="2D2A67C4"/>
    <w:multiLevelType w:val="multilevel"/>
    <w:tmpl w:val="2AD20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0043E0"/>
    <w:multiLevelType w:val="multilevel"/>
    <w:tmpl w:val="391C643E"/>
    <w:lvl w:ilvl="0">
      <w:start w:val="1"/>
      <w:numFmt w:val="upperRoman"/>
      <w:lvlText w:val="%1."/>
      <w:lvlJc w:val="left"/>
      <w:pPr>
        <w:ind w:left="720" w:hanging="504"/>
      </w:pPr>
      <w:rPr>
        <w:rFonts w:ascii="Times New Roman" w:eastAsia="Times New Roman" w:hAnsi="Times New Roman" w:cs="Times New Roman"/>
        <w:b/>
        <w:sz w:val="24"/>
        <w:szCs w:val="24"/>
      </w:rPr>
    </w:lvl>
    <w:lvl w:ilvl="1">
      <w:start w:val="1"/>
      <w:numFmt w:val="upperLetter"/>
      <w:lvlText w:val="%2."/>
      <w:lvlJc w:val="left"/>
      <w:pPr>
        <w:ind w:left="1584" w:hanging="504"/>
      </w:pPr>
      <w:rPr>
        <w:rFonts w:ascii="Times New Roman" w:eastAsia="Times New Roman" w:hAnsi="Times New Roman" w:cs="Times New Roman"/>
        <w:b/>
        <w:sz w:val="24"/>
        <w:szCs w:val="24"/>
      </w:rPr>
    </w:lvl>
    <w:lvl w:ilvl="2">
      <w:start w:val="1"/>
      <w:numFmt w:val="decimal"/>
      <w:lvlText w:val="%3."/>
      <w:lvlJc w:val="right"/>
      <w:pPr>
        <w:ind w:left="2448" w:hanging="504"/>
      </w:pPr>
      <w:rPr>
        <w:rFonts w:ascii="Times New Roman" w:eastAsia="Times New Roman" w:hAnsi="Times New Roman" w:cs="Times New Roman"/>
        <w:sz w:val="24"/>
        <w:szCs w:val="24"/>
      </w:rPr>
    </w:lvl>
    <w:lvl w:ilvl="3">
      <w:start w:val="1"/>
      <w:numFmt w:val="lowerLetter"/>
      <w:lvlText w:val="%4."/>
      <w:lvlJc w:val="left"/>
      <w:pPr>
        <w:ind w:left="3312" w:hanging="504"/>
      </w:pPr>
    </w:lvl>
    <w:lvl w:ilvl="4">
      <w:start w:val="1"/>
      <w:numFmt w:val="lowerRoman"/>
      <w:lvlText w:val="%5."/>
      <w:lvlJc w:val="left"/>
      <w:pPr>
        <w:ind w:left="4176" w:hanging="503"/>
      </w:pPr>
      <w:rPr>
        <w:rFonts w:ascii="Times New Roman" w:eastAsia="Times New Roman" w:hAnsi="Times New Roman" w:cs="Times New Roman"/>
        <w:sz w:val="24"/>
        <w:szCs w:val="24"/>
      </w:rPr>
    </w:lvl>
    <w:lvl w:ilvl="5">
      <w:start w:val="1"/>
      <w:numFmt w:val="lowerRoman"/>
      <w:lvlText w:val="%6."/>
      <w:lvlJc w:val="right"/>
      <w:pPr>
        <w:ind w:left="5040" w:hanging="504"/>
      </w:pPr>
    </w:lvl>
    <w:lvl w:ilvl="6">
      <w:start w:val="1"/>
      <w:numFmt w:val="decimal"/>
      <w:lvlText w:val="%7."/>
      <w:lvlJc w:val="left"/>
      <w:pPr>
        <w:ind w:left="5904" w:hanging="504"/>
      </w:pPr>
    </w:lvl>
    <w:lvl w:ilvl="7">
      <w:start w:val="1"/>
      <w:numFmt w:val="lowerLetter"/>
      <w:lvlText w:val="%8."/>
      <w:lvlJc w:val="left"/>
      <w:pPr>
        <w:ind w:left="6768" w:hanging="504"/>
      </w:pPr>
    </w:lvl>
    <w:lvl w:ilvl="8">
      <w:start w:val="1"/>
      <w:numFmt w:val="lowerRoman"/>
      <w:lvlText w:val="%9."/>
      <w:lvlJc w:val="right"/>
      <w:pPr>
        <w:ind w:left="7632" w:hanging="503"/>
      </w:pPr>
    </w:lvl>
  </w:abstractNum>
  <w:abstractNum w:abstractNumId="3" w15:restartNumberingAfterBreak="0">
    <w:nsid w:val="78970175"/>
    <w:multiLevelType w:val="multilevel"/>
    <w:tmpl w:val="3A926B68"/>
    <w:lvl w:ilvl="0">
      <w:start w:val="11"/>
      <w:numFmt w:val="upperRoman"/>
      <w:lvlText w:val="%1."/>
      <w:lvlJc w:val="left"/>
      <w:pPr>
        <w:ind w:left="864" w:hanging="647"/>
      </w:pPr>
      <w:rPr>
        <w:rFonts w:ascii="Times New Roman" w:eastAsia="Times New Roman" w:hAnsi="Times New Roman" w:cs="Times New Roman"/>
        <w:b/>
        <w:sz w:val="24"/>
        <w:szCs w:val="24"/>
      </w:rPr>
    </w:lvl>
    <w:lvl w:ilvl="1">
      <w:start w:val="1"/>
      <w:numFmt w:val="upperLetter"/>
      <w:lvlText w:val="%2."/>
      <w:lvlJc w:val="left"/>
      <w:pPr>
        <w:ind w:left="1440" w:hanging="432"/>
      </w:pPr>
      <w:rPr>
        <w:rFonts w:ascii="Times New Roman" w:eastAsia="Times New Roman" w:hAnsi="Times New Roman" w:cs="Times New Roman"/>
        <w:b/>
        <w:sz w:val="24"/>
        <w:szCs w:val="24"/>
      </w:rPr>
    </w:lvl>
    <w:lvl w:ilvl="2">
      <w:start w:val="1"/>
      <w:numFmt w:val="decimal"/>
      <w:lvlText w:val="%3."/>
      <w:lvlJc w:val="right"/>
      <w:pPr>
        <w:ind w:left="1944" w:hanging="144"/>
      </w:pPr>
      <w:rPr>
        <w:rFonts w:ascii="Times New Roman" w:eastAsia="Times New Roman" w:hAnsi="Times New Roman" w:cs="Times New Roman"/>
        <w:sz w:val="24"/>
        <w:szCs w:val="24"/>
      </w:rPr>
    </w:lvl>
    <w:lvl w:ilvl="3">
      <w:start w:val="1"/>
      <w:numFmt w:val="lowerLetter"/>
      <w:lvlText w:val="%4."/>
      <w:lvlJc w:val="left"/>
      <w:pPr>
        <w:ind w:left="2520" w:hanging="576"/>
      </w:pPr>
    </w:lvl>
    <w:lvl w:ilvl="4">
      <w:start w:val="1"/>
      <w:numFmt w:val="lowerRoman"/>
      <w:lvlText w:val="%5."/>
      <w:lvlJc w:val="left"/>
      <w:pPr>
        <w:ind w:left="3024" w:hanging="432"/>
      </w:pPr>
      <w:rPr>
        <w:rFonts w:ascii="Times New Roman" w:eastAsia="Times New Roman" w:hAnsi="Times New Roman" w:cs="Times New Roman"/>
        <w:sz w:val="24"/>
        <w:szCs w:val="24"/>
      </w:rPr>
    </w:lvl>
    <w:lvl w:ilvl="5">
      <w:start w:val="1"/>
      <w:numFmt w:val="decimal"/>
      <w:lvlText w:val=""/>
      <w:lvlJc w:val="left"/>
      <w:pPr>
        <w:ind w:left="3168" w:firstLine="1800"/>
      </w:pPr>
    </w:lvl>
    <w:lvl w:ilvl="6">
      <w:start w:val="1"/>
      <w:numFmt w:val="decimal"/>
      <w:lvlText w:val="%7."/>
      <w:lvlJc w:val="left"/>
      <w:pPr>
        <w:ind w:left="3096" w:hanging="3096"/>
      </w:pPr>
    </w:lvl>
    <w:lvl w:ilvl="7">
      <w:start w:val="1"/>
      <w:numFmt w:val="decimal"/>
      <w:lvlText w:val="%8."/>
      <w:lvlJc w:val="left"/>
      <w:pPr>
        <w:ind w:left="3240" w:hanging="3240"/>
      </w:pPr>
    </w:lvl>
    <w:lvl w:ilvl="8">
      <w:start w:val="1"/>
      <w:numFmt w:val="decimal"/>
      <w:lvlText w:val="%9."/>
      <w:lvlJc w:val="right"/>
      <w:pPr>
        <w:ind w:left="3312" w:hanging="3312"/>
      </w:pPr>
    </w:lvl>
  </w:abstractNum>
  <w:abstractNum w:abstractNumId="4" w15:restartNumberingAfterBreak="0">
    <w:nsid w:val="78FB01C6"/>
    <w:multiLevelType w:val="multilevel"/>
    <w:tmpl w:val="887EF024"/>
    <w:lvl w:ilvl="0">
      <w:start w:val="2"/>
      <w:numFmt w:val="upperRoman"/>
      <w:lvlText w:val="%1."/>
      <w:lvlJc w:val="left"/>
      <w:pPr>
        <w:ind w:left="720" w:hanging="504"/>
      </w:pPr>
      <w:rPr>
        <w:rFonts w:ascii="Times New Roman" w:eastAsia="Times New Roman" w:hAnsi="Times New Roman" w:cs="Times New Roman"/>
        <w:b/>
        <w:sz w:val="24"/>
        <w:szCs w:val="24"/>
      </w:rPr>
    </w:lvl>
    <w:lvl w:ilvl="1">
      <w:start w:val="1"/>
      <w:numFmt w:val="upperLetter"/>
      <w:lvlText w:val="%2."/>
      <w:lvlJc w:val="left"/>
      <w:pPr>
        <w:ind w:left="1440" w:hanging="432"/>
      </w:pPr>
      <w:rPr>
        <w:rFonts w:ascii="Times New Roman" w:eastAsia="Times New Roman" w:hAnsi="Times New Roman" w:cs="Times New Roman"/>
        <w:b/>
        <w:sz w:val="24"/>
        <w:szCs w:val="24"/>
      </w:rPr>
    </w:lvl>
    <w:lvl w:ilvl="2">
      <w:start w:val="1"/>
      <w:numFmt w:val="decimal"/>
      <w:lvlText w:val="%3."/>
      <w:lvlJc w:val="right"/>
      <w:pPr>
        <w:ind w:left="1944" w:hanging="144"/>
      </w:pPr>
      <w:rPr>
        <w:rFonts w:ascii="Times New Roman" w:eastAsia="Times New Roman" w:hAnsi="Times New Roman" w:cs="Times New Roman"/>
        <w:b w:val="0"/>
        <w:i w:val="0"/>
        <w:sz w:val="24"/>
        <w:szCs w:val="24"/>
      </w:rPr>
    </w:lvl>
    <w:lvl w:ilvl="3">
      <w:start w:val="1"/>
      <w:numFmt w:val="lowerLetter"/>
      <w:lvlText w:val="%4."/>
      <w:lvlJc w:val="left"/>
      <w:pPr>
        <w:ind w:left="2736" w:hanging="575"/>
      </w:pPr>
    </w:lvl>
    <w:lvl w:ilvl="4">
      <w:start w:val="1"/>
      <w:numFmt w:val="lowerRoman"/>
      <w:lvlText w:val="%5."/>
      <w:lvlJc w:val="left"/>
      <w:pPr>
        <w:ind w:left="3024" w:hanging="432"/>
      </w:pPr>
      <w:rPr>
        <w:rFonts w:ascii="Times New Roman" w:eastAsia="Times New Roman" w:hAnsi="Times New Roman" w:cs="Times New Roman"/>
        <w:sz w:val="24"/>
        <w:szCs w:val="24"/>
      </w:rPr>
    </w:lvl>
    <w:lvl w:ilvl="5">
      <w:start w:val="1"/>
      <w:numFmt w:val="decimal"/>
      <w:lvlText w:val=""/>
      <w:lvlJc w:val="left"/>
      <w:pPr>
        <w:ind w:left="3168" w:firstLine="1800"/>
      </w:pPr>
    </w:lvl>
    <w:lvl w:ilvl="6">
      <w:start w:val="1"/>
      <w:numFmt w:val="decimal"/>
      <w:lvlText w:val="%7."/>
      <w:lvlJc w:val="left"/>
      <w:pPr>
        <w:ind w:left="3096" w:hanging="3096"/>
      </w:pPr>
    </w:lvl>
    <w:lvl w:ilvl="7">
      <w:start w:val="1"/>
      <w:numFmt w:val="decimal"/>
      <w:lvlText w:val="%8."/>
      <w:lvlJc w:val="left"/>
      <w:pPr>
        <w:ind w:left="3240" w:hanging="3240"/>
      </w:pPr>
    </w:lvl>
    <w:lvl w:ilvl="8">
      <w:start w:val="1"/>
      <w:numFmt w:val="decimal"/>
      <w:lvlText w:val="%9."/>
      <w:lvlJc w:val="right"/>
      <w:pPr>
        <w:ind w:left="3312" w:hanging="3312"/>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E"/>
    <w:rsid w:val="000B3CCF"/>
    <w:rsid w:val="002819AB"/>
    <w:rsid w:val="00680DEA"/>
    <w:rsid w:val="006E396E"/>
    <w:rsid w:val="007045F5"/>
    <w:rsid w:val="00833998"/>
    <w:rsid w:val="008B124C"/>
    <w:rsid w:val="008C230D"/>
    <w:rsid w:val="009B63C9"/>
    <w:rsid w:val="00B6694C"/>
    <w:rsid w:val="00DC73F6"/>
    <w:rsid w:val="00E04445"/>
    <w:rsid w:val="00EA3CE9"/>
    <w:rsid w:val="00E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732D"/>
  <w15:docId w15:val="{1694D93E-057F-438B-A910-D1E1BD5E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539E"/>
    <w:pPr>
      <w:ind w:left="720"/>
      <w:contextualSpacing/>
    </w:pPr>
  </w:style>
  <w:style w:type="paragraph" w:styleId="Header">
    <w:name w:val="header"/>
    <w:basedOn w:val="Normal"/>
    <w:link w:val="HeaderChar"/>
    <w:uiPriority w:val="99"/>
    <w:unhideWhenUsed/>
    <w:rsid w:val="00F0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9B"/>
  </w:style>
  <w:style w:type="paragraph" w:styleId="Footer">
    <w:name w:val="footer"/>
    <w:basedOn w:val="Normal"/>
    <w:link w:val="FooterChar"/>
    <w:uiPriority w:val="99"/>
    <w:unhideWhenUsed/>
    <w:rsid w:val="00F0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9B"/>
  </w:style>
  <w:style w:type="numbering" w:customStyle="1" w:styleId="Style1">
    <w:name w:val="Style1"/>
    <w:uiPriority w:val="99"/>
    <w:rsid w:val="00894BB2"/>
  </w:style>
  <w:style w:type="paragraph" w:styleId="BalloonText">
    <w:name w:val="Balloon Text"/>
    <w:basedOn w:val="Normal"/>
    <w:link w:val="BalloonTextChar"/>
    <w:uiPriority w:val="99"/>
    <w:semiHidden/>
    <w:unhideWhenUsed/>
    <w:rsid w:val="008804D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804D5"/>
    <w:rPr>
      <w:rFonts w:ascii="Lucida Grande" w:hAnsi="Lucida Grande" w:cs="Lucida Grande"/>
      <w:sz w:val="18"/>
      <w:szCs w:val="18"/>
    </w:rPr>
  </w:style>
  <w:style w:type="paragraph" w:customStyle="1" w:styleId="ColorfulList-Accent11">
    <w:name w:val="Colorful List - Accent 11"/>
    <w:basedOn w:val="Normal"/>
    <w:uiPriority w:val="34"/>
    <w:qFormat/>
    <w:rsid w:val="00606653"/>
    <w:pPr>
      <w:ind w:left="720"/>
      <w:contextualSpacing/>
    </w:pPr>
  </w:style>
  <w:style w:type="character" w:styleId="Hyperlink">
    <w:name w:val="Hyperlink"/>
    <w:basedOn w:val="DefaultParagraphFont"/>
    <w:uiPriority w:val="99"/>
    <w:unhideWhenUsed/>
    <w:rsid w:val="00D512AC"/>
    <w:rPr>
      <w:color w:val="0563C1" w:themeColor="hyperlink"/>
      <w:u w:val="single"/>
    </w:rPr>
  </w:style>
  <w:style w:type="character" w:styleId="UnresolvedMention">
    <w:name w:val="Unresolved Mention"/>
    <w:basedOn w:val="DefaultParagraphFont"/>
    <w:uiPriority w:val="99"/>
    <w:semiHidden/>
    <w:unhideWhenUsed/>
    <w:rsid w:val="00D512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9392130661?pwd=UGUwOXlWcXlZaVB5Tk9PTEtjS1Y1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7/MtnP6w5h0xH4n7Xzid/IWj3w==">AMUW2mXSH30lxOEBoZPwOIL5FV4IBuv/iKmGhGugsk4CRe9PMZ+92qGMfX/FKUymuS4Ljb0MEgb965k3tKWxGVPu8cY5a7m5lHb8RcomHmjndRnChWvgCeKDQRuWkkc6kSjE3nLWu/njo0Xw43xlTq1Kxn45NeCsomrRQmqHhevcvwKnRsZVB/arg4/T+E5LKjEZp2UIdkY8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jokelley</dc:creator>
  <cp:lastModifiedBy>Joyce McIntosh</cp:lastModifiedBy>
  <cp:revision>3</cp:revision>
  <cp:lastPrinted>2022-01-08T15:21:00Z</cp:lastPrinted>
  <dcterms:created xsi:type="dcterms:W3CDTF">2022-01-10T21:20:00Z</dcterms:created>
  <dcterms:modified xsi:type="dcterms:W3CDTF">2022-01-10T21:27:00Z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LastSaved">
    <vt:filetime>2013-01-23T00:00:00Z</vt:filetime>
  </property>
</Properties>
</file>