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68A6" w14:textId="77777777" w:rsidR="009A1CC0" w:rsidRDefault="009A1CC0" w:rsidP="009A1CC0">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50D59480" w14:textId="547DC217" w:rsidR="009A1CC0" w:rsidRDefault="009A1CC0" w:rsidP="009A1CC0">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Operations Report </w:t>
      </w:r>
    </w:p>
    <w:p w14:paraId="2CAED76E" w14:textId="2570EBE1" w:rsidR="009A1CC0" w:rsidRDefault="009A1CC0" w:rsidP="009A1CC0">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t>October 1, 2019</w:t>
      </w:r>
    </w:p>
    <w:p w14:paraId="4A8B6423" w14:textId="77777777" w:rsidR="009A1CC0" w:rsidRDefault="009A1CC0" w:rsidP="009A1CC0">
      <w:pPr>
        <w:tabs>
          <w:tab w:val="left" w:pos="720"/>
          <w:tab w:val="left" w:pos="1440"/>
          <w:tab w:val="left" w:pos="2160"/>
          <w:tab w:val="left" w:pos="3120"/>
        </w:tabs>
        <w:rPr>
          <w:rFonts w:asciiTheme="minorHAnsi" w:hAnsiTheme="minorHAnsi"/>
        </w:rPr>
      </w:pPr>
    </w:p>
    <w:p w14:paraId="608D7000" w14:textId="77777777" w:rsidR="009A1CC0" w:rsidRDefault="009A1CC0" w:rsidP="009A1CC0">
      <w:pPr>
        <w:tabs>
          <w:tab w:val="left" w:pos="720"/>
          <w:tab w:val="left" w:pos="1440"/>
          <w:tab w:val="left" w:pos="2160"/>
          <w:tab w:val="left" w:pos="3120"/>
        </w:tabs>
        <w:rPr>
          <w:rFonts w:asciiTheme="minorHAnsi" w:hAnsiTheme="minorHAnsi"/>
        </w:rPr>
      </w:pPr>
    </w:p>
    <w:p w14:paraId="2D0E8F4F" w14:textId="77777777" w:rsidR="009A1CC0" w:rsidRDefault="009A1CC0" w:rsidP="009A1CC0">
      <w:pPr>
        <w:ind w:left="2160" w:hanging="2160"/>
        <w:rPr>
          <w:rFonts w:asciiTheme="minorHAnsi" w:hAnsiTheme="minorHAnsi"/>
          <w:b/>
        </w:rPr>
      </w:pPr>
      <w:r>
        <w:rPr>
          <w:rFonts w:asciiTheme="minorHAnsi" w:hAnsiTheme="minorHAnsi"/>
          <w:b/>
        </w:rPr>
        <w:t>ACTION REQUESTED/INFORMATION/REPORT:</w:t>
      </w:r>
    </w:p>
    <w:p w14:paraId="229CA557" w14:textId="77777777" w:rsidR="009A1CC0" w:rsidRDefault="009A1CC0" w:rsidP="009A1CC0">
      <w:pPr>
        <w:pStyle w:val="BodyTextIndent"/>
        <w:spacing w:before="0"/>
        <w:ind w:left="360" w:firstLine="360"/>
        <w:rPr>
          <w:rFonts w:asciiTheme="minorHAnsi" w:hAnsiTheme="minorHAnsi"/>
          <w:i w:val="0"/>
          <w:sz w:val="22"/>
          <w:szCs w:val="22"/>
        </w:rPr>
      </w:pPr>
      <w:r>
        <w:rPr>
          <w:rFonts w:asciiTheme="minorHAnsi" w:hAnsiTheme="minorHAnsi"/>
          <w:i w:val="0"/>
          <w:sz w:val="22"/>
          <w:szCs w:val="22"/>
        </w:rPr>
        <w:t>Information</w:t>
      </w:r>
      <w:bookmarkStart w:id="0" w:name="_GoBack"/>
      <w:bookmarkEnd w:id="0"/>
    </w:p>
    <w:p w14:paraId="6E7FB3B3" w14:textId="77777777" w:rsidR="009A1CC0" w:rsidRDefault="009A1CC0" w:rsidP="009A1CC0">
      <w:pPr>
        <w:ind w:left="2880" w:hanging="2880"/>
        <w:rPr>
          <w:rFonts w:asciiTheme="minorHAnsi" w:hAnsiTheme="minorHAnsi"/>
          <w:b/>
        </w:rPr>
      </w:pPr>
      <w:r>
        <w:rPr>
          <w:rFonts w:ascii="Calibri" w:hAnsi="Calibri"/>
          <w:b/>
        </w:rPr>
        <w:t>ACTION REQUESTED BY</w:t>
      </w:r>
      <w:r>
        <w:rPr>
          <w:rFonts w:asciiTheme="minorHAnsi" w:hAnsiTheme="minorHAnsi"/>
          <w:b/>
        </w:rPr>
        <w:t>:</w:t>
      </w:r>
      <w:r>
        <w:rPr>
          <w:rFonts w:asciiTheme="minorHAnsi" w:hAnsiTheme="minorHAnsi"/>
          <w:b/>
        </w:rPr>
        <w:tab/>
      </w:r>
    </w:p>
    <w:p w14:paraId="341DC39A" w14:textId="77777777" w:rsidR="009A1CC0" w:rsidRDefault="009A1CC0" w:rsidP="009A1CC0">
      <w:pPr>
        <w:ind w:left="720"/>
        <w:rPr>
          <w:rFonts w:asciiTheme="minorHAnsi" w:hAnsiTheme="minorHAnsi"/>
        </w:rPr>
      </w:pPr>
      <w:r>
        <w:rPr>
          <w:rFonts w:asciiTheme="minorHAnsi" w:hAnsiTheme="minorHAnsi"/>
        </w:rPr>
        <w:t>N/A</w:t>
      </w:r>
    </w:p>
    <w:p w14:paraId="74E5C23C" w14:textId="77777777" w:rsidR="009A1CC0" w:rsidRDefault="009A1CC0" w:rsidP="009A1CC0">
      <w:pPr>
        <w:rPr>
          <w:rFonts w:asciiTheme="minorHAnsi" w:hAnsiTheme="minorHAnsi"/>
          <w:b/>
        </w:rPr>
      </w:pPr>
      <w:r>
        <w:rPr>
          <w:rFonts w:asciiTheme="minorHAnsi" w:hAnsiTheme="minorHAnsi"/>
          <w:b/>
        </w:rPr>
        <w:t>DRAFT OF MOTION:</w:t>
      </w:r>
    </w:p>
    <w:p w14:paraId="260D02B4" w14:textId="70A1F10B" w:rsidR="008A61F5" w:rsidRDefault="009A1CC0" w:rsidP="009A1CC0">
      <w:pPr>
        <w:ind w:left="720"/>
        <w:rPr>
          <w:rFonts w:asciiTheme="minorHAnsi" w:hAnsiTheme="minorHAnsi"/>
        </w:rPr>
      </w:pPr>
      <w:r>
        <w:rPr>
          <w:rFonts w:asciiTheme="minorHAnsi" w:hAnsiTheme="minorHAnsi"/>
        </w:rPr>
        <w:t>N/A</w:t>
      </w:r>
    </w:p>
    <w:p w14:paraId="59494910" w14:textId="5EDD57C4" w:rsidR="00CA7255" w:rsidRDefault="00CA7255" w:rsidP="009A1CC0">
      <w:pPr>
        <w:rPr>
          <w:rFonts w:asciiTheme="minorHAnsi" w:hAnsiTheme="minorHAnsi"/>
        </w:rPr>
      </w:pPr>
    </w:p>
    <w:p w14:paraId="57DB79A5" w14:textId="140B000C" w:rsidR="009A1CC0" w:rsidRDefault="009A1CC0" w:rsidP="009A1CC0">
      <w:pPr>
        <w:rPr>
          <w:rFonts w:asciiTheme="minorHAnsi" w:hAnsiTheme="minorHAnsi"/>
          <w:b/>
          <w:bCs/>
        </w:rPr>
      </w:pPr>
      <w:r>
        <w:rPr>
          <w:rFonts w:asciiTheme="minorHAnsi" w:hAnsiTheme="minorHAnsi"/>
          <w:b/>
          <w:bCs/>
        </w:rPr>
        <w:t>MEMBERSHIP</w:t>
      </w:r>
    </w:p>
    <w:p w14:paraId="050D7CFE" w14:textId="6CF96549" w:rsidR="009A1CC0" w:rsidRDefault="009A1CC0" w:rsidP="009A1CC0">
      <w:pPr>
        <w:rPr>
          <w:rFonts w:asciiTheme="minorHAnsi" w:hAnsiTheme="minorHAnsi"/>
          <w:i/>
          <w:iCs/>
        </w:rPr>
      </w:pPr>
      <w:r>
        <w:rPr>
          <w:rFonts w:asciiTheme="minorHAnsi" w:hAnsiTheme="minorHAnsi"/>
          <w:i/>
          <w:iCs/>
        </w:rPr>
        <w:t>Submitted by Samantha Lopez, Manager, Marketing and Membership</w:t>
      </w:r>
    </w:p>
    <w:p w14:paraId="18FFB4F5" w14:textId="77777777" w:rsidR="009A1CC0" w:rsidRPr="003E3460" w:rsidRDefault="009A1CC0" w:rsidP="009A1CC0">
      <w:pPr>
        <w:rPr>
          <w:rFonts w:ascii="Calibri" w:hAnsi="Calibri"/>
        </w:rPr>
      </w:pPr>
    </w:p>
    <w:tbl>
      <w:tblPr>
        <w:tblStyle w:val="TableGrid"/>
        <w:tblW w:w="0" w:type="auto"/>
        <w:tblLook w:val="04A0" w:firstRow="1" w:lastRow="0" w:firstColumn="1" w:lastColumn="0" w:noHBand="0" w:noVBand="1"/>
      </w:tblPr>
      <w:tblGrid>
        <w:gridCol w:w="2325"/>
        <w:gridCol w:w="1668"/>
        <w:gridCol w:w="1762"/>
        <w:gridCol w:w="1831"/>
        <w:gridCol w:w="1764"/>
      </w:tblGrid>
      <w:tr w:rsidR="009A1CC0" w:rsidRPr="003E3460" w14:paraId="406D0D79" w14:textId="77777777" w:rsidTr="00391501">
        <w:tc>
          <w:tcPr>
            <w:tcW w:w="2325" w:type="dxa"/>
            <w:shd w:val="clear" w:color="auto" w:fill="D9D9D9"/>
          </w:tcPr>
          <w:p w14:paraId="24CDDC6B" w14:textId="77777777" w:rsidR="009A1CC0" w:rsidRPr="003E3460" w:rsidRDefault="009A1CC0" w:rsidP="00391501">
            <w:pPr>
              <w:rPr>
                <w:rFonts w:ascii="Calibri" w:hAnsi="Calibri"/>
                <w:b/>
                <w:sz w:val="22"/>
                <w:szCs w:val="22"/>
              </w:rPr>
            </w:pPr>
            <w:r w:rsidRPr="003E3460">
              <w:rPr>
                <w:rFonts w:ascii="Calibri" w:hAnsi="Calibri"/>
                <w:b/>
                <w:sz w:val="22"/>
                <w:szCs w:val="22"/>
              </w:rPr>
              <w:t>PLA Membership</w:t>
            </w:r>
          </w:p>
        </w:tc>
        <w:tc>
          <w:tcPr>
            <w:tcW w:w="1668" w:type="dxa"/>
            <w:shd w:val="clear" w:color="auto" w:fill="D9D9D9"/>
          </w:tcPr>
          <w:p w14:paraId="088DBE4E" w14:textId="77777777" w:rsidR="009A1CC0" w:rsidRPr="003E3460" w:rsidRDefault="009A1CC0" w:rsidP="00391501">
            <w:pPr>
              <w:rPr>
                <w:rFonts w:ascii="Calibri" w:hAnsi="Calibri"/>
                <w:b/>
                <w:sz w:val="22"/>
                <w:szCs w:val="22"/>
              </w:rPr>
            </w:pPr>
            <w:r w:rsidRPr="003E3460">
              <w:rPr>
                <w:rFonts w:ascii="Calibri" w:hAnsi="Calibri"/>
                <w:b/>
                <w:sz w:val="22"/>
                <w:szCs w:val="22"/>
              </w:rPr>
              <w:t>FY19</w:t>
            </w:r>
          </w:p>
        </w:tc>
        <w:tc>
          <w:tcPr>
            <w:tcW w:w="1762" w:type="dxa"/>
            <w:shd w:val="clear" w:color="auto" w:fill="D9D9D9"/>
          </w:tcPr>
          <w:p w14:paraId="40CA6A1D" w14:textId="77777777" w:rsidR="009A1CC0" w:rsidRPr="003E3460" w:rsidRDefault="009A1CC0" w:rsidP="00391501">
            <w:pPr>
              <w:rPr>
                <w:rFonts w:ascii="Calibri" w:hAnsi="Calibri"/>
                <w:b/>
                <w:sz w:val="22"/>
                <w:szCs w:val="22"/>
              </w:rPr>
            </w:pPr>
            <w:r w:rsidRPr="003E3460">
              <w:rPr>
                <w:rFonts w:ascii="Calibri" w:hAnsi="Calibri"/>
                <w:b/>
                <w:sz w:val="22"/>
                <w:szCs w:val="22"/>
              </w:rPr>
              <w:t>FY18 (Conference)</w:t>
            </w:r>
          </w:p>
        </w:tc>
        <w:tc>
          <w:tcPr>
            <w:tcW w:w="1831" w:type="dxa"/>
            <w:shd w:val="clear" w:color="auto" w:fill="D9D9D9"/>
          </w:tcPr>
          <w:p w14:paraId="3055A1B8" w14:textId="77777777" w:rsidR="009A1CC0" w:rsidRPr="003E3460" w:rsidRDefault="009A1CC0" w:rsidP="00391501">
            <w:pPr>
              <w:rPr>
                <w:rFonts w:ascii="Calibri" w:hAnsi="Calibri"/>
                <w:b/>
                <w:sz w:val="22"/>
                <w:szCs w:val="22"/>
              </w:rPr>
            </w:pPr>
            <w:r w:rsidRPr="003E3460">
              <w:rPr>
                <w:rFonts w:ascii="Calibri" w:hAnsi="Calibri"/>
                <w:b/>
                <w:sz w:val="22"/>
                <w:szCs w:val="22"/>
              </w:rPr>
              <w:t>FY17</w:t>
            </w:r>
          </w:p>
        </w:tc>
        <w:tc>
          <w:tcPr>
            <w:tcW w:w="1764" w:type="dxa"/>
            <w:shd w:val="clear" w:color="auto" w:fill="D9D9D9"/>
          </w:tcPr>
          <w:p w14:paraId="6029D8BF" w14:textId="77777777" w:rsidR="009A1CC0" w:rsidRPr="003E3460" w:rsidRDefault="009A1CC0" w:rsidP="00391501">
            <w:pPr>
              <w:rPr>
                <w:rFonts w:ascii="Calibri" w:hAnsi="Calibri"/>
                <w:b/>
                <w:sz w:val="22"/>
                <w:szCs w:val="22"/>
              </w:rPr>
            </w:pPr>
            <w:r w:rsidRPr="003E3460">
              <w:rPr>
                <w:rFonts w:ascii="Calibri" w:hAnsi="Calibri"/>
                <w:b/>
                <w:sz w:val="22"/>
                <w:szCs w:val="22"/>
              </w:rPr>
              <w:t>FY16 (Conference)</w:t>
            </w:r>
          </w:p>
        </w:tc>
      </w:tr>
      <w:tr w:rsidR="009A1CC0" w:rsidRPr="003E3460" w14:paraId="4726B124" w14:textId="77777777" w:rsidTr="00391501">
        <w:tc>
          <w:tcPr>
            <w:tcW w:w="2325" w:type="dxa"/>
          </w:tcPr>
          <w:p w14:paraId="32AABEFD" w14:textId="77777777" w:rsidR="009A1CC0" w:rsidRPr="003E3460" w:rsidRDefault="009A1CC0" w:rsidP="00391501">
            <w:pPr>
              <w:rPr>
                <w:rFonts w:ascii="Calibri" w:hAnsi="Calibri"/>
                <w:sz w:val="22"/>
                <w:szCs w:val="22"/>
              </w:rPr>
            </w:pPr>
            <w:r w:rsidRPr="003E3460">
              <w:rPr>
                <w:rFonts w:ascii="Calibri" w:hAnsi="Calibri"/>
                <w:sz w:val="22"/>
                <w:szCs w:val="22"/>
              </w:rPr>
              <w:t>New Members</w:t>
            </w:r>
          </w:p>
        </w:tc>
        <w:tc>
          <w:tcPr>
            <w:tcW w:w="1668" w:type="dxa"/>
          </w:tcPr>
          <w:p w14:paraId="5B6DB631" w14:textId="77777777" w:rsidR="009A1CC0" w:rsidRPr="003E3460" w:rsidRDefault="009A1CC0" w:rsidP="00391501">
            <w:pPr>
              <w:rPr>
                <w:rFonts w:ascii="Calibri" w:hAnsi="Calibri"/>
                <w:sz w:val="22"/>
                <w:szCs w:val="22"/>
              </w:rPr>
            </w:pPr>
            <w:r w:rsidRPr="003E3460">
              <w:rPr>
                <w:rFonts w:ascii="Calibri" w:hAnsi="Calibri"/>
                <w:sz w:val="22"/>
                <w:szCs w:val="22"/>
              </w:rPr>
              <w:t>968</w:t>
            </w:r>
          </w:p>
        </w:tc>
        <w:tc>
          <w:tcPr>
            <w:tcW w:w="1762" w:type="dxa"/>
          </w:tcPr>
          <w:p w14:paraId="1AF35E2E" w14:textId="77777777" w:rsidR="009A1CC0" w:rsidRPr="003E3460" w:rsidRDefault="009A1CC0" w:rsidP="00391501">
            <w:pPr>
              <w:rPr>
                <w:rFonts w:ascii="Calibri" w:hAnsi="Calibri"/>
                <w:sz w:val="22"/>
                <w:szCs w:val="22"/>
              </w:rPr>
            </w:pPr>
            <w:r w:rsidRPr="003E3460">
              <w:rPr>
                <w:rFonts w:ascii="Calibri" w:hAnsi="Calibri"/>
                <w:sz w:val="22"/>
                <w:szCs w:val="22"/>
              </w:rPr>
              <w:t>2248</w:t>
            </w:r>
          </w:p>
        </w:tc>
        <w:tc>
          <w:tcPr>
            <w:tcW w:w="1831" w:type="dxa"/>
          </w:tcPr>
          <w:p w14:paraId="0570BF2A" w14:textId="77777777" w:rsidR="009A1CC0" w:rsidRPr="003E3460" w:rsidRDefault="009A1CC0" w:rsidP="00391501">
            <w:pPr>
              <w:rPr>
                <w:rFonts w:ascii="Calibri" w:hAnsi="Calibri"/>
                <w:sz w:val="22"/>
                <w:szCs w:val="22"/>
              </w:rPr>
            </w:pPr>
            <w:r w:rsidRPr="003E3460">
              <w:rPr>
                <w:rFonts w:ascii="Calibri" w:hAnsi="Calibri"/>
                <w:sz w:val="22"/>
                <w:szCs w:val="22"/>
              </w:rPr>
              <w:t>1012</w:t>
            </w:r>
          </w:p>
        </w:tc>
        <w:tc>
          <w:tcPr>
            <w:tcW w:w="1764" w:type="dxa"/>
          </w:tcPr>
          <w:p w14:paraId="5162676D" w14:textId="77777777" w:rsidR="009A1CC0" w:rsidRPr="003E3460" w:rsidRDefault="009A1CC0" w:rsidP="00391501">
            <w:pPr>
              <w:rPr>
                <w:rFonts w:ascii="Calibri" w:hAnsi="Calibri"/>
                <w:sz w:val="22"/>
                <w:szCs w:val="22"/>
              </w:rPr>
            </w:pPr>
            <w:r w:rsidRPr="003E3460">
              <w:rPr>
                <w:rFonts w:ascii="Calibri" w:hAnsi="Calibri"/>
                <w:sz w:val="22"/>
                <w:szCs w:val="22"/>
              </w:rPr>
              <w:t>1593</w:t>
            </w:r>
          </w:p>
        </w:tc>
      </w:tr>
      <w:tr w:rsidR="009A1CC0" w:rsidRPr="003E3460" w14:paraId="25D28BFC" w14:textId="77777777" w:rsidTr="00391501">
        <w:tc>
          <w:tcPr>
            <w:tcW w:w="2325" w:type="dxa"/>
          </w:tcPr>
          <w:p w14:paraId="3266852D" w14:textId="77777777" w:rsidR="009A1CC0" w:rsidRPr="003E3460" w:rsidRDefault="009A1CC0" w:rsidP="00391501">
            <w:pPr>
              <w:rPr>
                <w:rFonts w:ascii="Calibri" w:hAnsi="Calibri"/>
                <w:sz w:val="22"/>
                <w:szCs w:val="22"/>
              </w:rPr>
            </w:pPr>
            <w:r w:rsidRPr="003E3460">
              <w:rPr>
                <w:rFonts w:ascii="Calibri" w:hAnsi="Calibri"/>
                <w:sz w:val="22"/>
                <w:szCs w:val="22"/>
              </w:rPr>
              <w:t>Renewed Members</w:t>
            </w:r>
          </w:p>
        </w:tc>
        <w:tc>
          <w:tcPr>
            <w:tcW w:w="1668" w:type="dxa"/>
          </w:tcPr>
          <w:p w14:paraId="220FD3AF" w14:textId="77777777" w:rsidR="009A1CC0" w:rsidRPr="003E3460" w:rsidRDefault="009A1CC0" w:rsidP="00391501">
            <w:pPr>
              <w:rPr>
                <w:rFonts w:ascii="Calibri" w:hAnsi="Calibri"/>
                <w:sz w:val="22"/>
                <w:szCs w:val="22"/>
              </w:rPr>
            </w:pPr>
            <w:r w:rsidRPr="003E3460">
              <w:rPr>
                <w:rFonts w:ascii="Calibri" w:hAnsi="Calibri"/>
                <w:sz w:val="22"/>
                <w:szCs w:val="22"/>
              </w:rPr>
              <w:t>6168</w:t>
            </w:r>
          </w:p>
        </w:tc>
        <w:tc>
          <w:tcPr>
            <w:tcW w:w="1762" w:type="dxa"/>
          </w:tcPr>
          <w:p w14:paraId="5438AD3A" w14:textId="77777777" w:rsidR="009A1CC0" w:rsidRPr="003E3460" w:rsidRDefault="009A1CC0" w:rsidP="00391501">
            <w:pPr>
              <w:rPr>
                <w:rFonts w:ascii="Calibri" w:hAnsi="Calibri"/>
                <w:sz w:val="22"/>
                <w:szCs w:val="22"/>
              </w:rPr>
            </w:pPr>
            <w:r w:rsidRPr="003E3460">
              <w:rPr>
                <w:rFonts w:ascii="Calibri" w:hAnsi="Calibri"/>
                <w:sz w:val="22"/>
                <w:szCs w:val="22"/>
              </w:rPr>
              <w:t>6167</w:t>
            </w:r>
          </w:p>
        </w:tc>
        <w:tc>
          <w:tcPr>
            <w:tcW w:w="1831" w:type="dxa"/>
          </w:tcPr>
          <w:p w14:paraId="1D5A5CF2" w14:textId="77777777" w:rsidR="009A1CC0" w:rsidRPr="003E3460" w:rsidRDefault="009A1CC0" w:rsidP="00391501">
            <w:pPr>
              <w:rPr>
                <w:rFonts w:ascii="Calibri" w:hAnsi="Calibri"/>
                <w:sz w:val="22"/>
                <w:szCs w:val="22"/>
              </w:rPr>
            </w:pPr>
            <w:r w:rsidRPr="003E3460">
              <w:rPr>
                <w:rFonts w:ascii="Calibri" w:hAnsi="Calibri"/>
                <w:sz w:val="22"/>
                <w:szCs w:val="22"/>
              </w:rPr>
              <w:t>6108</w:t>
            </w:r>
          </w:p>
        </w:tc>
        <w:tc>
          <w:tcPr>
            <w:tcW w:w="1764" w:type="dxa"/>
          </w:tcPr>
          <w:p w14:paraId="2EAC5F58" w14:textId="77777777" w:rsidR="009A1CC0" w:rsidRPr="003E3460" w:rsidRDefault="009A1CC0" w:rsidP="00391501">
            <w:pPr>
              <w:rPr>
                <w:rFonts w:ascii="Calibri" w:hAnsi="Calibri"/>
                <w:sz w:val="22"/>
                <w:szCs w:val="22"/>
              </w:rPr>
            </w:pPr>
            <w:r w:rsidRPr="003E3460">
              <w:rPr>
                <w:rFonts w:ascii="Calibri" w:hAnsi="Calibri"/>
                <w:sz w:val="22"/>
                <w:szCs w:val="22"/>
              </w:rPr>
              <w:t>6273</w:t>
            </w:r>
          </w:p>
        </w:tc>
      </w:tr>
      <w:tr w:rsidR="009A1CC0" w:rsidRPr="003E3460" w14:paraId="4171B6C3" w14:textId="77777777" w:rsidTr="00391501">
        <w:tc>
          <w:tcPr>
            <w:tcW w:w="2325" w:type="dxa"/>
          </w:tcPr>
          <w:p w14:paraId="1951144C" w14:textId="77777777" w:rsidR="009A1CC0" w:rsidRPr="003E3460" w:rsidRDefault="009A1CC0" w:rsidP="00391501">
            <w:pPr>
              <w:rPr>
                <w:rFonts w:ascii="Calibri" w:hAnsi="Calibri"/>
                <w:sz w:val="22"/>
                <w:szCs w:val="22"/>
              </w:rPr>
            </w:pPr>
            <w:r w:rsidRPr="003E3460">
              <w:rPr>
                <w:rFonts w:ascii="Calibri" w:hAnsi="Calibri"/>
                <w:sz w:val="22"/>
                <w:szCs w:val="22"/>
              </w:rPr>
              <w:t>Reinstated Members</w:t>
            </w:r>
          </w:p>
        </w:tc>
        <w:tc>
          <w:tcPr>
            <w:tcW w:w="1668" w:type="dxa"/>
          </w:tcPr>
          <w:p w14:paraId="5684619A" w14:textId="77777777" w:rsidR="009A1CC0" w:rsidRPr="003E3460" w:rsidRDefault="009A1CC0" w:rsidP="00391501">
            <w:pPr>
              <w:rPr>
                <w:rFonts w:ascii="Calibri" w:hAnsi="Calibri"/>
                <w:sz w:val="22"/>
                <w:szCs w:val="22"/>
              </w:rPr>
            </w:pPr>
            <w:r w:rsidRPr="003E3460">
              <w:rPr>
                <w:rFonts w:ascii="Calibri" w:hAnsi="Calibri"/>
                <w:sz w:val="22"/>
                <w:szCs w:val="22"/>
              </w:rPr>
              <w:t>689</w:t>
            </w:r>
          </w:p>
        </w:tc>
        <w:tc>
          <w:tcPr>
            <w:tcW w:w="1762" w:type="dxa"/>
          </w:tcPr>
          <w:p w14:paraId="2FA1416A" w14:textId="77777777" w:rsidR="009A1CC0" w:rsidRPr="003E3460" w:rsidRDefault="009A1CC0" w:rsidP="00391501">
            <w:pPr>
              <w:rPr>
                <w:rFonts w:ascii="Calibri" w:hAnsi="Calibri"/>
                <w:sz w:val="22"/>
                <w:szCs w:val="22"/>
              </w:rPr>
            </w:pPr>
            <w:r w:rsidRPr="003E3460">
              <w:rPr>
                <w:rFonts w:ascii="Calibri" w:hAnsi="Calibri"/>
                <w:sz w:val="22"/>
                <w:szCs w:val="22"/>
              </w:rPr>
              <w:t>1201</w:t>
            </w:r>
          </w:p>
        </w:tc>
        <w:tc>
          <w:tcPr>
            <w:tcW w:w="1831" w:type="dxa"/>
          </w:tcPr>
          <w:p w14:paraId="58574BA2" w14:textId="77777777" w:rsidR="009A1CC0" w:rsidRPr="003E3460" w:rsidRDefault="009A1CC0" w:rsidP="00391501">
            <w:pPr>
              <w:rPr>
                <w:rFonts w:ascii="Calibri" w:hAnsi="Calibri"/>
                <w:sz w:val="22"/>
                <w:szCs w:val="22"/>
              </w:rPr>
            </w:pPr>
            <w:r w:rsidRPr="003E3460">
              <w:rPr>
                <w:rFonts w:ascii="Calibri" w:hAnsi="Calibri"/>
                <w:sz w:val="22"/>
                <w:szCs w:val="22"/>
              </w:rPr>
              <w:t>674</w:t>
            </w:r>
          </w:p>
        </w:tc>
        <w:tc>
          <w:tcPr>
            <w:tcW w:w="1764" w:type="dxa"/>
          </w:tcPr>
          <w:p w14:paraId="27FD74AC" w14:textId="77777777" w:rsidR="009A1CC0" w:rsidRPr="003E3460" w:rsidRDefault="009A1CC0" w:rsidP="00391501">
            <w:pPr>
              <w:rPr>
                <w:rFonts w:ascii="Calibri" w:hAnsi="Calibri"/>
                <w:sz w:val="22"/>
                <w:szCs w:val="22"/>
              </w:rPr>
            </w:pPr>
            <w:r w:rsidRPr="003E3460">
              <w:rPr>
                <w:rFonts w:ascii="Calibri" w:hAnsi="Calibri"/>
                <w:sz w:val="22"/>
                <w:szCs w:val="22"/>
              </w:rPr>
              <w:t>1123</w:t>
            </w:r>
          </w:p>
        </w:tc>
      </w:tr>
      <w:tr w:rsidR="009A1CC0" w:rsidRPr="003E3460" w14:paraId="1CE5C866" w14:textId="77777777" w:rsidTr="00391501">
        <w:tc>
          <w:tcPr>
            <w:tcW w:w="2325" w:type="dxa"/>
          </w:tcPr>
          <w:p w14:paraId="427D2D3B" w14:textId="77777777" w:rsidR="009A1CC0" w:rsidRPr="003E3460" w:rsidRDefault="009A1CC0" w:rsidP="00391501">
            <w:pPr>
              <w:rPr>
                <w:rFonts w:ascii="Calibri" w:hAnsi="Calibri"/>
                <w:sz w:val="22"/>
                <w:szCs w:val="22"/>
              </w:rPr>
            </w:pPr>
            <w:r w:rsidRPr="003E3460">
              <w:rPr>
                <w:rFonts w:ascii="Calibri" w:hAnsi="Calibri"/>
                <w:sz w:val="22"/>
                <w:szCs w:val="22"/>
              </w:rPr>
              <w:t>Dropped Members</w:t>
            </w:r>
          </w:p>
        </w:tc>
        <w:tc>
          <w:tcPr>
            <w:tcW w:w="1668" w:type="dxa"/>
          </w:tcPr>
          <w:p w14:paraId="573D1AD5" w14:textId="77777777" w:rsidR="009A1CC0" w:rsidRPr="003E3460" w:rsidRDefault="009A1CC0" w:rsidP="00391501">
            <w:pPr>
              <w:rPr>
                <w:rFonts w:ascii="Calibri" w:hAnsi="Calibri"/>
                <w:sz w:val="22"/>
                <w:szCs w:val="22"/>
              </w:rPr>
            </w:pPr>
            <w:r w:rsidRPr="003E3460">
              <w:rPr>
                <w:rFonts w:ascii="Calibri" w:hAnsi="Calibri"/>
                <w:sz w:val="22"/>
                <w:szCs w:val="22"/>
              </w:rPr>
              <w:t>3317</w:t>
            </w:r>
          </w:p>
        </w:tc>
        <w:tc>
          <w:tcPr>
            <w:tcW w:w="1762" w:type="dxa"/>
          </w:tcPr>
          <w:p w14:paraId="5E3B3485" w14:textId="77777777" w:rsidR="009A1CC0" w:rsidRPr="003E3460" w:rsidRDefault="009A1CC0" w:rsidP="00391501">
            <w:pPr>
              <w:rPr>
                <w:rFonts w:ascii="Calibri" w:hAnsi="Calibri"/>
                <w:sz w:val="22"/>
                <w:szCs w:val="22"/>
              </w:rPr>
            </w:pPr>
            <w:r w:rsidRPr="003E3460">
              <w:rPr>
                <w:rFonts w:ascii="Calibri" w:hAnsi="Calibri"/>
                <w:sz w:val="22"/>
                <w:szCs w:val="22"/>
              </w:rPr>
              <w:t>2155</w:t>
            </w:r>
          </w:p>
        </w:tc>
        <w:tc>
          <w:tcPr>
            <w:tcW w:w="1831" w:type="dxa"/>
          </w:tcPr>
          <w:p w14:paraId="205AB5AC" w14:textId="77777777" w:rsidR="009A1CC0" w:rsidRPr="003E3460" w:rsidRDefault="009A1CC0" w:rsidP="00391501">
            <w:pPr>
              <w:rPr>
                <w:rFonts w:ascii="Calibri" w:hAnsi="Calibri"/>
                <w:sz w:val="22"/>
                <w:szCs w:val="22"/>
              </w:rPr>
            </w:pPr>
            <w:r w:rsidRPr="003E3460">
              <w:rPr>
                <w:rFonts w:ascii="Calibri" w:hAnsi="Calibri"/>
                <w:sz w:val="22"/>
                <w:szCs w:val="22"/>
              </w:rPr>
              <w:t>2867</w:t>
            </w:r>
          </w:p>
        </w:tc>
        <w:tc>
          <w:tcPr>
            <w:tcW w:w="1764" w:type="dxa"/>
          </w:tcPr>
          <w:p w14:paraId="52F85BC7" w14:textId="77777777" w:rsidR="009A1CC0" w:rsidRPr="003E3460" w:rsidRDefault="009A1CC0" w:rsidP="00391501">
            <w:pPr>
              <w:rPr>
                <w:rFonts w:ascii="Calibri" w:hAnsi="Calibri"/>
                <w:sz w:val="22"/>
                <w:szCs w:val="22"/>
              </w:rPr>
            </w:pPr>
            <w:r w:rsidRPr="003E3460">
              <w:rPr>
                <w:rFonts w:ascii="Calibri" w:hAnsi="Calibri"/>
                <w:sz w:val="22"/>
                <w:szCs w:val="22"/>
              </w:rPr>
              <w:t>1862</w:t>
            </w:r>
          </w:p>
        </w:tc>
      </w:tr>
      <w:tr w:rsidR="009A1CC0" w:rsidRPr="003E3460" w14:paraId="1050C9E8" w14:textId="77777777" w:rsidTr="00391501">
        <w:tc>
          <w:tcPr>
            <w:tcW w:w="2325" w:type="dxa"/>
            <w:shd w:val="clear" w:color="auto" w:fill="D9D9D9"/>
          </w:tcPr>
          <w:p w14:paraId="3645A222" w14:textId="77777777" w:rsidR="009A1CC0" w:rsidRPr="003E3460" w:rsidRDefault="009A1CC0" w:rsidP="00391501">
            <w:pPr>
              <w:rPr>
                <w:rFonts w:ascii="Calibri" w:hAnsi="Calibri"/>
                <w:b/>
                <w:sz w:val="22"/>
                <w:szCs w:val="22"/>
              </w:rPr>
            </w:pPr>
            <w:r w:rsidRPr="003E3460">
              <w:rPr>
                <w:rFonts w:ascii="Calibri" w:hAnsi="Calibri"/>
                <w:b/>
                <w:sz w:val="22"/>
                <w:szCs w:val="22"/>
              </w:rPr>
              <w:t>End of FY (August)</w:t>
            </w:r>
          </w:p>
        </w:tc>
        <w:tc>
          <w:tcPr>
            <w:tcW w:w="1668" w:type="dxa"/>
            <w:shd w:val="clear" w:color="auto" w:fill="D9D9D9"/>
          </w:tcPr>
          <w:p w14:paraId="2869CB38" w14:textId="77777777" w:rsidR="009A1CC0" w:rsidRPr="003E3460" w:rsidRDefault="009A1CC0" w:rsidP="00391501">
            <w:pPr>
              <w:rPr>
                <w:rFonts w:ascii="Calibri" w:hAnsi="Calibri"/>
                <w:b/>
                <w:sz w:val="22"/>
                <w:szCs w:val="22"/>
              </w:rPr>
            </w:pPr>
            <w:r w:rsidRPr="003E3460">
              <w:rPr>
                <w:rFonts w:ascii="Calibri" w:hAnsi="Calibri"/>
                <w:b/>
                <w:sz w:val="22"/>
                <w:szCs w:val="22"/>
              </w:rPr>
              <w:t>7506</w:t>
            </w:r>
          </w:p>
        </w:tc>
        <w:tc>
          <w:tcPr>
            <w:tcW w:w="1762" w:type="dxa"/>
            <w:shd w:val="clear" w:color="auto" w:fill="D9D9D9"/>
          </w:tcPr>
          <w:p w14:paraId="7DA5E727" w14:textId="77777777" w:rsidR="009A1CC0" w:rsidRPr="003E3460" w:rsidRDefault="009A1CC0" w:rsidP="00391501">
            <w:pPr>
              <w:rPr>
                <w:rFonts w:ascii="Calibri" w:hAnsi="Calibri"/>
                <w:b/>
                <w:sz w:val="22"/>
                <w:szCs w:val="22"/>
              </w:rPr>
            </w:pPr>
            <w:r w:rsidRPr="003E3460">
              <w:rPr>
                <w:rFonts w:ascii="Calibri" w:hAnsi="Calibri"/>
                <w:b/>
                <w:sz w:val="22"/>
                <w:szCs w:val="22"/>
              </w:rPr>
              <w:t>9004</w:t>
            </w:r>
          </w:p>
        </w:tc>
        <w:tc>
          <w:tcPr>
            <w:tcW w:w="1831" w:type="dxa"/>
            <w:shd w:val="clear" w:color="auto" w:fill="D9D9D9"/>
          </w:tcPr>
          <w:p w14:paraId="60A1ABC4" w14:textId="77777777" w:rsidR="009A1CC0" w:rsidRPr="003E3460" w:rsidRDefault="009A1CC0" w:rsidP="00391501">
            <w:pPr>
              <w:rPr>
                <w:rFonts w:ascii="Calibri" w:hAnsi="Calibri"/>
                <w:b/>
                <w:sz w:val="22"/>
                <w:szCs w:val="22"/>
              </w:rPr>
            </w:pPr>
            <w:r w:rsidRPr="003E3460">
              <w:rPr>
                <w:rFonts w:ascii="Calibri" w:hAnsi="Calibri"/>
                <w:b/>
                <w:sz w:val="22"/>
                <w:szCs w:val="22"/>
              </w:rPr>
              <w:t>7389</w:t>
            </w:r>
          </w:p>
        </w:tc>
        <w:tc>
          <w:tcPr>
            <w:tcW w:w="1764" w:type="dxa"/>
            <w:shd w:val="clear" w:color="auto" w:fill="D9D9D9"/>
          </w:tcPr>
          <w:p w14:paraId="35476DEC" w14:textId="77777777" w:rsidR="009A1CC0" w:rsidRPr="003E3460" w:rsidRDefault="009A1CC0" w:rsidP="00391501">
            <w:pPr>
              <w:rPr>
                <w:rFonts w:ascii="Calibri" w:hAnsi="Calibri"/>
                <w:b/>
                <w:sz w:val="22"/>
                <w:szCs w:val="22"/>
              </w:rPr>
            </w:pPr>
            <w:r w:rsidRPr="003E3460">
              <w:rPr>
                <w:rFonts w:ascii="Calibri" w:hAnsi="Calibri"/>
                <w:b/>
                <w:sz w:val="22"/>
                <w:szCs w:val="22"/>
              </w:rPr>
              <w:t>8440</w:t>
            </w:r>
          </w:p>
        </w:tc>
      </w:tr>
      <w:tr w:rsidR="009A1CC0" w:rsidRPr="003E3460" w14:paraId="11A0529E" w14:textId="77777777" w:rsidTr="00391501">
        <w:tc>
          <w:tcPr>
            <w:tcW w:w="2325" w:type="dxa"/>
            <w:shd w:val="clear" w:color="auto" w:fill="D9D9D9"/>
          </w:tcPr>
          <w:p w14:paraId="065E9497" w14:textId="77777777" w:rsidR="009A1CC0" w:rsidRPr="003E3460" w:rsidRDefault="009A1CC0" w:rsidP="00391501">
            <w:pPr>
              <w:rPr>
                <w:rFonts w:ascii="Calibri" w:hAnsi="Calibri"/>
                <w:b/>
                <w:sz w:val="22"/>
                <w:szCs w:val="22"/>
              </w:rPr>
            </w:pPr>
            <w:r w:rsidRPr="003E3460">
              <w:rPr>
                <w:rFonts w:ascii="Calibri" w:hAnsi="Calibri"/>
                <w:b/>
                <w:sz w:val="22"/>
                <w:szCs w:val="22"/>
              </w:rPr>
              <w:t>High</w:t>
            </w:r>
          </w:p>
        </w:tc>
        <w:tc>
          <w:tcPr>
            <w:tcW w:w="1668" w:type="dxa"/>
            <w:shd w:val="clear" w:color="auto" w:fill="D9D9D9"/>
          </w:tcPr>
          <w:p w14:paraId="75770705" w14:textId="77777777" w:rsidR="009A1CC0" w:rsidRPr="003E3460" w:rsidRDefault="009A1CC0" w:rsidP="00391501">
            <w:pPr>
              <w:rPr>
                <w:rFonts w:ascii="Calibri" w:hAnsi="Calibri"/>
                <w:b/>
                <w:sz w:val="22"/>
                <w:szCs w:val="22"/>
              </w:rPr>
            </w:pPr>
            <w:r w:rsidRPr="003E3460">
              <w:rPr>
                <w:rFonts w:ascii="Calibri" w:hAnsi="Calibri"/>
                <w:b/>
                <w:sz w:val="22"/>
                <w:szCs w:val="22"/>
              </w:rPr>
              <w:t>9341</w:t>
            </w:r>
          </w:p>
        </w:tc>
        <w:tc>
          <w:tcPr>
            <w:tcW w:w="1762" w:type="dxa"/>
            <w:shd w:val="clear" w:color="auto" w:fill="D9D9D9"/>
          </w:tcPr>
          <w:p w14:paraId="7255446C" w14:textId="77777777" w:rsidR="009A1CC0" w:rsidRPr="003E3460" w:rsidRDefault="009A1CC0" w:rsidP="00391501">
            <w:pPr>
              <w:rPr>
                <w:rFonts w:ascii="Calibri" w:hAnsi="Calibri"/>
                <w:b/>
                <w:sz w:val="22"/>
                <w:szCs w:val="22"/>
              </w:rPr>
            </w:pPr>
            <w:r w:rsidRPr="003E3460">
              <w:rPr>
                <w:rFonts w:ascii="Calibri" w:hAnsi="Calibri"/>
                <w:b/>
                <w:sz w:val="22"/>
                <w:szCs w:val="22"/>
              </w:rPr>
              <w:t>9744</w:t>
            </w:r>
          </w:p>
        </w:tc>
        <w:tc>
          <w:tcPr>
            <w:tcW w:w="1831" w:type="dxa"/>
            <w:shd w:val="clear" w:color="auto" w:fill="D9D9D9"/>
          </w:tcPr>
          <w:p w14:paraId="4C2EDBF2" w14:textId="77777777" w:rsidR="009A1CC0" w:rsidRPr="003E3460" w:rsidRDefault="009A1CC0" w:rsidP="00391501">
            <w:pPr>
              <w:rPr>
                <w:rFonts w:ascii="Calibri" w:hAnsi="Calibri"/>
                <w:b/>
                <w:sz w:val="22"/>
                <w:szCs w:val="22"/>
              </w:rPr>
            </w:pPr>
            <w:r w:rsidRPr="003E3460">
              <w:rPr>
                <w:rFonts w:ascii="Calibri" w:hAnsi="Calibri"/>
                <w:b/>
                <w:sz w:val="22"/>
                <w:szCs w:val="22"/>
              </w:rPr>
              <w:t>8811</w:t>
            </w:r>
          </w:p>
        </w:tc>
        <w:tc>
          <w:tcPr>
            <w:tcW w:w="1764" w:type="dxa"/>
            <w:shd w:val="clear" w:color="auto" w:fill="D9D9D9"/>
          </w:tcPr>
          <w:p w14:paraId="3CB89E5E" w14:textId="77777777" w:rsidR="009A1CC0" w:rsidRPr="003E3460" w:rsidRDefault="009A1CC0" w:rsidP="00391501">
            <w:pPr>
              <w:rPr>
                <w:rFonts w:ascii="Calibri" w:hAnsi="Calibri"/>
                <w:b/>
                <w:sz w:val="22"/>
                <w:szCs w:val="22"/>
              </w:rPr>
            </w:pPr>
            <w:r w:rsidRPr="003E3460">
              <w:rPr>
                <w:rFonts w:ascii="Calibri" w:hAnsi="Calibri"/>
                <w:b/>
                <w:sz w:val="22"/>
                <w:szCs w:val="22"/>
              </w:rPr>
              <w:t>9242</w:t>
            </w:r>
          </w:p>
        </w:tc>
      </w:tr>
      <w:tr w:rsidR="009A1CC0" w:rsidRPr="003E3460" w14:paraId="50243700" w14:textId="77777777" w:rsidTr="00391501">
        <w:tc>
          <w:tcPr>
            <w:tcW w:w="2325" w:type="dxa"/>
            <w:shd w:val="clear" w:color="auto" w:fill="D9D9D9"/>
          </w:tcPr>
          <w:p w14:paraId="4E8E4267" w14:textId="77777777" w:rsidR="009A1CC0" w:rsidRPr="003E3460" w:rsidRDefault="009A1CC0" w:rsidP="00391501">
            <w:pPr>
              <w:rPr>
                <w:rFonts w:ascii="Calibri" w:hAnsi="Calibri"/>
                <w:b/>
                <w:sz w:val="22"/>
                <w:szCs w:val="22"/>
              </w:rPr>
            </w:pPr>
            <w:r w:rsidRPr="003E3460">
              <w:rPr>
                <w:rFonts w:ascii="Calibri" w:hAnsi="Calibri"/>
                <w:b/>
                <w:sz w:val="22"/>
                <w:szCs w:val="22"/>
              </w:rPr>
              <w:t>Average</w:t>
            </w:r>
          </w:p>
        </w:tc>
        <w:tc>
          <w:tcPr>
            <w:tcW w:w="1668" w:type="dxa"/>
            <w:shd w:val="clear" w:color="auto" w:fill="D9D9D9"/>
          </w:tcPr>
          <w:p w14:paraId="42963C70" w14:textId="77777777" w:rsidR="009A1CC0" w:rsidRPr="003E3460" w:rsidRDefault="009A1CC0" w:rsidP="00391501">
            <w:pPr>
              <w:rPr>
                <w:rFonts w:ascii="Calibri" w:hAnsi="Calibri"/>
                <w:b/>
                <w:sz w:val="22"/>
                <w:szCs w:val="22"/>
              </w:rPr>
            </w:pPr>
            <w:r w:rsidRPr="003E3460">
              <w:rPr>
                <w:rFonts w:ascii="Calibri" w:hAnsi="Calibri"/>
                <w:b/>
                <w:sz w:val="22"/>
                <w:szCs w:val="22"/>
              </w:rPr>
              <w:t>8644</w:t>
            </w:r>
          </w:p>
        </w:tc>
        <w:tc>
          <w:tcPr>
            <w:tcW w:w="1762" w:type="dxa"/>
            <w:shd w:val="clear" w:color="auto" w:fill="D9D9D9"/>
          </w:tcPr>
          <w:p w14:paraId="1899786B" w14:textId="77777777" w:rsidR="009A1CC0" w:rsidRPr="003E3460" w:rsidRDefault="009A1CC0" w:rsidP="00391501">
            <w:pPr>
              <w:rPr>
                <w:rFonts w:ascii="Calibri" w:hAnsi="Calibri"/>
                <w:b/>
                <w:sz w:val="22"/>
                <w:szCs w:val="22"/>
              </w:rPr>
            </w:pPr>
            <w:r w:rsidRPr="003E3460">
              <w:rPr>
                <w:rFonts w:ascii="Calibri" w:hAnsi="Calibri"/>
                <w:b/>
                <w:sz w:val="22"/>
                <w:szCs w:val="22"/>
              </w:rPr>
              <w:t>9341</w:t>
            </w:r>
          </w:p>
        </w:tc>
        <w:tc>
          <w:tcPr>
            <w:tcW w:w="1831" w:type="dxa"/>
            <w:shd w:val="clear" w:color="auto" w:fill="D9D9D9"/>
          </w:tcPr>
          <w:p w14:paraId="52AD71A5" w14:textId="77777777" w:rsidR="009A1CC0" w:rsidRPr="003E3460" w:rsidRDefault="009A1CC0" w:rsidP="00391501">
            <w:pPr>
              <w:rPr>
                <w:rFonts w:ascii="Calibri" w:hAnsi="Calibri"/>
                <w:b/>
                <w:sz w:val="22"/>
                <w:szCs w:val="22"/>
              </w:rPr>
            </w:pPr>
            <w:r w:rsidRPr="003E3460">
              <w:rPr>
                <w:rFonts w:ascii="Calibri" w:hAnsi="Calibri"/>
                <w:b/>
                <w:sz w:val="22"/>
                <w:szCs w:val="22"/>
              </w:rPr>
              <w:t>8295</w:t>
            </w:r>
          </w:p>
        </w:tc>
        <w:tc>
          <w:tcPr>
            <w:tcW w:w="1764" w:type="dxa"/>
            <w:shd w:val="clear" w:color="auto" w:fill="D9D9D9"/>
          </w:tcPr>
          <w:p w14:paraId="62ED9970" w14:textId="77777777" w:rsidR="009A1CC0" w:rsidRPr="003E3460" w:rsidRDefault="009A1CC0" w:rsidP="00391501">
            <w:pPr>
              <w:rPr>
                <w:rFonts w:ascii="Calibri" w:hAnsi="Calibri"/>
                <w:b/>
                <w:sz w:val="22"/>
                <w:szCs w:val="22"/>
              </w:rPr>
            </w:pPr>
            <w:r w:rsidRPr="003E3460">
              <w:rPr>
                <w:rFonts w:ascii="Calibri" w:hAnsi="Calibri"/>
                <w:b/>
                <w:sz w:val="22"/>
                <w:szCs w:val="22"/>
              </w:rPr>
              <w:t>8771</w:t>
            </w:r>
          </w:p>
        </w:tc>
      </w:tr>
    </w:tbl>
    <w:p w14:paraId="185EE89F" w14:textId="77777777" w:rsidR="009A1CC0" w:rsidRPr="003E3460" w:rsidRDefault="009A1CC0" w:rsidP="009A1CC0">
      <w:pPr>
        <w:rPr>
          <w:rFonts w:ascii="Calibri" w:hAnsi="Calibri"/>
        </w:rPr>
      </w:pPr>
    </w:p>
    <w:p w14:paraId="0C0EEBA4" w14:textId="77777777" w:rsidR="009A1CC0" w:rsidRPr="003E3460" w:rsidRDefault="009A1CC0" w:rsidP="009A1CC0">
      <w:pPr>
        <w:rPr>
          <w:rFonts w:ascii="Calibri" w:hAnsi="Calibri"/>
        </w:rPr>
      </w:pPr>
      <w:r>
        <w:rPr>
          <w:rFonts w:ascii="Calibri" w:hAnsi="Calibri"/>
        </w:rPr>
        <w:t xml:space="preserve">The </w:t>
      </w:r>
      <w:r w:rsidRPr="003E3460">
        <w:rPr>
          <w:rFonts w:ascii="Calibri" w:hAnsi="Calibri"/>
        </w:rPr>
        <w:t xml:space="preserve">PLA member retention rate was </w:t>
      </w:r>
      <w:r>
        <w:rPr>
          <w:rFonts w:ascii="Calibri" w:hAnsi="Calibri"/>
        </w:rPr>
        <w:t>low</w:t>
      </w:r>
      <w:r w:rsidRPr="003E3460">
        <w:rPr>
          <w:rFonts w:ascii="Calibri" w:hAnsi="Calibri"/>
        </w:rPr>
        <w:t xml:space="preserve"> in FY19 (67.4%), but we were also coming off a peak membership year. March FY18 (Conference) saw its highest membership (9</w:t>
      </w:r>
      <w:r>
        <w:rPr>
          <w:rFonts w:ascii="Calibri" w:hAnsi="Calibri"/>
        </w:rPr>
        <w:t>,</w:t>
      </w:r>
      <w:r w:rsidRPr="003E3460">
        <w:rPr>
          <w:rFonts w:ascii="Calibri" w:hAnsi="Calibri"/>
        </w:rPr>
        <w:t xml:space="preserve">744) since FY12. </w:t>
      </w:r>
    </w:p>
    <w:p w14:paraId="337297D2" w14:textId="77777777" w:rsidR="009A1CC0" w:rsidRPr="003E3460" w:rsidRDefault="009A1CC0" w:rsidP="009A1CC0">
      <w:pPr>
        <w:rPr>
          <w:rFonts w:ascii="Calibri" w:hAnsi="Calibri"/>
        </w:rPr>
      </w:pPr>
      <w:r w:rsidRPr="003E3460">
        <w:rPr>
          <w:rFonts w:ascii="Calibri" w:hAnsi="Calibri"/>
        </w:rPr>
        <w:t>As of August 2019, ALA membership was 56,049, a 3.14% decline from 2018. ALA Membership has reported a 2% decline in division membership when compared to FY17, and a 4.7% decline when compared to FY18.</w:t>
      </w:r>
    </w:p>
    <w:p w14:paraId="4E371154" w14:textId="77777777" w:rsidR="009A1CC0" w:rsidRPr="003E3460" w:rsidRDefault="009A1CC0" w:rsidP="009A1CC0">
      <w:pPr>
        <w:rPr>
          <w:rFonts w:ascii="Calibri" w:hAnsi="Calibri"/>
        </w:rPr>
      </w:pPr>
    </w:p>
    <w:p w14:paraId="31A0ACA4" w14:textId="77777777" w:rsidR="009A1CC0" w:rsidRPr="003E3460" w:rsidRDefault="009A1CC0" w:rsidP="009A1CC0">
      <w:pPr>
        <w:rPr>
          <w:rFonts w:ascii="Calibri" w:hAnsi="Calibri"/>
          <w:b/>
        </w:rPr>
      </w:pPr>
      <w:r>
        <w:rPr>
          <w:rFonts w:ascii="Calibri" w:hAnsi="Calibri"/>
          <w:b/>
        </w:rPr>
        <w:t>DUES FY20</w:t>
      </w:r>
    </w:p>
    <w:p w14:paraId="7C0BE358" w14:textId="77777777" w:rsidR="009A1CC0" w:rsidRPr="003E3460" w:rsidRDefault="009A1CC0" w:rsidP="009A1CC0">
      <w:pPr>
        <w:rPr>
          <w:rFonts w:ascii="Calibri" w:hAnsi="Calibri"/>
        </w:rPr>
      </w:pPr>
      <w:r w:rsidRPr="003E3460">
        <w:rPr>
          <w:rFonts w:ascii="Calibri" w:hAnsi="Calibri"/>
        </w:rPr>
        <w:t xml:space="preserve">PLA dues will increase in FY20. Since September 2015, dues increases have been based on annual average increases in the national Consumer Price Index (CPI), rounded up to the nearest dollar. </w:t>
      </w:r>
    </w:p>
    <w:p w14:paraId="6F1DAA04" w14:textId="77777777" w:rsidR="009A1CC0" w:rsidRPr="003E3460" w:rsidRDefault="009A1CC0" w:rsidP="009A1CC0">
      <w:pPr>
        <w:rPr>
          <w:rFonts w:ascii="Calibri" w:hAnsi="Calibri"/>
        </w:rPr>
      </w:pPr>
    </w:p>
    <w:tbl>
      <w:tblPr>
        <w:tblStyle w:val="TableGrid"/>
        <w:tblW w:w="0" w:type="auto"/>
        <w:tblLook w:val="04A0" w:firstRow="1" w:lastRow="0" w:firstColumn="1" w:lastColumn="0" w:noHBand="0" w:noVBand="1"/>
      </w:tblPr>
      <w:tblGrid>
        <w:gridCol w:w="2155"/>
        <w:gridCol w:w="958"/>
        <w:gridCol w:w="770"/>
        <w:gridCol w:w="1602"/>
        <w:gridCol w:w="1086"/>
        <w:gridCol w:w="1794"/>
      </w:tblGrid>
      <w:tr w:rsidR="009A1CC0" w:rsidRPr="003E3460" w14:paraId="17971ED5" w14:textId="77777777" w:rsidTr="00391501">
        <w:trPr>
          <w:trHeight w:val="971"/>
        </w:trPr>
        <w:tc>
          <w:tcPr>
            <w:tcW w:w="6571" w:type="dxa"/>
            <w:gridSpan w:val="5"/>
            <w:noWrap/>
            <w:hideMark/>
          </w:tcPr>
          <w:p w14:paraId="60104FD1" w14:textId="77777777" w:rsidR="009A1CC0" w:rsidRPr="003E3460" w:rsidRDefault="009A1CC0" w:rsidP="00391501">
            <w:pPr>
              <w:jc w:val="center"/>
              <w:rPr>
                <w:rFonts w:ascii="Calibri" w:hAnsi="Calibri"/>
                <w:b/>
                <w:bCs/>
                <w:sz w:val="22"/>
                <w:szCs w:val="22"/>
              </w:rPr>
            </w:pPr>
            <w:r w:rsidRPr="003E3460">
              <w:rPr>
                <w:rFonts w:ascii="Calibri" w:hAnsi="Calibri"/>
                <w:b/>
                <w:bCs/>
                <w:sz w:val="22"/>
                <w:szCs w:val="22"/>
              </w:rPr>
              <w:t>FY20 Dues Adjustment by Type tied to CPI</w:t>
            </w:r>
          </w:p>
          <w:p w14:paraId="6CD2E236" w14:textId="77777777" w:rsidR="009A1CC0" w:rsidRPr="003E3460" w:rsidRDefault="009A1CC0" w:rsidP="00391501">
            <w:pPr>
              <w:jc w:val="center"/>
              <w:rPr>
                <w:rFonts w:ascii="Calibri" w:hAnsi="Calibri"/>
                <w:b/>
                <w:bCs/>
                <w:sz w:val="22"/>
                <w:szCs w:val="22"/>
              </w:rPr>
            </w:pPr>
            <w:r w:rsidRPr="003E3460">
              <w:rPr>
                <w:rFonts w:ascii="Calibri" w:hAnsi="Calibri"/>
                <w:b/>
                <w:bCs/>
                <w:sz w:val="22"/>
                <w:szCs w:val="22"/>
              </w:rPr>
              <w:t>Adjusted by 2018 Calendar Year CPI = 2.44%</w:t>
            </w:r>
          </w:p>
          <w:p w14:paraId="713D10EC" w14:textId="77777777" w:rsidR="009A1CC0" w:rsidRPr="003E3460" w:rsidRDefault="009A1CC0" w:rsidP="00391501">
            <w:pPr>
              <w:jc w:val="center"/>
              <w:rPr>
                <w:rFonts w:ascii="Calibri" w:hAnsi="Calibri"/>
                <w:b/>
                <w:bCs/>
                <w:sz w:val="22"/>
                <w:szCs w:val="22"/>
              </w:rPr>
            </w:pPr>
            <w:r w:rsidRPr="003E3460">
              <w:rPr>
                <w:rFonts w:ascii="Calibri" w:hAnsi="Calibri"/>
                <w:b/>
                <w:bCs/>
                <w:sz w:val="22"/>
                <w:szCs w:val="22"/>
              </w:rPr>
              <w:t>Rounded up to nearest dollar</w:t>
            </w:r>
          </w:p>
        </w:tc>
        <w:tc>
          <w:tcPr>
            <w:tcW w:w="1794" w:type="dxa"/>
          </w:tcPr>
          <w:p w14:paraId="4EBF2FBC" w14:textId="77777777" w:rsidR="009A1CC0" w:rsidRPr="003E3460" w:rsidRDefault="009A1CC0" w:rsidP="00391501">
            <w:pPr>
              <w:jc w:val="center"/>
              <w:rPr>
                <w:rFonts w:ascii="Calibri" w:hAnsi="Calibri"/>
                <w:b/>
                <w:bCs/>
              </w:rPr>
            </w:pPr>
          </w:p>
        </w:tc>
      </w:tr>
      <w:tr w:rsidR="009A1CC0" w:rsidRPr="003E3460" w14:paraId="77065411" w14:textId="77777777" w:rsidTr="00391501">
        <w:trPr>
          <w:trHeight w:val="955"/>
        </w:trPr>
        <w:tc>
          <w:tcPr>
            <w:tcW w:w="2155" w:type="dxa"/>
            <w:hideMark/>
          </w:tcPr>
          <w:p w14:paraId="1B869B8F" w14:textId="77777777" w:rsidR="009A1CC0" w:rsidRPr="003E3460" w:rsidRDefault="009A1CC0" w:rsidP="00391501">
            <w:pPr>
              <w:rPr>
                <w:rFonts w:ascii="Calibri" w:hAnsi="Calibri"/>
                <w:b/>
                <w:bCs/>
                <w:sz w:val="22"/>
                <w:szCs w:val="22"/>
              </w:rPr>
            </w:pPr>
            <w:r w:rsidRPr="003E3460">
              <w:rPr>
                <w:rFonts w:ascii="Calibri" w:hAnsi="Calibri"/>
                <w:b/>
                <w:bCs/>
                <w:sz w:val="22"/>
                <w:szCs w:val="22"/>
              </w:rPr>
              <w:t>Member Type</w:t>
            </w:r>
          </w:p>
        </w:tc>
        <w:tc>
          <w:tcPr>
            <w:tcW w:w="958" w:type="dxa"/>
            <w:hideMark/>
          </w:tcPr>
          <w:p w14:paraId="160A900C" w14:textId="77777777" w:rsidR="009A1CC0" w:rsidRPr="003E3460" w:rsidRDefault="009A1CC0" w:rsidP="00391501">
            <w:pPr>
              <w:rPr>
                <w:rFonts w:ascii="Calibri" w:hAnsi="Calibri"/>
                <w:b/>
                <w:bCs/>
                <w:sz w:val="22"/>
                <w:szCs w:val="22"/>
              </w:rPr>
            </w:pPr>
            <w:r w:rsidRPr="003E3460">
              <w:rPr>
                <w:rFonts w:ascii="Calibri" w:hAnsi="Calibri"/>
                <w:b/>
                <w:bCs/>
                <w:sz w:val="22"/>
                <w:szCs w:val="22"/>
              </w:rPr>
              <w:t>FY19 Dues</w:t>
            </w:r>
          </w:p>
        </w:tc>
        <w:tc>
          <w:tcPr>
            <w:tcW w:w="770" w:type="dxa"/>
            <w:noWrap/>
            <w:hideMark/>
          </w:tcPr>
          <w:p w14:paraId="2E44E0B2" w14:textId="77777777" w:rsidR="009A1CC0" w:rsidRPr="003E3460" w:rsidRDefault="009A1CC0" w:rsidP="00391501">
            <w:pPr>
              <w:rPr>
                <w:rFonts w:ascii="Calibri" w:hAnsi="Calibri"/>
                <w:b/>
                <w:bCs/>
                <w:sz w:val="22"/>
                <w:szCs w:val="22"/>
              </w:rPr>
            </w:pPr>
            <w:r w:rsidRPr="003E3460">
              <w:rPr>
                <w:rFonts w:ascii="Calibri" w:hAnsi="Calibri"/>
                <w:b/>
                <w:bCs/>
                <w:sz w:val="22"/>
                <w:szCs w:val="22"/>
              </w:rPr>
              <w:t>CPI</w:t>
            </w:r>
          </w:p>
          <w:p w14:paraId="236CD951" w14:textId="77777777" w:rsidR="009A1CC0" w:rsidRPr="003E3460" w:rsidRDefault="009A1CC0" w:rsidP="00391501">
            <w:pPr>
              <w:rPr>
                <w:rFonts w:ascii="Calibri" w:hAnsi="Calibri"/>
                <w:b/>
                <w:bCs/>
                <w:sz w:val="22"/>
                <w:szCs w:val="22"/>
              </w:rPr>
            </w:pPr>
            <w:r w:rsidRPr="003E3460">
              <w:rPr>
                <w:rFonts w:ascii="Calibri" w:hAnsi="Calibri"/>
                <w:b/>
                <w:bCs/>
                <w:sz w:val="22"/>
                <w:szCs w:val="22"/>
              </w:rPr>
              <w:t>2.44%</w:t>
            </w:r>
          </w:p>
        </w:tc>
        <w:tc>
          <w:tcPr>
            <w:tcW w:w="1602" w:type="dxa"/>
            <w:hideMark/>
          </w:tcPr>
          <w:p w14:paraId="21D9CB4C" w14:textId="77777777" w:rsidR="009A1CC0" w:rsidRPr="003E3460" w:rsidRDefault="009A1CC0" w:rsidP="00391501">
            <w:pPr>
              <w:rPr>
                <w:rFonts w:ascii="Calibri" w:hAnsi="Calibri"/>
                <w:b/>
                <w:bCs/>
                <w:sz w:val="22"/>
                <w:szCs w:val="22"/>
              </w:rPr>
            </w:pPr>
            <w:r w:rsidRPr="003E3460">
              <w:rPr>
                <w:rFonts w:ascii="Calibri" w:hAnsi="Calibri"/>
                <w:b/>
                <w:bCs/>
                <w:sz w:val="22"/>
                <w:szCs w:val="22"/>
              </w:rPr>
              <w:t>Nearest Dollar Adjustment Rounded Up</w:t>
            </w:r>
          </w:p>
        </w:tc>
        <w:tc>
          <w:tcPr>
            <w:tcW w:w="1086" w:type="dxa"/>
            <w:hideMark/>
          </w:tcPr>
          <w:p w14:paraId="3B58F867" w14:textId="77777777" w:rsidR="009A1CC0" w:rsidRPr="003E3460" w:rsidRDefault="009A1CC0" w:rsidP="00391501">
            <w:pPr>
              <w:rPr>
                <w:rFonts w:ascii="Calibri" w:hAnsi="Calibri"/>
                <w:b/>
                <w:bCs/>
                <w:sz w:val="22"/>
                <w:szCs w:val="22"/>
              </w:rPr>
            </w:pPr>
            <w:r w:rsidRPr="003E3460">
              <w:rPr>
                <w:rFonts w:ascii="Calibri" w:hAnsi="Calibri"/>
                <w:b/>
                <w:bCs/>
                <w:sz w:val="22"/>
                <w:szCs w:val="22"/>
              </w:rPr>
              <w:t>FY20 Dues</w:t>
            </w:r>
          </w:p>
        </w:tc>
        <w:tc>
          <w:tcPr>
            <w:tcW w:w="1794" w:type="dxa"/>
          </w:tcPr>
          <w:p w14:paraId="5F3E606E" w14:textId="77777777" w:rsidR="009A1CC0" w:rsidRPr="003E3460" w:rsidRDefault="009A1CC0" w:rsidP="00391501">
            <w:pPr>
              <w:rPr>
                <w:rFonts w:ascii="Calibri" w:hAnsi="Calibri"/>
                <w:b/>
                <w:bCs/>
                <w:sz w:val="22"/>
                <w:szCs w:val="22"/>
              </w:rPr>
            </w:pPr>
            <w:r w:rsidRPr="003E3460">
              <w:rPr>
                <w:rFonts w:ascii="Calibri" w:hAnsi="Calibri"/>
                <w:b/>
                <w:bCs/>
                <w:sz w:val="22"/>
                <w:szCs w:val="22"/>
              </w:rPr>
              <w:t xml:space="preserve">ALA </w:t>
            </w:r>
            <w:r>
              <w:rPr>
                <w:rFonts w:ascii="Calibri" w:hAnsi="Calibri"/>
                <w:b/>
                <w:bCs/>
                <w:sz w:val="22"/>
                <w:szCs w:val="22"/>
              </w:rPr>
              <w:t xml:space="preserve">FY20 </w:t>
            </w:r>
            <w:r w:rsidRPr="003E3460">
              <w:rPr>
                <w:rFonts w:ascii="Calibri" w:hAnsi="Calibri"/>
                <w:b/>
                <w:bCs/>
                <w:sz w:val="22"/>
                <w:szCs w:val="22"/>
              </w:rPr>
              <w:t>Dues</w:t>
            </w:r>
          </w:p>
        </w:tc>
      </w:tr>
      <w:tr w:rsidR="009A1CC0" w:rsidRPr="003E3460" w14:paraId="491644F8" w14:textId="77777777" w:rsidTr="00391501">
        <w:trPr>
          <w:trHeight w:val="299"/>
        </w:trPr>
        <w:tc>
          <w:tcPr>
            <w:tcW w:w="2155" w:type="dxa"/>
            <w:noWrap/>
            <w:hideMark/>
          </w:tcPr>
          <w:p w14:paraId="48D416E6" w14:textId="77777777" w:rsidR="009A1CC0" w:rsidRPr="003E3460" w:rsidRDefault="009A1CC0" w:rsidP="00391501">
            <w:pPr>
              <w:rPr>
                <w:rFonts w:ascii="Calibri" w:hAnsi="Calibri"/>
                <w:sz w:val="22"/>
                <w:szCs w:val="22"/>
              </w:rPr>
            </w:pPr>
            <w:r w:rsidRPr="003E3460">
              <w:rPr>
                <w:rFonts w:ascii="Calibri" w:hAnsi="Calibri"/>
                <w:sz w:val="22"/>
                <w:szCs w:val="22"/>
              </w:rPr>
              <w:t>Regular</w:t>
            </w:r>
          </w:p>
        </w:tc>
        <w:tc>
          <w:tcPr>
            <w:tcW w:w="958" w:type="dxa"/>
            <w:hideMark/>
          </w:tcPr>
          <w:p w14:paraId="0B7F3FD0" w14:textId="77777777" w:rsidR="009A1CC0" w:rsidRPr="003E3460" w:rsidRDefault="009A1CC0" w:rsidP="00391501">
            <w:pPr>
              <w:rPr>
                <w:rFonts w:ascii="Calibri" w:hAnsi="Calibri"/>
                <w:sz w:val="22"/>
                <w:szCs w:val="22"/>
              </w:rPr>
            </w:pPr>
            <w:r w:rsidRPr="003E3460">
              <w:rPr>
                <w:rFonts w:ascii="Calibri" w:hAnsi="Calibri"/>
                <w:sz w:val="22"/>
                <w:szCs w:val="22"/>
              </w:rPr>
              <w:t>$75.00</w:t>
            </w:r>
          </w:p>
        </w:tc>
        <w:tc>
          <w:tcPr>
            <w:tcW w:w="770" w:type="dxa"/>
            <w:noWrap/>
            <w:hideMark/>
          </w:tcPr>
          <w:p w14:paraId="2BBFC244" w14:textId="77777777" w:rsidR="009A1CC0" w:rsidRPr="003E3460" w:rsidRDefault="009A1CC0" w:rsidP="00391501">
            <w:pPr>
              <w:rPr>
                <w:rFonts w:ascii="Calibri" w:hAnsi="Calibri"/>
                <w:sz w:val="22"/>
                <w:szCs w:val="22"/>
              </w:rPr>
            </w:pPr>
            <w:r w:rsidRPr="003E3460">
              <w:rPr>
                <w:rFonts w:ascii="Calibri" w:hAnsi="Calibri"/>
                <w:sz w:val="22"/>
                <w:szCs w:val="22"/>
              </w:rPr>
              <w:t>$1.83</w:t>
            </w:r>
          </w:p>
        </w:tc>
        <w:tc>
          <w:tcPr>
            <w:tcW w:w="1602" w:type="dxa"/>
            <w:noWrap/>
            <w:hideMark/>
          </w:tcPr>
          <w:p w14:paraId="768C6AEA" w14:textId="77777777" w:rsidR="009A1CC0" w:rsidRPr="003E3460" w:rsidRDefault="009A1CC0" w:rsidP="00391501">
            <w:pPr>
              <w:rPr>
                <w:rFonts w:ascii="Calibri" w:hAnsi="Calibri"/>
                <w:sz w:val="22"/>
                <w:szCs w:val="22"/>
              </w:rPr>
            </w:pPr>
            <w:r w:rsidRPr="003E3460">
              <w:rPr>
                <w:rFonts w:ascii="Calibri" w:hAnsi="Calibri"/>
                <w:sz w:val="22"/>
                <w:szCs w:val="22"/>
              </w:rPr>
              <w:t>$2.00</w:t>
            </w:r>
          </w:p>
        </w:tc>
        <w:tc>
          <w:tcPr>
            <w:tcW w:w="1086" w:type="dxa"/>
            <w:noWrap/>
            <w:hideMark/>
          </w:tcPr>
          <w:p w14:paraId="03EE8667" w14:textId="77777777" w:rsidR="009A1CC0" w:rsidRPr="003E3460" w:rsidRDefault="009A1CC0" w:rsidP="00391501">
            <w:pPr>
              <w:rPr>
                <w:rFonts w:ascii="Calibri" w:hAnsi="Calibri"/>
                <w:sz w:val="22"/>
                <w:szCs w:val="22"/>
              </w:rPr>
            </w:pPr>
            <w:r w:rsidRPr="003E3460">
              <w:rPr>
                <w:rFonts w:ascii="Calibri" w:hAnsi="Calibri"/>
                <w:sz w:val="22"/>
                <w:szCs w:val="22"/>
              </w:rPr>
              <w:t>$77.00</w:t>
            </w:r>
          </w:p>
        </w:tc>
        <w:tc>
          <w:tcPr>
            <w:tcW w:w="1794" w:type="dxa"/>
          </w:tcPr>
          <w:p w14:paraId="70A6C667" w14:textId="77777777" w:rsidR="009A1CC0" w:rsidRPr="003E3460" w:rsidRDefault="009A1CC0" w:rsidP="00391501">
            <w:pPr>
              <w:rPr>
                <w:rFonts w:ascii="Calibri" w:hAnsi="Calibri"/>
                <w:sz w:val="22"/>
                <w:szCs w:val="22"/>
              </w:rPr>
            </w:pPr>
            <w:r>
              <w:rPr>
                <w:rFonts w:ascii="Calibri" w:hAnsi="Calibri"/>
                <w:sz w:val="22"/>
                <w:szCs w:val="22"/>
              </w:rPr>
              <w:t>$74.00–$148.00</w:t>
            </w:r>
          </w:p>
        </w:tc>
      </w:tr>
      <w:tr w:rsidR="009A1CC0" w:rsidRPr="003E3460" w14:paraId="040299E4" w14:textId="77777777" w:rsidTr="00391501">
        <w:trPr>
          <w:trHeight w:val="299"/>
        </w:trPr>
        <w:tc>
          <w:tcPr>
            <w:tcW w:w="2155" w:type="dxa"/>
            <w:noWrap/>
            <w:hideMark/>
          </w:tcPr>
          <w:p w14:paraId="7660B921" w14:textId="77777777" w:rsidR="009A1CC0" w:rsidRPr="003E3460" w:rsidRDefault="009A1CC0" w:rsidP="00391501">
            <w:pPr>
              <w:rPr>
                <w:rFonts w:ascii="Calibri" w:hAnsi="Calibri"/>
                <w:sz w:val="22"/>
                <w:szCs w:val="22"/>
              </w:rPr>
            </w:pPr>
            <w:r w:rsidRPr="003E3460">
              <w:rPr>
                <w:rFonts w:ascii="Calibri" w:hAnsi="Calibri"/>
                <w:sz w:val="22"/>
                <w:szCs w:val="22"/>
              </w:rPr>
              <w:t xml:space="preserve">Student </w:t>
            </w:r>
          </w:p>
        </w:tc>
        <w:tc>
          <w:tcPr>
            <w:tcW w:w="958" w:type="dxa"/>
            <w:hideMark/>
          </w:tcPr>
          <w:p w14:paraId="77AB1B6C" w14:textId="77777777" w:rsidR="009A1CC0" w:rsidRPr="003E3460" w:rsidRDefault="009A1CC0" w:rsidP="00391501">
            <w:pPr>
              <w:rPr>
                <w:rFonts w:ascii="Calibri" w:hAnsi="Calibri"/>
                <w:sz w:val="22"/>
                <w:szCs w:val="22"/>
              </w:rPr>
            </w:pPr>
            <w:r w:rsidRPr="003E3460">
              <w:rPr>
                <w:rFonts w:ascii="Calibri" w:hAnsi="Calibri"/>
                <w:sz w:val="22"/>
                <w:szCs w:val="22"/>
              </w:rPr>
              <w:t>$33.00</w:t>
            </w:r>
          </w:p>
        </w:tc>
        <w:tc>
          <w:tcPr>
            <w:tcW w:w="770" w:type="dxa"/>
            <w:noWrap/>
            <w:hideMark/>
          </w:tcPr>
          <w:p w14:paraId="7A4808EC" w14:textId="77777777" w:rsidR="009A1CC0" w:rsidRPr="003E3460" w:rsidRDefault="009A1CC0" w:rsidP="00391501">
            <w:pPr>
              <w:rPr>
                <w:rFonts w:ascii="Calibri" w:hAnsi="Calibri"/>
                <w:sz w:val="22"/>
                <w:szCs w:val="22"/>
              </w:rPr>
            </w:pPr>
            <w:r w:rsidRPr="003E3460">
              <w:rPr>
                <w:rFonts w:ascii="Calibri" w:hAnsi="Calibri"/>
                <w:sz w:val="22"/>
                <w:szCs w:val="22"/>
              </w:rPr>
              <w:t>$0.81</w:t>
            </w:r>
          </w:p>
        </w:tc>
        <w:tc>
          <w:tcPr>
            <w:tcW w:w="1602" w:type="dxa"/>
            <w:noWrap/>
            <w:hideMark/>
          </w:tcPr>
          <w:p w14:paraId="388B4E54" w14:textId="77777777" w:rsidR="009A1CC0" w:rsidRPr="003E3460" w:rsidRDefault="009A1CC0" w:rsidP="00391501">
            <w:pPr>
              <w:rPr>
                <w:rFonts w:ascii="Calibri" w:hAnsi="Calibri"/>
                <w:sz w:val="22"/>
                <w:szCs w:val="22"/>
              </w:rPr>
            </w:pPr>
            <w:r w:rsidRPr="003E3460">
              <w:rPr>
                <w:rFonts w:ascii="Calibri" w:hAnsi="Calibri"/>
                <w:sz w:val="22"/>
                <w:szCs w:val="22"/>
              </w:rPr>
              <w:t>$1.00</w:t>
            </w:r>
          </w:p>
        </w:tc>
        <w:tc>
          <w:tcPr>
            <w:tcW w:w="1086" w:type="dxa"/>
            <w:noWrap/>
            <w:hideMark/>
          </w:tcPr>
          <w:p w14:paraId="5348CB73" w14:textId="77777777" w:rsidR="009A1CC0" w:rsidRPr="003E3460" w:rsidRDefault="009A1CC0" w:rsidP="00391501">
            <w:pPr>
              <w:rPr>
                <w:rFonts w:ascii="Calibri" w:hAnsi="Calibri"/>
                <w:sz w:val="22"/>
                <w:szCs w:val="22"/>
              </w:rPr>
            </w:pPr>
            <w:r w:rsidRPr="003E3460">
              <w:rPr>
                <w:rFonts w:ascii="Calibri" w:hAnsi="Calibri"/>
                <w:sz w:val="22"/>
                <w:szCs w:val="22"/>
              </w:rPr>
              <w:t>$34.00</w:t>
            </w:r>
          </w:p>
        </w:tc>
        <w:tc>
          <w:tcPr>
            <w:tcW w:w="1794" w:type="dxa"/>
          </w:tcPr>
          <w:p w14:paraId="2AB1D9F0" w14:textId="77777777" w:rsidR="009A1CC0" w:rsidRPr="003E3460" w:rsidRDefault="009A1CC0" w:rsidP="00391501">
            <w:pPr>
              <w:rPr>
                <w:rFonts w:ascii="Calibri" w:hAnsi="Calibri"/>
                <w:sz w:val="22"/>
                <w:szCs w:val="22"/>
              </w:rPr>
            </w:pPr>
            <w:r>
              <w:rPr>
                <w:rFonts w:ascii="Calibri" w:hAnsi="Calibri"/>
                <w:sz w:val="22"/>
                <w:szCs w:val="22"/>
              </w:rPr>
              <w:t>$39.00</w:t>
            </w:r>
          </w:p>
        </w:tc>
      </w:tr>
      <w:tr w:rsidR="009A1CC0" w:rsidRPr="003E3460" w14:paraId="28995ECF" w14:textId="77777777" w:rsidTr="00391501">
        <w:trPr>
          <w:trHeight w:val="299"/>
        </w:trPr>
        <w:tc>
          <w:tcPr>
            <w:tcW w:w="2155" w:type="dxa"/>
            <w:noWrap/>
            <w:hideMark/>
          </w:tcPr>
          <w:p w14:paraId="72D6812A" w14:textId="77777777" w:rsidR="009A1CC0" w:rsidRPr="003E3460" w:rsidRDefault="009A1CC0" w:rsidP="00391501">
            <w:pPr>
              <w:rPr>
                <w:rFonts w:ascii="Calibri" w:hAnsi="Calibri"/>
                <w:sz w:val="22"/>
                <w:szCs w:val="22"/>
              </w:rPr>
            </w:pPr>
            <w:r w:rsidRPr="003E3460">
              <w:rPr>
                <w:rFonts w:ascii="Calibri" w:hAnsi="Calibri"/>
                <w:sz w:val="22"/>
                <w:szCs w:val="22"/>
              </w:rPr>
              <w:t>Retired/Non</w:t>
            </w:r>
            <w:r>
              <w:rPr>
                <w:rFonts w:ascii="Calibri" w:hAnsi="Calibri"/>
                <w:sz w:val="22"/>
                <w:szCs w:val="22"/>
              </w:rPr>
              <w:t>-s</w:t>
            </w:r>
            <w:r w:rsidRPr="003E3460">
              <w:rPr>
                <w:rFonts w:ascii="Calibri" w:hAnsi="Calibri"/>
                <w:sz w:val="22"/>
                <w:szCs w:val="22"/>
              </w:rPr>
              <w:t>alaried</w:t>
            </w:r>
          </w:p>
        </w:tc>
        <w:tc>
          <w:tcPr>
            <w:tcW w:w="958" w:type="dxa"/>
            <w:hideMark/>
          </w:tcPr>
          <w:p w14:paraId="2A261116" w14:textId="77777777" w:rsidR="009A1CC0" w:rsidRPr="003E3460" w:rsidRDefault="009A1CC0" w:rsidP="00391501">
            <w:pPr>
              <w:rPr>
                <w:rFonts w:ascii="Calibri" w:hAnsi="Calibri"/>
                <w:sz w:val="22"/>
                <w:szCs w:val="22"/>
              </w:rPr>
            </w:pPr>
            <w:r w:rsidRPr="003E3460">
              <w:rPr>
                <w:rFonts w:ascii="Calibri" w:hAnsi="Calibri"/>
                <w:sz w:val="22"/>
                <w:szCs w:val="22"/>
              </w:rPr>
              <w:t>$54.00</w:t>
            </w:r>
          </w:p>
        </w:tc>
        <w:tc>
          <w:tcPr>
            <w:tcW w:w="770" w:type="dxa"/>
            <w:noWrap/>
            <w:hideMark/>
          </w:tcPr>
          <w:p w14:paraId="116A30F7" w14:textId="77777777" w:rsidR="009A1CC0" w:rsidRPr="003E3460" w:rsidRDefault="009A1CC0" w:rsidP="00391501">
            <w:pPr>
              <w:rPr>
                <w:rFonts w:ascii="Calibri" w:hAnsi="Calibri"/>
                <w:sz w:val="22"/>
                <w:szCs w:val="22"/>
              </w:rPr>
            </w:pPr>
            <w:r w:rsidRPr="003E3460">
              <w:rPr>
                <w:rFonts w:ascii="Calibri" w:hAnsi="Calibri"/>
                <w:sz w:val="22"/>
                <w:szCs w:val="22"/>
              </w:rPr>
              <w:t>$1.32</w:t>
            </w:r>
          </w:p>
        </w:tc>
        <w:tc>
          <w:tcPr>
            <w:tcW w:w="1602" w:type="dxa"/>
            <w:noWrap/>
            <w:hideMark/>
          </w:tcPr>
          <w:p w14:paraId="31E54182" w14:textId="77777777" w:rsidR="009A1CC0" w:rsidRPr="003E3460" w:rsidRDefault="009A1CC0" w:rsidP="00391501">
            <w:pPr>
              <w:rPr>
                <w:rFonts w:ascii="Calibri" w:hAnsi="Calibri"/>
                <w:sz w:val="22"/>
                <w:szCs w:val="22"/>
              </w:rPr>
            </w:pPr>
            <w:r w:rsidRPr="003E3460">
              <w:rPr>
                <w:rFonts w:ascii="Calibri" w:hAnsi="Calibri"/>
                <w:sz w:val="22"/>
                <w:szCs w:val="22"/>
              </w:rPr>
              <w:t>$2.00</w:t>
            </w:r>
          </w:p>
        </w:tc>
        <w:tc>
          <w:tcPr>
            <w:tcW w:w="1086" w:type="dxa"/>
            <w:noWrap/>
            <w:hideMark/>
          </w:tcPr>
          <w:p w14:paraId="430EE088" w14:textId="77777777" w:rsidR="009A1CC0" w:rsidRPr="003E3460" w:rsidRDefault="009A1CC0" w:rsidP="00391501">
            <w:pPr>
              <w:rPr>
                <w:rFonts w:ascii="Calibri" w:hAnsi="Calibri"/>
                <w:sz w:val="22"/>
                <w:szCs w:val="22"/>
              </w:rPr>
            </w:pPr>
            <w:r w:rsidRPr="003E3460">
              <w:rPr>
                <w:rFonts w:ascii="Calibri" w:hAnsi="Calibri"/>
                <w:sz w:val="22"/>
                <w:szCs w:val="22"/>
              </w:rPr>
              <w:t>$56.00</w:t>
            </w:r>
          </w:p>
        </w:tc>
        <w:tc>
          <w:tcPr>
            <w:tcW w:w="1794" w:type="dxa"/>
          </w:tcPr>
          <w:p w14:paraId="2CC8A61D" w14:textId="77777777" w:rsidR="009A1CC0" w:rsidRPr="003E3460" w:rsidRDefault="009A1CC0" w:rsidP="00391501">
            <w:pPr>
              <w:rPr>
                <w:rFonts w:ascii="Calibri" w:hAnsi="Calibri"/>
                <w:sz w:val="22"/>
                <w:szCs w:val="22"/>
              </w:rPr>
            </w:pPr>
            <w:r w:rsidRPr="003E3460">
              <w:rPr>
                <w:rFonts w:ascii="Calibri" w:hAnsi="Calibri"/>
                <w:sz w:val="22"/>
                <w:szCs w:val="22"/>
              </w:rPr>
              <w:t>$53</w:t>
            </w:r>
            <w:r>
              <w:rPr>
                <w:rFonts w:ascii="Calibri" w:hAnsi="Calibri"/>
                <w:sz w:val="22"/>
                <w:szCs w:val="22"/>
              </w:rPr>
              <w:t>.00</w:t>
            </w:r>
          </w:p>
        </w:tc>
      </w:tr>
      <w:tr w:rsidR="009A1CC0" w:rsidRPr="003E3460" w14:paraId="41B6B7BB" w14:textId="77777777" w:rsidTr="00391501">
        <w:trPr>
          <w:trHeight w:val="299"/>
        </w:trPr>
        <w:tc>
          <w:tcPr>
            <w:tcW w:w="2155" w:type="dxa"/>
            <w:noWrap/>
            <w:hideMark/>
          </w:tcPr>
          <w:p w14:paraId="1ED6EE7D" w14:textId="77777777" w:rsidR="009A1CC0" w:rsidRPr="003E3460" w:rsidRDefault="009A1CC0" w:rsidP="00391501">
            <w:pPr>
              <w:rPr>
                <w:rFonts w:ascii="Calibri" w:hAnsi="Calibri"/>
                <w:sz w:val="22"/>
                <w:szCs w:val="22"/>
              </w:rPr>
            </w:pPr>
            <w:r w:rsidRPr="003E3460">
              <w:rPr>
                <w:rFonts w:ascii="Calibri" w:hAnsi="Calibri"/>
                <w:sz w:val="22"/>
                <w:szCs w:val="22"/>
              </w:rPr>
              <w:lastRenderedPageBreak/>
              <w:t>Corporate</w:t>
            </w:r>
          </w:p>
        </w:tc>
        <w:tc>
          <w:tcPr>
            <w:tcW w:w="958" w:type="dxa"/>
            <w:hideMark/>
          </w:tcPr>
          <w:p w14:paraId="3687E93C" w14:textId="77777777" w:rsidR="009A1CC0" w:rsidRPr="003E3460" w:rsidRDefault="009A1CC0" w:rsidP="00391501">
            <w:pPr>
              <w:rPr>
                <w:rFonts w:ascii="Calibri" w:hAnsi="Calibri"/>
                <w:sz w:val="22"/>
                <w:szCs w:val="22"/>
              </w:rPr>
            </w:pPr>
            <w:r w:rsidRPr="003E3460">
              <w:rPr>
                <w:rFonts w:ascii="Calibri" w:hAnsi="Calibri"/>
                <w:sz w:val="22"/>
                <w:szCs w:val="22"/>
              </w:rPr>
              <w:t>$106.00</w:t>
            </w:r>
          </w:p>
        </w:tc>
        <w:tc>
          <w:tcPr>
            <w:tcW w:w="770" w:type="dxa"/>
            <w:noWrap/>
            <w:hideMark/>
          </w:tcPr>
          <w:p w14:paraId="170B62A3" w14:textId="77777777" w:rsidR="009A1CC0" w:rsidRPr="003E3460" w:rsidRDefault="009A1CC0" w:rsidP="00391501">
            <w:pPr>
              <w:rPr>
                <w:rFonts w:ascii="Calibri" w:hAnsi="Calibri"/>
                <w:sz w:val="22"/>
                <w:szCs w:val="22"/>
              </w:rPr>
            </w:pPr>
            <w:r w:rsidRPr="003E3460">
              <w:rPr>
                <w:rFonts w:ascii="Calibri" w:hAnsi="Calibri"/>
                <w:sz w:val="22"/>
                <w:szCs w:val="22"/>
              </w:rPr>
              <w:t>$2.59</w:t>
            </w:r>
          </w:p>
        </w:tc>
        <w:tc>
          <w:tcPr>
            <w:tcW w:w="1602" w:type="dxa"/>
            <w:noWrap/>
            <w:hideMark/>
          </w:tcPr>
          <w:p w14:paraId="2AD3D7C4" w14:textId="77777777" w:rsidR="009A1CC0" w:rsidRPr="003E3460" w:rsidRDefault="009A1CC0" w:rsidP="00391501">
            <w:pPr>
              <w:rPr>
                <w:rFonts w:ascii="Calibri" w:hAnsi="Calibri"/>
                <w:sz w:val="22"/>
                <w:szCs w:val="22"/>
              </w:rPr>
            </w:pPr>
            <w:r w:rsidRPr="003E3460">
              <w:rPr>
                <w:rFonts w:ascii="Calibri" w:hAnsi="Calibri"/>
                <w:sz w:val="22"/>
                <w:szCs w:val="22"/>
              </w:rPr>
              <w:t>$3.00</w:t>
            </w:r>
          </w:p>
        </w:tc>
        <w:tc>
          <w:tcPr>
            <w:tcW w:w="1086" w:type="dxa"/>
            <w:noWrap/>
            <w:hideMark/>
          </w:tcPr>
          <w:p w14:paraId="1C0937CC" w14:textId="77777777" w:rsidR="009A1CC0" w:rsidRPr="003E3460" w:rsidRDefault="009A1CC0" w:rsidP="00391501">
            <w:pPr>
              <w:rPr>
                <w:rFonts w:ascii="Calibri" w:hAnsi="Calibri"/>
                <w:sz w:val="22"/>
                <w:szCs w:val="22"/>
              </w:rPr>
            </w:pPr>
            <w:r w:rsidRPr="003E3460">
              <w:rPr>
                <w:rFonts w:ascii="Calibri" w:hAnsi="Calibri"/>
                <w:sz w:val="22"/>
                <w:szCs w:val="22"/>
              </w:rPr>
              <w:t>$109.00</w:t>
            </w:r>
          </w:p>
        </w:tc>
        <w:tc>
          <w:tcPr>
            <w:tcW w:w="1794" w:type="dxa"/>
          </w:tcPr>
          <w:p w14:paraId="28AE4C6D" w14:textId="77777777" w:rsidR="009A1CC0" w:rsidRPr="003E3460" w:rsidRDefault="009A1CC0" w:rsidP="00391501">
            <w:pPr>
              <w:rPr>
                <w:rFonts w:ascii="Calibri" w:hAnsi="Calibri"/>
                <w:sz w:val="22"/>
                <w:szCs w:val="22"/>
              </w:rPr>
            </w:pPr>
            <w:r>
              <w:rPr>
                <w:rFonts w:ascii="Calibri" w:hAnsi="Calibri"/>
                <w:sz w:val="22"/>
                <w:szCs w:val="22"/>
              </w:rPr>
              <w:t>Varies</w:t>
            </w:r>
          </w:p>
        </w:tc>
      </w:tr>
      <w:tr w:rsidR="009A1CC0" w:rsidRPr="003E3460" w14:paraId="319BC6D2" w14:textId="77777777" w:rsidTr="00391501">
        <w:trPr>
          <w:trHeight w:val="299"/>
        </w:trPr>
        <w:tc>
          <w:tcPr>
            <w:tcW w:w="2155" w:type="dxa"/>
            <w:noWrap/>
            <w:hideMark/>
          </w:tcPr>
          <w:p w14:paraId="19B35B60" w14:textId="77777777" w:rsidR="009A1CC0" w:rsidRPr="003E3460" w:rsidRDefault="009A1CC0" w:rsidP="00391501">
            <w:pPr>
              <w:rPr>
                <w:rFonts w:ascii="Calibri" w:hAnsi="Calibri"/>
                <w:sz w:val="22"/>
                <w:szCs w:val="22"/>
              </w:rPr>
            </w:pPr>
            <w:r w:rsidRPr="003E3460">
              <w:rPr>
                <w:rFonts w:ascii="Calibri" w:hAnsi="Calibri"/>
                <w:sz w:val="22"/>
                <w:szCs w:val="22"/>
              </w:rPr>
              <w:t>Organizational</w:t>
            </w:r>
          </w:p>
        </w:tc>
        <w:tc>
          <w:tcPr>
            <w:tcW w:w="958" w:type="dxa"/>
            <w:hideMark/>
          </w:tcPr>
          <w:p w14:paraId="10C52E92" w14:textId="77777777" w:rsidR="009A1CC0" w:rsidRPr="003E3460" w:rsidRDefault="009A1CC0" w:rsidP="00391501">
            <w:pPr>
              <w:rPr>
                <w:rFonts w:ascii="Calibri" w:hAnsi="Calibri"/>
                <w:sz w:val="22"/>
                <w:szCs w:val="22"/>
              </w:rPr>
            </w:pPr>
            <w:r w:rsidRPr="003E3460">
              <w:rPr>
                <w:rFonts w:ascii="Calibri" w:hAnsi="Calibri"/>
                <w:sz w:val="22"/>
                <w:szCs w:val="22"/>
              </w:rPr>
              <w:t>$106.00</w:t>
            </w:r>
          </w:p>
        </w:tc>
        <w:tc>
          <w:tcPr>
            <w:tcW w:w="770" w:type="dxa"/>
            <w:noWrap/>
            <w:hideMark/>
          </w:tcPr>
          <w:p w14:paraId="77984F75" w14:textId="77777777" w:rsidR="009A1CC0" w:rsidRPr="003E3460" w:rsidRDefault="009A1CC0" w:rsidP="00391501">
            <w:pPr>
              <w:rPr>
                <w:rFonts w:ascii="Calibri" w:hAnsi="Calibri"/>
                <w:sz w:val="22"/>
                <w:szCs w:val="22"/>
              </w:rPr>
            </w:pPr>
            <w:r w:rsidRPr="003E3460">
              <w:rPr>
                <w:rFonts w:ascii="Calibri" w:hAnsi="Calibri"/>
                <w:sz w:val="22"/>
                <w:szCs w:val="22"/>
              </w:rPr>
              <w:t>$2.59</w:t>
            </w:r>
          </w:p>
        </w:tc>
        <w:tc>
          <w:tcPr>
            <w:tcW w:w="1602" w:type="dxa"/>
            <w:noWrap/>
            <w:hideMark/>
          </w:tcPr>
          <w:p w14:paraId="292D3317" w14:textId="77777777" w:rsidR="009A1CC0" w:rsidRPr="003E3460" w:rsidRDefault="009A1CC0" w:rsidP="00391501">
            <w:pPr>
              <w:rPr>
                <w:rFonts w:ascii="Calibri" w:hAnsi="Calibri"/>
                <w:sz w:val="22"/>
                <w:szCs w:val="22"/>
              </w:rPr>
            </w:pPr>
            <w:r w:rsidRPr="003E3460">
              <w:rPr>
                <w:rFonts w:ascii="Calibri" w:hAnsi="Calibri"/>
                <w:sz w:val="22"/>
                <w:szCs w:val="22"/>
              </w:rPr>
              <w:t>$3.00</w:t>
            </w:r>
          </w:p>
        </w:tc>
        <w:tc>
          <w:tcPr>
            <w:tcW w:w="1086" w:type="dxa"/>
            <w:noWrap/>
            <w:hideMark/>
          </w:tcPr>
          <w:p w14:paraId="460DCF4C" w14:textId="77777777" w:rsidR="009A1CC0" w:rsidRPr="003E3460" w:rsidRDefault="009A1CC0" w:rsidP="00391501">
            <w:pPr>
              <w:rPr>
                <w:rFonts w:ascii="Calibri" w:hAnsi="Calibri"/>
                <w:sz w:val="22"/>
                <w:szCs w:val="22"/>
              </w:rPr>
            </w:pPr>
            <w:r w:rsidRPr="003E3460">
              <w:rPr>
                <w:rFonts w:ascii="Calibri" w:hAnsi="Calibri"/>
                <w:sz w:val="22"/>
                <w:szCs w:val="22"/>
              </w:rPr>
              <w:t>$109.00</w:t>
            </w:r>
          </w:p>
        </w:tc>
        <w:tc>
          <w:tcPr>
            <w:tcW w:w="1794" w:type="dxa"/>
          </w:tcPr>
          <w:p w14:paraId="1AD67D90" w14:textId="77777777" w:rsidR="009A1CC0" w:rsidRPr="003E3460" w:rsidRDefault="009A1CC0" w:rsidP="00391501">
            <w:pPr>
              <w:rPr>
                <w:rFonts w:ascii="Calibri" w:hAnsi="Calibri"/>
                <w:sz w:val="22"/>
                <w:szCs w:val="22"/>
              </w:rPr>
            </w:pPr>
            <w:r>
              <w:rPr>
                <w:rFonts w:ascii="Calibri" w:hAnsi="Calibri"/>
                <w:sz w:val="22"/>
                <w:szCs w:val="22"/>
              </w:rPr>
              <w:t>Varies</w:t>
            </w:r>
          </w:p>
        </w:tc>
      </w:tr>
    </w:tbl>
    <w:p w14:paraId="40272108" w14:textId="77777777" w:rsidR="009A1CC0" w:rsidRDefault="009A1CC0" w:rsidP="009A1CC0"/>
    <w:p w14:paraId="36AF94FC" w14:textId="382B1955" w:rsidR="009A1CC0" w:rsidRDefault="009A1CC0" w:rsidP="009A1CC0">
      <w:pPr>
        <w:rPr>
          <w:rFonts w:asciiTheme="minorHAnsi" w:hAnsiTheme="minorHAnsi"/>
          <w:i/>
          <w:iCs/>
        </w:rPr>
      </w:pPr>
    </w:p>
    <w:p w14:paraId="68779B28" w14:textId="74B1817D" w:rsidR="009A1CC0" w:rsidRDefault="009A1CC0" w:rsidP="009A1CC0">
      <w:pPr>
        <w:rPr>
          <w:rFonts w:asciiTheme="minorHAnsi" w:hAnsiTheme="minorHAnsi"/>
        </w:rPr>
      </w:pPr>
      <w:r>
        <w:rPr>
          <w:rFonts w:asciiTheme="minorHAnsi" w:hAnsiTheme="minorHAnsi"/>
          <w:b/>
          <w:bCs/>
        </w:rPr>
        <w:t>FUNDRAISING</w:t>
      </w:r>
    </w:p>
    <w:p w14:paraId="58C18AD3" w14:textId="67C1CBA8" w:rsidR="009A1CC0" w:rsidRDefault="009A1CC0" w:rsidP="009A1CC0">
      <w:pPr>
        <w:rPr>
          <w:rFonts w:asciiTheme="minorHAnsi" w:hAnsiTheme="minorHAnsi"/>
          <w:i/>
          <w:iCs/>
        </w:rPr>
      </w:pPr>
      <w:r>
        <w:rPr>
          <w:rFonts w:asciiTheme="minorHAnsi" w:hAnsiTheme="minorHAnsi"/>
          <w:i/>
          <w:iCs/>
        </w:rPr>
        <w:t>Submitted by Scott Allen, Deputy Director</w:t>
      </w:r>
    </w:p>
    <w:p w14:paraId="10AEDD07" w14:textId="638D8F28" w:rsidR="009A1CC0" w:rsidRDefault="009A1CC0" w:rsidP="009A1CC0">
      <w:pPr>
        <w:rPr>
          <w:rFonts w:asciiTheme="minorHAnsi" w:hAnsiTheme="minorHAnsi"/>
        </w:rPr>
      </w:pPr>
    </w:p>
    <w:p w14:paraId="4C754151" w14:textId="77777777" w:rsidR="00CA7255" w:rsidRDefault="00CA7255" w:rsidP="00CA7255">
      <w:pPr>
        <w:rPr>
          <w:rFonts w:asciiTheme="minorHAnsi" w:hAnsiTheme="minorHAnsi"/>
        </w:rPr>
      </w:pPr>
      <w:r>
        <w:rPr>
          <w:rFonts w:asciiTheme="minorHAnsi" w:hAnsiTheme="minorHAnsi"/>
        </w:rPr>
        <w:t xml:space="preserve">PLA effectively wrapped up the campaign </w:t>
      </w:r>
      <w:r w:rsidRPr="00CA7255">
        <w:rPr>
          <w:rFonts w:asciiTheme="minorHAnsi" w:hAnsiTheme="minorHAnsi"/>
        </w:rPr>
        <w:t>to raise $7,500 for PLA 2020 scholarships as part of PLA’s 75th anniversary</w:t>
      </w:r>
      <w:r>
        <w:rPr>
          <w:rFonts w:asciiTheme="minorHAnsi" w:hAnsiTheme="minorHAnsi"/>
        </w:rPr>
        <w:t xml:space="preserve">, raising $6,984 from 94 donations through the end of Fiscal Year 2019 (and an additional $367 in September 2019). No further solicitations are planned for PLA members until late November in coordination with Giving Tuesday and the ALA year-end appeals which begin at that time and continue through December. </w:t>
      </w:r>
    </w:p>
    <w:p w14:paraId="4266C19F" w14:textId="27E3F051" w:rsidR="00CA7255" w:rsidRDefault="00CA7255" w:rsidP="00CA7255">
      <w:pPr>
        <w:rPr>
          <w:rFonts w:asciiTheme="minorHAnsi" w:hAnsiTheme="minorHAnsi"/>
        </w:rPr>
      </w:pPr>
    </w:p>
    <w:p w14:paraId="4E6B2544" w14:textId="77777777" w:rsidR="00306053" w:rsidRDefault="00CA7255" w:rsidP="00CA7255">
      <w:pPr>
        <w:rPr>
          <w:rFonts w:asciiTheme="minorHAnsi" w:hAnsiTheme="minorHAnsi"/>
        </w:rPr>
      </w:pPr>
      <w:r>
        <w:rPr>
          <w:rFonts w:asciiTheme="minorHAnsi" w:hAnsiTheme="minorHAnsi"/>
        </w:rPr>
        <w:t xml:space="preserve">In terms of grant support, </w:t>
      </w:r>
      <w:r w:rsidRPr="00CA7255">
        <w:rPr>
          <w:rFonts w:asciiTheme="minorHAnsi" w:hAnsiTheme="minorHAnsi"/>
        </w:rPr>
        <w:t>PLA received an out-of-cycle extension to support a fourth cohort of the Inclusive Internship Initiative, IMLS grant RE-00-17-0129-17. This IMLS Librarians for the 21st Century grant will enable PLA to engage 50 public libraries in offering paid, mentored internships to high school students over summer 2020. IMLS award</w:t>
      </w:r>
      <w:r>
        <w:rPr>
          <w:rFonts w:asciiTheme="minorHAnsi" w:hAnsiTheme="minorHAnsi"/>
        </w:rPr>
        <w:t>ed</w:t>
      </w:r>
      <w:r w:rsidRPr="00CA7255">
        <w:rPr>
          <w:rFonts w:asciiTheme="minorHAnsi" w:hAnsiTheme="minorHAnsi"/>
        </w:rPr>
        <w:t xml:space="preserve"> PLA $313,606. </w:t>
      </w:r>
      <w:r>
        <w:rPr>
          <w:rFonts w:asciiTheme="minorHAnsi" w:hAnsiTheme="minorHAnsi"/>
        </w:rPr>
        <w:t xml:space="preserve">PLA </w:t>
      </w:r>
      <w:r w:rsidRPr="00CA7255">
        <w:rPr>
          <w:rFonts w:asciiTheme="minorHAnsi" w:hAnsiTheme="minorHAnsi"/>
        </w:rPr>
        <w:t xml:space="preserve">will contribute an additional $356,109 in matching and in-kind contributions. </w:t>
      </w:r>
      <w:r>
        <w:rPr>
          <w:rFonts w:asciiTheme="minorHAnsi" w:hAnsiTheme="minorHAnsi"/>
        </w:rPr>
        <w:t xml:space="preserve">Also, </w:t>
      </w:r>
      <w:r w:rsidRPr="00CA7255">
        <w:rPr>
          <w:rFonts w:asciiTheme="minorHAnsi" w:hAnsiTheme="minorHAnsi"/>
        </w:rPr>
        <w:t>PLA was awarded a second round of funding from Community Catalyst (originally sourced from the Robert Wood Johnson Foundation), along with several other national partners, to disseminate information and resources to promote health insurance enrollment as a part of the Affordable Care Act. PLA will receive roughly $109,000 in grant funds</w:t>
      </w:r>
      <w:r w:rsidR="00306053">
        <w:rPr>
          <w:rFonts w:asciiTheme="minorHAnsi" w:hAnsiTheme="minorHAnsi"/>
        </w:rPr>
        <w:t xml:space="preserve">. </w:t>
      </w:r>
    </w:p>
    <w:p w14:paraId="238D4AC4" w14:textId="77777777" w:rsidR="00306053" w:rsidRDefault="00306053" w:rsidP="00CA7255">
      <w:pPr>
        <w:rPr>
          <w:rFonts w:asciiTheme="minorHAnsi" w:hAnsiTheme="minorHAnsi"/>
        </w:rPr>
      </w:pPr>
    </w:p>
    <w:p w14:paraId="242487C7" w14:textId="2D04CB53" w:rsidR="009A1CC0" w:rsidRDefault="00CA7255" w:rsidP="00CA7255">
      <w:pPr>
        <w:rPr>
          <w:rFonts w:asciiTheme="minorHAnsi" w:hAnsiTheme="minorHAnsi"/>
        </w:rPr>
      </w:pPr>
      <w:r>
        <w:rPr>
          <w:rFonts w:asciiTheme="minorHAnsi" w:hAnsiTheme="minorHAnsi"/>
        </w:rPr>
        <w:t>Efforts continue to secure sponsorships for PLA 2020 through PLA’s vendor, Corcoran, with the goal of raising $100,000 in revenue for sponsorships, similar to 2018.</w:t>
      </w:r>
      <w:r w:rsidR="00306053">
        <w:rPr>
          <w:rFonts w:asciiTheme="minorHAnsi" w:hAnsiTheme="minorHAnsi"/>
        </w:rPr>
        <w:t xml:space="preserve"> </w:t>
      </w:r>
      <w:r>
        <w:rPr>
          <w:rFonts w:asciiTheme="minorHAnsi" w:hAnsiTheme="minorHAnsi"/>
        </w:rPr>
        <w:t xml:space="preserve">Staff also drafted an infographic similar to what ALA produces highlighting where a PLA dollar comes from and where it goes. Over Fiscal Years 2017 and 2018, about 53% of PLA’s revenue was from grants </w:t>
      </w:r>
    </w:p>
    <w:p w14:paraId="5E907AC0" w14:textId="77777777" w:rsidR="009A1CC0" w:rsidRPr="009A1CC0" w:rsidRDefault="009A1CC0" w:rsidP="009A1CC0">
      <w:pPr>
        <w:rPr>
          <w:rFonts w:asciiTheme="minorHAnsi" w:hAnsiTheme="minorHAnsi"/>
        </w:rPr>
      </w:pPr>
    </w:p>
    <w:p w14:paraId="42FFDE57" w14:textId="77777777" w:rsidR="009A1CC0" w:rsidRDefault="009A1CC0"/>
    <w:p w14:paraId="4072AF33" w14:textId="77777777" w:rsidR="009A1CC0" w:rsidRDefault="009A1CC0" w:rsidP="009A1CC0">
      <w:pPr>
        <w:rPr>
          <w:rFonts w:asciiTheme="minorHAnsi" w:hAnsiTheme="minorHAnsi"/>
          <w:b/>
        </w:rPr>
      </w:pPr>
      <w:r>
        <w:rPr>
          <w:rFonts w:asciiTheme="minorHAnsi" w:hAnsiTheme="minorHAnsi"/>
          <w:b/>
        </w:rPr>
        <w:t>COMMUNICATIONS</w:t>
      </w:r>
    </w:p>
    <w:p w14:paraId="0AB802AF" w14:textId="77777777" w:rsidR="009A1CC0" w:rsidRDefault="009A1CC0" w:rsidP="009A1CC0">
      <w:pPr>
        <w:rPr>
          <w:rFonts w:asciiTheme="minorHAnsi" w:hAnsiTheme="minorHAnsi"/>
          <w:i/>
        </w:rPr>
      </w:pPr>
      <w:r>
        <w:rPr>
          <w:rFonts w:asciiTheme="minorHAnsi" w:hAnsiTheme="minorHAnsi"/>
          <w:i/>
        </w:rPr>
        <w:t xml:space="preserve">Submitted by Laurence Deutsch, Manager, Communications </w:t>
      </w:r>
    </w:p>
    <w:p w14:paraId="504BAE2B" w14:textId="77777777" w:rsidR="009A1CC0" w:rsidRDefault="009A1CC0" w:rsidP="009A1CC0">
      <w:pPr>
        <w:rPr>
          <w:rFonts w:asciiTheme="minorHAnsi" w:hAnsiTheme="minorHAnsi"/>
        </w:rPr>
      </w:pPr>
    </w:p>
    <w:p w14:paraId="0265831D" w14:textId="77777777" w:rsidR="009A1CC0" w:rsidRDefault="009A1CC0" w:rsidP="009A1CC0">
      <w:pPr>
        <w:rPr>
          <w:rFonts w:asciiTheme="minorHAnsi" w:hAnsiTheme="minorHAnsi"/>
        </w:rPr>
      </w:pPr>
      <w:r w:rsidRPr="0025118A">
        <w:rPr>
          <w:rFonts w:asciiTheme="minorHAnsi" w:hAnsiTheme="minorHAnsi"/>
        </w:rPr>
        <w:t xml:space="preserve">Since its last report to the PLA board, submitted on </w:t>
      </w:r>
      <w:r>
        <w:rPr>
          <w:rFonts w:asciiTheme="minorHAnsi" w:hAnsiTheme="minorHAnsi"/>
        </w:rPr>
        <w:t>June 3</w:t>
      </w:r>
      <w:r w:rsidRPr="0025118A">
        <w:rPr>
          <w:rFonts w:asciiTheme="minorHAnsi" w:hAnsiTheme="minorHAnsi"/>
        </w:rPr>
        <w:t xml:space="preserve">, 2019, PLA has issued </w:t>
      </w:r>
      <w:r>
        <w:rPr>
          <w:rFonts w:asciiTheme="minorHAnsi" w:hAnsiTheme="minorHAnsi"/>
        </w:rPr>
        <w:t>15</w:t>
      </w:r>
      <w:r w:rsidRPr="0025118A">
        <w:rPr>
          <w:rFonts w:asciiTheme="minorHAnsi" w:hAnsiTheme="minorHAnsi"/>
        </w:rPr>
        <w:t xml:space="preserve"> press releases</w:t>
      </w:r>
      <w:r>
        <w:rPr>
          <w:rFonts w:asciiTheme="minorHAnsi" w:hAnsiTheme="minorHAnsi"/>
        </w:rPr>
        <w:t xml:space="preserve"> and co-issued three others with ALA. There have also been four</w:t>
      </w:r>
      <w:r w:rsidRPr="0025118A">
        <w:rPr>
          <w:rFonts w:asciiTheme="minorHAnsi" w:hAnsiTheme="minorHAnsi"/>
        </w:rPr>
        <w:t xml:space="preserve"> electronic newsletters,</w:t>
      </w:r>
      <w:r>
        <w:rPr>
          <w:rFonts w:asciiTheme="minorHAnsi" w:hAnsiTheme="minorHAnsi"/>
        </w:rPr>
        <w:t xml:space="preserve"> 33</w:t>
      </w:r>
      <w:r w:rsidRPr="0025118A">
        <w:rPr>
          <w:rFonts w:asciiTheme="minorHAnsi" w:hAnsiTheme="minorHAnsi"/>
        </w:rPr>
        <w:t xml:space="preserve"> email blasts, and numerous other communication pieces.</w:t>
      </w:r>
      <w:r>
        <w:rPr>
          <w:rFonts w:asciiTheme="minorHAnsi" w:hAnsiTheme="minorHAnsi"/>
        </w:rPr>
        <w:t xml:space="preserve"> </w:t>
      </w:r>
      <w:r w:rsidRPr="0025118A">
        <w:rPr>
          <w:rFonts w:asciiTheme="minorHAnsi" w:hAnsiTheme="minorHAnsi"/>
        </w:rPr>
        <w:t xml:space="preserve">Areas of primary focus </w:t>
      </w:r>
      <w:r>
        <w:rPr>
          <w:rFonts w:asciiTheme="minorHAnsi" w:hAnsiTheme="minorHAnsi"/>
        </w:rPr>
        <w:t xml:space="preserve">of PLA communications during the reporting period </w:t>
      </w:r>
      <w:r w:rsidRPr="0025118A">
        <w:rPr>
          <w:rFonts w:asciiTheme="minorHAnsi" w:hAnsiTheme="minorHAnsi"/>
        </w:rPr>
        <w:t>include</w:t>
      </w:r>
      <w:r>
        <w:rPr>
          <w:rFonts w:asciiTheme="minorHAnsi" w:hAnsiTheme="minorHAnsi"/>
        </w:rPr>
        <w:t>:</w:t>
      </w:r>
    </w:p>
    <w:p w14:paraId="0B639AB3" w14:textId="77777777" w:rsidR="009A1CC0" w:rsidRDefault="009A1CC0" w:rsidP="009A1CC0">
      <w:pPr>
        <w:rPr>
          <w:rFonts w:asciiTheme="minorHAnsi" w:hAnsiTheme="minorHAnsi"/>
        </w:rPr>
      </w:pPr>
    </w:p>
    <w:p w14:paraId="07326A1F" w14:textId="6B84CFD0" w:rsidR="009A1CC0" w:rsidRDefault="009A1CC0" w:rsidP="009A1CC0">
      <w:pPr>
        <w:pStyle w:val="ListParagraph"/>
        <w:numPr>
          <w:ilvl w:val="0"/>
          <w:numId w:val="2"/>
        </w:numPr>
        <w:rPr>
          <w:rFonts w:asciiTheme="minorHAnsi" w:hAnsiTheme="minorHAnsi"/>
        </w:rPr>
      </w:pPr>
      <w:r>
        <w:rPr>
          <w:rFonts w:asciiTheme="minorHAnsi" w:hAnsiTheme="minorHAnsi"/>
        </w:rPr>
        <w:t>#eBooksForAll campaign against Macmillan Publishers’ eBook lending embargo (with ALA)</w:t>
      </w:r>
      <w:r w:rsidR="00CA7255">
        <w:rPr>
          <w:rFonts w:asciiTheme="minorHAnsi" w:hAnsiTheme="minorHAnsi"/>
        </w:rPr>
        <w:t>;</w:t>
      </w:r>
    </w:p>
    <w:p w14:paraId="341DEE5C" w14:textId="77777777" w:rsidR="009A1CC0" w:rsidRDefault="009A1CC0" w:rsidP="009A1CC0">
      <w:pPr>
        <w:pStyle w:val="ListParagraph"/>
        <w:numPr>
          <w:ilvl w:val="0"/>
          <w:numId w:val="2"/>
        </w:numPr>
        <w:rPr>
          <w:rFonts w:asciiTheme="minorHAnsi" w:hAnsiTheme="minorHAnsi"/>
        </w:rPr>
      </w:pPr>
      <w:r>
        <w:rPr>
          <w:rFonts w:asciiTheme="minorHAnsi" w:hAnsiTheme="minorHAnsi"/>
        </w:rPr>
        <w:t>2020 PLA Awards &amp; Grants;</w:t>
      </w:r>
      <w:r w:rsidRPr="001236EA">
        <w:rPr>
          <w:rFonts w:asciiTheme="minorHAnsi" w:hAnsiTheme="minorHAnsi"/>
        </w:rPr>
        <w:t xml:space="preserve"> </w:t>
      </w:r>
    </w:p>
    <w:p w14:paraId="7B4E1876" w14:textId="77777777" w:rsidR="009A1CC0" w:rsidRPr="001236EA" w:rsidRDefault="009A1CC0" w:rsidP="009A1CC0">
      <w:pPr>
        <w:pStyle w:val="ListParagraph"/>
        <w:numPr>
          <w:ilvl w:val="0"/>
          <w:numId w:val="2"/>
        </w:numPr>
        <w:rPr>
          <w:rFonts w:asciiTheme="minorHAnsi" w:hAnsiTheme="minorHAnsi"/>
        </w:rPr>
      </w:pPr>
      <w:r w:rsidRPr="001236EA">
        <w:rPr>
          <w:rFonts w:asciiTheme="minorHAnsi" w:hAnsiTheme="minorHAnsi"/>
        </w:rPr>
        <w:t xml:space="preserve">ALA reorganization and work of the Steering Committee on Organizational Effectiveness; </w:t>
      </w:r>
    </w:p>
    <w:p w14:paraId="7E0D6664" w14:textId="77777777" w:rsidR="009A1CC0" w:rsidRDefault="009A1CC0" w:rsidP="009A1CC0">
      <w:pPr>
        <w:pStyle w:val="ListParagraph"/>
        <w:numPr>
          <w:ilvl w:val="0"/>
          <w:numId w:val="2"/>
        </w:numPr>
        <w:rPr>
          <w:rFonts w:asciiTheme="minorHAnsi" w:hAnsiTheme="minorHAnsi"/>
        </w:rPr>
      </w:pPr>
      <w:r w:rsidRPr="001236EA">
        <w:rPr>
          <w:rFonts w:asciiTheme="minorHAnsi" w:hAnsiTheme="minorHAnsi"/>
        </w:rPr>
        <w:t>DigitalLead: Rural Libraries Creating New Possibilities</w:t>
      </w:r>
      <w:r>
        <w:rPr>
          <w:rFonts w:asciiTheme="minorHAnsi" w:hAnsiTheme="minorHAnsi"/>
        </w:rPr>
        <w:t xml:space="preserve"> (project-partnership with Microsoft);</w:t>
      </w:r>
    </w:p>
    <w:p w14:paraId="631E1086" w14:textId="77777777" w:rsidR="009A1CC0" w:rsidRDefault="009A1CC0" w:rsidP="009A1CC0">
      <w:pPr>
        <w:pStyle w:val="ListParagraph"/>
        <w:numPr>
          <w:ilvl w:val="0"/>
          <w:numId w:val="2"/>
        </w:numPr>
        <w:rPr>
          <w:rFonts w:asciiTheme="minorHAnsi" w:hAnsiTheme="minorHAnsi"/>
        </w:rPr>
      </w:pPr>
      <w:r>
        <w:rPr>
          <w:rFonts w:asciiTheme="minorHAnsi" w:hAnsiTheme="minorHAnsi"/>
        </w:rPr>
        <w:t>F</w:t>
      </w:r>
      <w:r w:rsidRPr="001236EA">
        <w:rPr>
          <w:rFonts w:asciiTheme="minorHAnsi" w:hAnsiTheme="minorHAnsi"/>
        </w:rPr>
        <w:t xml:space="preserve">inancial </w:t>
      </w:r>
      <w:r>
        <w:rPr>
          <w:rFonts w:asciiTheme="minorHAnsi" w:hAnsiTheme="minorHAnsi"/>
        </w:rPr>
        <w:t>W</w:t>
      </w:r>
      <w:r w:rsidRPr="001236EA">
        <w:rPr>
          <w:rFonts w:asciiTheme="minorHAnsi" w:hAnsiTheme="minorHAnsi"/>
        </w:rPr>
        <w:t>ell</w:t>
      </w:r>
      <w:r>
        <w:rPr>
          <w:rFonts w:asciiTheme="minorHAnsi" w:hAnsiTheme="minorHAnsi"/>
        </w:rPr>
        <w:t>b</w:t>
      </w:r>
      <w:r w:rsidRPr="001236EA">
        <w:rPr>
          <w:rFonts w:asciiTheme="minorHAnsi" w:hAnsiTheme="minorHAnsi"/>
        </w:rPr>
        <w:t xml:space="preserve">eing </w:t>
      </w:r>
      <w:r>
        <w:rPr>
          <w:rFonts w:asciiTheme="minorHAnsi" w:hAnsiTheme="minorHAnsi"/>
        </w:rPr>
        <w:t>P</w:t>
      </w:r>
      <w:r w:rsidRPr="001236EA">
        <w:rPr>
          <w:rFonts w:asciiTheme="minorHAnsi" w:hAnsiTheme="minorHAnsi"/>
        </w:rPr>
        <w:t>roject</w:t>
      </w:r>
      <w:r>
        <w:rPr>
          <w:rFonts w:asciiTheme="minorHAnsi" w:hAnsiTheme="minorHAnsi"/>
        </w:rPr>
        <w:t>-Partnership (with Capital One &amp; ALA);</w:t>
      </w:r>
    </w:p>
    <w:p w14:paraId="136CCACF" w14:textId="77777777" w:rsidR="009A1CC0" w:rsidRDefault="009A1CC0" w:rsidP="009A1CC0">
      <w:pPr>
        <w:pStyle w:val="ListParagraph"/>
        <w:numPr>
          <w:ilvl w:val="0"/>
          <w:numId w:val="2"/>
        </w:numPr>
        <w:rPr>
          <w:rFonts w:asciiTheme="minorHAnsi" w:hAnsiTheme="minorHAnsi"/>
        </w:rPr>
      </w:pPr>
      <w:r>
        <w:rPr>
          <w:rFonts w:asciiTheme="minorHAnsi" w:hAnsiTheme="minorHAnsi"/>
        </w:rPr>
        <w:t>Global Libraries Legacy Partnership collaborative communications (with IFLA &amp; TASCHA);</w:t>
      </w:r>
    </w:p>
    <w:p w14:paraId="4FAD30C7" w14:textId="61255912" w:rsidR="009A1CC0" w:rsidRPr="001236EA" w:rsidRDefault="009A1CC0" w:rsidP="009A1CC0">
      <w:pPr>
        <w:pStyle w:val="ListParagraph"/>
        <w:numPr>
          <w:ilvl w:val="0"/>
          <w:numId w:val="2"/>
        </w:numPr>
        <w:rPr>
          <w:rFonts w:asciiTheme="minorHAnsi" w:hAnsiTheme="minorHAnsi"/>
        </w:rPr>
      </w:pPr>
      <w:r>
        <w:rPr>
          <w:rFonts w:asciiTheme="minorHAnsi" w:hAnsiTheme="minorHAnsi"/>
        </w:rPr>
        <w:t>Inclusive Internship Initiative</w:t>
      </w:r>
      <w:r w:rsidR="00CA7255">
        <w:rPr>
          <w:rFonts w:asciiTheme="minorHAnsi" w:hAnsiTheme="minorHAnsi"/>
        </w:rPr>
        <w:t>;</w:t>
      </w:r>
    </w:p>
    <w:p w14:paraId="42352A5E" w14:textId="70D6E0C7" w:rsidR="009A1CC0" w:rsidRDefault="009A1CC0" w:rsidP="009A1CC0">
      <w:pPr>
        <w:pStyle w:val="ListParagraph"/>
        <w:numPr>
          <w:ilvl w:val="0"/>
          <w:numId w:val="2"/>
        </w:numPr>
        <w:rPr>
          <w:rFonts w:asciiTheme="minorHAnsi" w:hAnsiTheme="minorHAnsi"/>
        </w:rPr>
      </w:pPr>
      <w:r w:rsidRPr="001236EA">
        <w:rPr>
          <w:rFonts w:asciiTheme="minorHAnsi" w:hAnsiTheme="minorHAnsi"/>
        </w:rPr>
        <w:t xml:space="preserve">Libraries Connecting You to Coverage </w:t>
      </w:r>
      <w:r>
        <w:rPr>
          <w:rFonts w:asciiTheme="minorHAnsi" w:hAnsiTheme="minorHAnsi"/>
        </w:rPr>
        <w:t>health insurance enrollment initiative</w:t>
      </w:r>
      <w:r w:rsidR="00CA7255">
        <w:rPr>
          <w:rFonts w:asciiTheme="minorHAnsi" w:hAnsiTheme="minorHAnsi"/>
        </w:rPr>
        <w:t>;</w:t>
      </w:r>
    </w:p>
    <w:p w14:paraId="0CA73D74" w14:textId="2D1BD00F" w:rsidR="009A1CC0" w:rsidRPr="001236EA" w:rsidRDefault="009A1CC0" w:rsidP="009A1CC0">
      <w:pPr>
        <w:pStyle w:val="ListParagraph"/>
        <w:numPr>
          <w:ilvl w:val="0"/>
          <w:numId w:val="2"/>
        </w:numPr>
        <w:rPr>
          <w:rFonts w:asciiTheme="minorHAnsi" w:hAnsiTheme="minorHAnsi"/>
        </w:rPr>
      </w:pPr>
      <w:r w:rsidRPr="001236EA">
        <w:rPr>
          <w:rFonts w:asciiTheme="minorHAnsi" w:hAnsiTheme="minorHAnsi"/>
        </w:rPr>
        <w:t xml:space="preserve">Libraries Lead with Digital Skills </w:t>
      </w:r>
      <w:r>
        <w:rPr>
          <w:rFonts w:asciiTheme="minorHAnsi" w:hAnsiTheme="minorHAnsi"/>
        </w:rPr>
        <w:t>(project-partnership with Google &amp; ALA)</w:t>
      </w:r>
      <w:r w:rsidR="00CA7255">
        <w:rPr>
          <w:rFonts w:asciiTheme="minorHAnsi" w:hAnsiTheme="minorHAnsi"/>
        </w:rPr>
        <w:t>;</w:t>
      </w:r>
    </w:p>
    <w:p w14:paraId="06ED54CD" w14:textId="77777777" w:rsidR="009A1CC0" w:rsidRDefault="009A1CC0" w:rsidP="009A1CC0">
      <w:pPr>
        <w:pStyle w:val="ListParagraph"/>
        <w:numPr>
          <w:ilvl w:val="0"/>
          <w:numId w:val="2"/>
        </w:numPr>
        <w:rPr>
          <w:rFonts w:asciiTheme="minorHAnsi" w:hAnsiTheme="minorHAnsi"/>
        </w:rPr>
      </w:pPr>
      <w:r>
        <w:rPr>
          <w:rFonts w:asciiTheme="minorHAnsi" w:hAnsiTheme="minorHAnsi"/>
        </w:rPr>
        <w:t xml:space="preserve">Opioid Crisis Response project-partnership (with OCLC); </w:t>
      </w:r>
    </w:p>
    <w:p w14:paraId="59DADECA" w14:textId="77777777" w:rsidR="009A1CC0" w:rsidRDefault="009A1CC0" w:rsidP="009A1CC0">
      <w:pPr>
        <w:pStyle w:val="ListParagraph"/>
        <w:numPr>
          <w:ilvl w:val="0"/>
          <w:numId w:val="2"/>
        </w:numPr>
        <w:rPr>
          <w:rFonts w:asciiTheme="minorHAnsi" w:hAnsiTheme="minorHAnsi"/>
        </w:rPr>
      </w:pPr>
      <w:r w:rsidRPr="001236EA">
        <w:rPr>
          <w:rFonts w:asciiTheme="minorHAnsi" w:hAnsiTheme="minorHAnsi"/>
        </w:rPr>
        <w:lastRenderedPageBreak/>
        <w:t>PLA 2020 Conference</w:t>
      </w:r>
      <w:r>
        <w:rPr>
          <w:rFonts w:asciiTheme="minorHAnsi" w:hAnsiTheme="minorHAnsi"/>
        </w:rPr>
        <w:t>;</w:t>
      </w:r>
      <w:r w:rsidRPr="001236EA">
        <w:rPr>
          <w:rFonts w:asciiTheme="minorHAnsi" w:hAnsiTheme="minorHAnsi"/>
        </w:rPr>
        <w:t xml:space="preserve"> </w:t>
      </w:r>
    </w:p>
    <w:p w14:paraId="3CA1CC91" w14:textId="77777777" w:rsidR="009A1CC0" w:rsidRPr="001236EA" w:rsidRDefault="009A1CC0" w:rsidP="009A1CC0">
      <w:pPr>
        <w:pStyle w:val="ListParagraph"/>
        <w:numPr>
          <w:ilvl w:val="0"/>
          <w:numId w:val="2"/>
        </w:numPr>
        <w:rPr>
          <w:rFonts w:asciiTheme="minorHAnsi" w:hAnsiTheme="minorHAnsi"/>
        </w:rPr>
      </w:pPr>
      <w:r w:rsidRPr="001236EA">
        <w:rPr>
          <w:rFonts w:asciiTheme="minorHAnsi" w:hAnsiTheme="minorHAnsi"/>
        </w:rPr>
        <w:t>PLA 75</w:t>
      </w:r>
      <w:r w:rsidRPr="001236EA">
        <w:rPr>
          <w:rFonts w:asciiTheme="minorHAnsi" w:hAnsiTheme="minorHAnsi"/>
          <w:vertAlign w:val="superscript"/>
        </w:rPr>
        <w:t>th</w:t>
      </w:r>
      <w:r w:rsidRPr="001236EA">
        <w:rPr>
          <w:rFonts w:asciiTheme="minorHAnsi" w:hAnsiTheme="minorHAnsi"/>
        </w:rPr>
        <w:t xml:space="preserve"> Anniversary; </w:t>
      </w:r>
    </w:p>
    <w:p w14:paraId="2631A0B5" w14:textId="633AD86C" w:rsidR="009A1CC0" w:rsidRPr="001236EA" w:rsidRDefault="009A1CC0" w:rsidP="009A1CC0">
      <w:pPr>
        <w:pStyle w:val="ListParagraph"/>
        <w:numPr>
          <w:ilvl w:val="0"/>
          <w:numId w:val="2"/>
        </w:numPr>
        <w:rPr>
          <w:rFonts w:asciiTheme="minorHAnsi" w:hAnsiTheme="minorHAnsi"/>
        </w:rPr>
      </w:pPr>
      <w:r w:rsidRPr="001236EA">
        <w:rPr>
          <w:rFonts w:asciiTheme="minorHAnsi" w:hAnsiTheme="minorHAnsi"/>
        </w:rPr>
        <w:t xml:space="preserve">PLA </w:t>
      </w:r>
      <w:r>
        <w:rPr>
          <w:rFonts w:asciiTheme="minorHAnsi" w:hAnsiTheme="minorHAnsi"/>
        </w:rPr>
        <w:t>Programming</w:t>
      </w:r>
      <w:r w:rsidRPr="001236EA">
        <w:rPr>
          <w:rFonts w:asciiTheme="minorHAnsi" w:hAnsiTheme="minorHAnsi"/>
        </w:rPr>
        <w:t xml:space="preserve"> at the ALA Annual Conference; </w:t>
      </w:r>
      <w:r w:rsidR="00CA7255">
        <w:rPr>
          <w:rFonts w:asciiTheme="minorHAnsi" w:hAnsiTheme="minorHAnsi"/>
        </w:rPr>
        <w:t xml:space="preserve">and </w:t>
      </w:r>
    </w:p>
    <w:p w14:paraId="58EF04E9" w14:textId="77777777" w:rsidR="009A1CC0" w:rsidRPr="001236EA" w:rsidRDefault="009A1CC0" w:rsidP="009A1CC0">
      <w:pPr>
        <w:pStyle w:val="ListParagraph"/>
        <w:numPr>
          <w:ilvl w:val="0"/>
          <w:numId w:val="2"/>
        </w:numPr>
        <w:rPr>
          <w:rFonts w:asciiTheme="minorHAnsi" w:hAnsiTheme="minorHAnsi"/>
        </w:rPr>
      </w:pPr>
      <w:r>
        <w:rPr>
          <w:rFonts w:asciiTheme="minorHAnsi" w:hAnsiTheme="minorHAnsi"/>
        </w:rPr>
        <w:t>Re-envisioning of Public Library Data Service survey;</w:t>
      </w:r>
    </w:p>
    <w:p w14:paraId="649C5195" w14:textId="77777777" w:rsidR="009A1CC0" w:rsidRDefault="009A1CC0" w:rsidP="009A1CC0">
      <w:pPr>
        <w:rPr>
          <w:rFonts w:asciiTheme="minorHAnsi" w:hAnsiTheme="minorHAnsi"/>
        </w:rPr>
      </w:pPr>
    </w:p>
    <w:p w14:paraId="5BF2B365" w14:textId="77777777" w:rsidR="009A1CC0" w:rsidRDefault="009A1CC0" w:rsidP="009A1CC0">
      <w:pPr>
        <w:rPr>
          <w:rFonts w:asciiTheme="minorHAnsi" w:hAnsiTheme="minorHAnsi"/>
        </w:rPr>
      </w:pPr>
      <w:r>
        <w:rPr>
          <w:rFonts w:asciiTheme="minorHAnsi" w:hAnsiTheme="minorHAnsi"/>
        </w:rPr>
        <w:t xml:space="preserve">For the #eBooksForAll campaign, PLA is actively supporting ALA’s Communications &amp; Marketing Office and Public Policy &amp; Advocacy Office in a variety of ways, including by drafting press releases; creating content for ALA’s social media channels; maintaining and updating an </w:t>
      </w:r>
      <w:hyperlink r:id="rId7" w:history="1">
        <w:r w:rsidRPr="00725115">
          <w:rPr>
            <w:rStyle w:val="Hyperlink"/>
            <w:rFonts w:asciiTheme="minorHAnsi" w:hAnsiTheme="minorHAnsi"/>
          </w:rPr>
          <w:t>eBook lending &amp; pricing</w:t>
        </w:r>
      </w:hyperlink>
      <w:r>
        <w:rPr>
          <w:rFonts w:asciiTheme="minorHAnsi" w:hAnsiTheme="minorHAnsi"/>
        </w:rPr>
        <w:t xml:space="preserve"> web page on the PLA site; sharing messages with PLA members on social media, via direct email and in </w:t>
      </w:r>
      <w:r w:rsidRPr="00725115">
        <w:rPr>
          <w:rFonts w:asciiTheme="minorHAnsi" w:hAnsiTheme="minorHAnsi"/>
          <w:i/>
          <w:iCs/>
        </w:rPr>
        <w:t>PLA e-News.</w:t>
      </w:r>
      <w:r>
        <w:rPr>
          <w:rFonts w:asciiTheme="minorHAnsi" w:hAnsiTheme="minorHAnsi"/>
        </w:rPr>
        <w:t xml:space="preserve"> </w:t>
      </w:r>
    </w:p>
    <w:p w14:paraId="08D9039C" w14:textId="77777777" w:rsidR="009A1CC0" w:rsidRDefault="009A1CC0" w:rsidP="009A1CC0">
      <w:pPr>
        <w:rPr>
          <w:rFonts w:asciiTheme="minorHAnsi" w:hAnsiTheme="minorHAnsi"/>
        </w:rPr>
      </w:pPr>
    </w:p>
    <w:p w14:paraId="086C29F4" w14:textId="77777777" w:rsidR="009A1CC0" w:rsidRDefault="009A1CC0" w:rsidP="009A1CC0">
      <w:pPr>
        <w:rPr>
          <w:rFonts w:asciiTheme="minorHAnsi" w:hAnsiTheme="minorHAnsi"/>
        </w:rPr>
      </w:pPr>
      <w:r w:rsidRPr="0025118A">
        <w:rPr>
          <w:rFonts w:asciiTheme="minorHAnsi" w:hAnsiTheme="minorHAnsi"/>
        </w:rPr>
        <w:t xml:space="preserve">From ALA’s </w:t>
      </w:r>
      <w:r>
        <w:rPr>
          <w:rFonts w:asciiTheme="minorHAnsi" w:hAnsiTheme="minorHAnsi"/>
        </w:rPr>
        <w:t>Public Policy &amp;</w:t>
      </w:r>
      <w:r w:rsidRPr="0025118A">
        <w:rPr>
          <w:rFonts w:asciiTheme="minorHAnsi" w:hAnsiTheme="minorHAnsi"/>
        </w:rPr>
        <w:t xml:space="preserve"> Advocacy</w:t>
      </w:r>
      <w:r>
        <w:rPr>
          <w:rFonts w:asciiTheme="minorHAnsi" w:hAnsiTheme="minorHAnsi"/>
        </w:rPr>
        <w:t xml:space="preserve"> Unit and </w:t>
      </w:r>
      <w:r w:rsidRPr="0025118A">
        <w:rPr>
          <w:rFonts w:asciiTheme="minorHAnsi" w:hAnsiTheme="minorHAnsi"/>
        </w:rPr>
        <w:t xml:space="preserve">Communications &amp; Marketing Office respectively, PLA has received </w:t>
      </w:r>
      <w:r>
        <w:rPr>
          <w:rFonts w:asciiTheme="minorHAnsi" w:hAnsiTheme="minorHAnsi"/>
        </w:rPr>
        <w:t xml:space="preserve">one </w:t>
      </w:r>
      <w:r w:rsidRPr="0025118A">
        <w:rPr>
          <w:rFonts w:asciiTheme="minorHAnsi" w:hAnsiTheme="minorHAnsi"/>
        </w:rPr>
        <w:t xml:space="preserve">request to sign </w:t>
      </w:r>
      <w:r>
        <w:rPr>
          <w:rFonts w:asciiTheme="minorHAnsi" w:hAnsiTheme="minorHAnsi"/>
        </w:rPr>
        <w:t xml:space="preserve">a </w:t>
      </w:r>
      <w:r w:rsidRPr="0025118A">
        <w:rPr>
          <w:rFonts w:asciiTheme="minorHAnsi" w:hAnsiTheme="minorHAnsi"/>
        </w:rPr>
        <w:t>local library advocacy letter</w:t>
      </w:r>
      <w:r>
        <w:rPr>
          <w:rFonts w:asciiTheme="minorHAnsi" w:hAnsiTheme="minorHAnsi"/>
        </w:rPr>
        <w:t xml:space="preserve"> (to Kansas Governor Laura Kelly) and </w:t>
      </w:r>
      <w:r w:rsidRPr="0025118A">
        <w:rPr>
          <w:rFonts w:asciiTheme="minorHAnsi" w:hAnsiTheme="minorHAnsi"/>
        </w:rPr>
        <w:t>interview requests</w:t>
      </w:r>
      <w:r>
        <w:rPr>
          <w:rFonts w:asciiTheme="minorHAnsi" w:hAnsiTheme="minorHAnsi"/>
        </w:rPr>
        <w:t xml:space="preserve"> from the following ten media outlets:</w:t>
      </w:r>
    </w:p>
    <w:p w14:paraId="3892248C" w14:textId="77777777" w:rsidR="009A1CC0" w:rsidRDefault="009A1CC0" w:rsidP="009A1CC0">
      <w:pPr>
        <w:rPr>
          <w:rFonts w:asciiTheme="minorHAnsi" w:hAnsiTheme="minorHAnsi"/>
        </w:rPr>
      </w:pPr>
    </w:p>
    <w:p w14:paraId="5990DD75" w14:textId="77777777" w:rsidR="009A1CC0" w:rsidRDefault="009A1CC0" w:rsidP="009A1CC0">
      <w:pPr>
        <w:pStyle w:val="ListParagraph"/>
        <w:numPr>
          <w:ilvl w:val="0"/>
          <w:numId w:val="1"/>
        </w:numPr>
        <w:rPr>
          <w:rFonts w:asciiTheme="minorHAnsi" w:hAnsiTheme="minorHAnsi"/>
        </w:rPr>
      </w:pPr>
      <w:r w:rsidRPr="00CB2644">
        <w:rPr>
          <w:rFonts w:asciiTheme="minorHAnsi" w:hAnsiTheme="minorHAnsi"/>
          <w:i/>
          <w:iCs/>
        </w:rPr>
        <w:t>AARP</w:t>
      </w:r>
      <w:r>
        <w:rPr>
          <w:rFonts w:asciiTheme="minorHAnsi" w:hAnsiTheme="minorHAnsi"/>
        </w:rPr>
        <w:t>,</w:t>
      </w:r>
      <w:r w:rsidRPr="00CB2644">
        <w:rPr>
          <w:rFonts w:asciiTheme="minorHAnsi" w:hAnsiTheme="minorHAnsi"/>
        </w:rPr>
        <w:t xml:space="preserve"> the American Association of Retired People </w:t>
      </w:r>
      <w:r>
        <w:rPr>
          <w:rFonts w:asciiTheme="minorHAnsi" w:hAnsiTheme="minorHAnsi"/>
        </w:rPr>
        <w:t>m</w:t>
      </w:r>
      <w:r w:rsidRPr="00CB2644">
        <w:rPr>
          <w:rFonts w:asciiTheme="minorHAnsi" w:hAnsiTheme="minorHAnsi"/>
        </w:rPr>
        <w:t>agazine</w:t>
      </w:r>
    </w:p>
    <w:p w14:paraId="258CC01A" w14:textId="77777777" w:rsidR="009A1CC0" w:rsidRPr="00A260CE" w:rsidRDefault="009A1CC0" w:rsidP="009A1CC0">
      <w:pPr>
        <w:pStyle w:val="ListParagraph"/>
        <w:numPr>
          <w:ilvl w:val="0"/>
          <w:numId w:val="1"/>
        </w:numPr>
        <w:rPr>
          <w:rFonts w:asciiTheme="minorHAnsi" w:hAnsiTheme="minorHAnsi"/>
          <w:i/>
          <w:iCs/>
        </w:rPr>
      </w:pPr>
      <w:r w:rsidRPr="00A260CE">
        <w:rPr>
          <w:rFonts w:asciiTheme="minorHAnsi" w:hAnsiTheme="minorHAnsi"/>
          <w:i/>
          <w:iCs/>
        </w:rPr>
        <w:t>Denton Record-Chronicle</w:t>
      </w:r>
      <w:r>
        <w:rPr>
          <w:rFonts w:asciiTheme="minorHAnsi" w:hAnsiTheme="minorHAnsi"/>
        </w:rPr>
        <w:t xml:space="preserve"> (Denton County, Texas)</w:t>
      </w:r>
    </w:p>
    <w:p w14:paraId="23B25CD2" w14:textId="77777777" w:rsidR="009A1CC0" w:rsidRDefault="009A1CC0" w:rsidP="009A1CC0">
      <w:pPr>
        <w:pStyle w:val="ListParagraph"/>
        <w:numPr>
          <w:ilvl w:val="0"/>
          <w:numId w:val="1"/>
        </w:numPr>
        <w:rPr>
          <w:rFonts w:asciiTheme="minorHAnsi" w:hAnsiTheme="minorHAnsi"/>
        </w:rPr>
      </w:pPr>
      <w:r w:rsidRPr="00A260CE">
        <w:rPr>
          <w:rFonts w:asciiTheme="minorHAnsi" w:hAnsiTheme="minorHAnsi"/>
          <w:i/>
          <w:iCs/>
        </w:rPr>
        <w:t>KCUR</w:t>
      </w:r>
      <w:r w:rsidRPr="00A260CE">
        <w:rPr>
          <w:rFonts w:asciiTheme="minorHAnsi" w:hAnsiTheme="minorHAnsi"/>
        </w:rPr>
        <w:t>, NPR affiliate</w:t>
      </w:r>
      <w:r>
        <w:rPr>
          <w:rFonts w:asciiTheme="minorHAnsi" w:hAnsiTheme="minorHAnsi"/>
        </w:rPr>
        <w:t xml:space="preserve"> station in</w:t>
      </w:r>
      <w:r w:rsidRPr="00A260CE">
        <w:rPr>
          <w:rFonts w:asciiTheme="minorHAnsi" w:hAnsiTheme="minorHAnsi"/>
        </w:rPr>
        <w:t xml:space="preserve"> Kansas City </w:t>
      </w:r>
    </w:p>
    <w:p w14:paraId="0C9FA0AF" w14:textId="77777777" w:rsidR="009A1CC0" w:rsidRPr="00A260CE" w:rsidRDefault="009A1CC0" w:rsidP="009A1CC0">
      <w:pPr>
        <w:pStyle w:val="ListParagraph"/>
        <w:numPr>
          <w:ilvl w:val="0"/>
          <w:numId w:val="1"/>
        </w:numPr>
        <w:rPr>
          <w:rFonts w:asciiTheme="minorHAnsi" w:hAnsiTheme="minorHAnsi"/>
          <w:i/>
          <w:iCs/>
        </w:rPr>
      </w:pPr>
      <w:r w:rsidRPr="00A260CE">
        <w:rPr>
          <w:rFonts w:asciiTheme="minorHAnsi" w:hAnsiTheme="minorHAnsi"/>
          <w:i/>
          <w:iCs/>
        </w:rPr>
        <w:t xml:space="preserve">La Salle News Tribune </w:t>
      </w:r>
      <w:r w:rsidRPr="00A260CE">
        <w:rPr>
          <w:rFonts w:asciiTheme="minorHAnsi" w:hAnsiTheme="minorHAnsi"/>
        </w:rPr>
        <w:t>(La Salle, Illinois)</w:t>
      </w:r>
    </w:p>
    <w:p w14:paraId="62E41C7C" w14:textId="77777777" w:rsidR="009A1CC0" w:rsidRDefault="009A1CC0" w:rsidP="009A1CC0">
      <w:pPr>
        <w:pStyle w:val="ListParagraph"/>
        <w:numPr>
          <w:ilvl w:val="0"/>
          <w:numId w:val="1"/>
        </w:numPr>
        <w:rPr>
          <w:rFonts w:asciiTheme="minorHAnsi" w:hAnsiTheme="minorHAnsi"/>
        </w:rPr>
      </w:pPr>
      <w:r w:rsidRPr="00A260CE">
        <w:rPr>
          <w:rFonts w:asciiTheme="minorHAnsi" w:hAnsiTheme="minorHAnsi"/>
        </w:rPr>
        <w:t xml:space="preserve">New York City </w:t>
      </w:r>
      <w:r>
        <w:rPr>
          <w:rFonts w:asciiTheme="minorHAnsi" w:hAnsiTheme="minorHAnsi"/>
        </w:rPr>
        <w:t>B</w:t>
      </w:r>
      <w:r w:rsidRPr="00A260CE">
        <w:rPr>
          <w:rFonts w:asciiTheme="minorHAnsi" w:hAnsiTheme="minorHAnsi"/>
        </w:rPr>
        <w:t>ureau</w:t>
      </w:r>
      <w:r>
        <w:rPr>
          <w:rFonts w:asciiTheme="minorHAnsi" w:hAnsiTheme="minorHAnsi"/>
        </w:rPr>
        <w:t xml:space="preserve"> of the</w:t>
      </w:r>
      <w:r w:rsidRPr="00A260CE">
        <w:rPr>
          <w:rFonts w:asciiTheme="minorHAnsi" w:hAnsiTheme="minorHAnsi"/>
        </w:rPr>
        <w:t xml:space="preserve"> Associated Press</w:t>
      </w:r>
    </w:p>
    <w:p w14:paraId="6425A2C0" w14:textId="77777777" w:rsidR="009A1CC0" w:rsidRDefault="009A1CC0" w:rsidP="009A1CC0">
      <w:pPr>
        <w:pStyle w:val="ListParagraph"/>
        <w:numPr>
          <w:ilvl w:val="0"/>
          <w:numId w:val="1"/>
        </w:numPr>
        <w:rPr>
          <w:rFonts w:asciiTheme="minorHAnsi" w:hAnsiTheme="minorHAnsi"/>
        </w:rPr>
      </w:pPr>
      <w:r w:rsidRPr="00CB2644">
        <w:rPr>
          <w:rFonts w:asciiTheme="minorHAnsi" w:hAnsiTheme="minorHAnsi"/>
          <w:i/>
          <w:iCs/>
        </w:rPr>
        <w:t>Next Avenue</w:t>
      </w:r>
      <w:r>
        <w:rPr>
          <w:rFonts w:asciiTheme="minorHAnsi" w:hAnsiTheme="minorHAnsi"/>
        </w:rPr>
        <w:t>,</w:t>
      </w:r>
      <w:r w:rsidRPr="00CB2644">
        <w:rPr>
          <w:rFonts w:asciiTheme="minorHAnsi" w:hAnsiTheme="minorHAnsi"/>
        </w:rPr>
        <w:t xml:space="preserve"> a PBS-affiliated national online magazine</w:t>
      </w:r>
    </w:p>
    <w:p w14:paraId="12E19A8F" w14:textId="77777777" w:rsidR="009A1CC0" w:rsidRDefault="009A1CC0" w:rsidP="009A1CC0">
      <w:pPr>
        <w:pStyle w:val="ListParagraph"/>
        <w:numPr>
          <w:ilvl w:val="0"/>
          <w:numId w:val="1"/>
        </w:numPr>
        <w:rPr>
          <w:rFonts w:asciiTheme="minorHAnsi" w:hAnsiTheme="minorHAnsi"/>
        </w:rPr>
      </w:pPr>
      <w:r w:rsidRPr="00CB2644">
        <w:rPr>
          <w:rFonts w:asciiTheme="minorHAnsi" w:hAnsiTheme="minorHAnsi"/>
          <w:i/>
          <w:iCs/>
        </w:rPr>
        <w:t>Stateline</w:t>
      </w:r>
      <w:r>
        <w:rPr>
          <w:rFonts w:asciiTheme="minorHAnsi" w:hAnsiTheme="minorHAnsi"/>
        </w:rPr>
        <w:t>, a Pew Charitable Trust publication</w:t>
      </w:r>
    </w:p>
    <w:p w14:paraId="73F32E9F" w14:textId="77777777" w:rsidR="009A1CC0" w:rsidRDefault="009A1CC0" w:rsidP="009A1CC0">
      <w:pPr>
        <w:pStyle w:val="ListParagraph"/>
        <w:numPr>
          <w:ilvl w:val="0"/>
          <w:numId w:val="1"/>
        </w:numPr>
        <w:rPr>
          <w:rFonts w:asciiTheme="minorHAnsi" w:hAnsiTheme="minorHAnsi"/>
        </w:rPr>
      </w:pPr>
      <w:r w:rsidRPr="00CB2644">
        <w:rPr>
          <w:rFonts w:asciiTheme="minorHAnsi" w:hAnsiTheme="minorHAnsi"/>
        </w:rPr>
        <w:t xml:space="preserve">The Food Network </w:t>
      </w:r>
      <w:r>
        <w:rPr>
          <w:rFonts w:asciiTheme="minorHAnsi" w:hAnsiTheme="minorHAnsi"/>
        </w:rPr>
        <w:t>m</w:t>
      </w:r>
      <w:r w:rsidRPr="00CB2644">
        <w:rPr>
          <w:rFonts w:asciiTheme="minorHAnsi" w:hAnsiTheme="minorHAnsi"/>
        </w:rPr>
        <w:t>agazine</w:t>
      </w:r>
    </w:p>
    <w:p w14:paraId="53507F53" w14:textId="77777777" w:rsidR="009A1CC0" w:rsidRPr="00A260CE" w:rsidRDefault="009A1CC0" w:rsidP="009A1CC0">
      <w:pPr>
        <w:pStyle w:val="ListParagraph"/>
        <w:numPr>
          <w:ilvl w:val="0"/>
          <w:numId w:val="1"/>
        </w:numPr>
        <w:rPr>
          <w:rFonts w:asciiTheme="minorHAnsi" w:hAnsiTheme="minorHAnsi"/>
          <w:i/>
          <w:iCs/>
        </w:rPr>
      </w:pPr>
      <w:r w:rsidRPr="00A260CE">
        <w:rPr>
          <w:rFonts w:asciiTheme="minorHAnsi" w:hAnsiTheme="minorHAnsi"/>
          <w:i/>
          <w:iCs/>
        </w:rPr>
        <w:t>The Wall Street Journal</w:t>
      </w:r>
    </w:p>
    <w:p w14:paraId="52316CD7" w14:textId="77777777" w:rsidR="009A1CC0" w:rsidRPr="00CB2644" w:rsidRDefault="009A1CC0" w:rsidP="009A1CC0">
      <w:pPr>
        <w:pStyle w:val="ListParagraph"/>
        <w:numPr>
          <w:ilvl w:val="0"/>
          <w:numId w:val="1"/>
        </w:numPr>
        <w:rPr>
          <w:rFonts w:asciiTheme="minorHAnsi" w:hAnsiTheme="minorHAnsi"/>
        </w:rPr>
      </w:pPr>
      <w:r w:rsidRPr="00CB2644">
        <w:rPr>
          <w:rFonts w:asciiTheme="minorHAnsi" w:hAnsiTheme="minorHAnsi"/>
        </w:rPr>
        <w:t>Xinhua</w:t>
      </w:r>
      <w:r>
        <w:rPr>
          <w:rFonts w:asciiTheme="minorHAnsi" w:hAnsiTheme="minorHAnsi"/>
        </w:rPr>
        <w:t>, a Chinese</w:t>
      </w:r>
      <w:r w:rsidRPr="00CB2644">
        <w:rPr>
          <w:rFonts w:asciiTheme="minorHAnsi" w:hAnsiTheme="minorHAnsi"/>
        </w:rPr>
        <w:t xml:space="preserve"> </w:t>
      </w:r>
      <w:r>
        <w:rPr>
          <w:rFonts w:asciiTheme="minorHAnsi" w:hAnsiTheme="minorHAnsi"/>
        </w:rPr>
        <w:t>n</w:t>
      </w:r>
      <w:r w:rsidRPr="00CB2644">
        <w:rPr>
          <w:rFonts w:asciiTheme="minorHAnsi" w:hAnsiTheme="minorHAnsi"/>
        </w:rPr>
        <w:t xml:space="preserve">ews </w:t>
      </w:r>
      <w:r>
        <w:rPr>
          <w:rFonts w:asciiTheme="minorHAnsi" w:hAnsiTheme="minorHAnsi"/>
        </w:rPr>
        <w:t>a</w:t>
      </w:r>
      <w:r w:rsidRPr="00CB2644">
        <w:rPr>
          <w:rFonts w:asciiTheme="minorHAnsi" w:hAnsiTheme="minorHAnsi"/>
        </w:rPr>
        <w:t>gency</w:t>
      </w:r>
    </w:p>
    <w:p w14:paraId="4D295E34" w14:textId="77777777" w:rsidR="009A1CC0" w:rsidRDefault="009A1CC0" w:rsidP="009A1CC0">
      <w:pPr>
        <w:rPr>
          <w:rFonts w:asciiTheme="minorHAnsi" w:hAnsiTheme="minorHAnsi"/>
        </w:rPr>
      </w:pPr>
    </w:p>
    <w:p w14:paraId="470FD286" w14:textId="77777777" w:rsidR="009A1CC0" w:rsidRDefault="009A1CC0" w:rsidP="009A1CC0">
      <w:pPr>
        <w:rPr>
          <w:rFonts w:asciiTheme="minorHAnsi" w:hAnsiTheme="minorHAnsi"/>
        </w:rPr>
      </w:pPr>
      <w:r w:rsidRPr="0025118A">
        <w:rPr>
          <w:rFonts w:asciiTheme="minorHAnsi" w:hAnsiTheme="minorHAnsi"/>
        </w:rPr>
        <w:t xml:space="preserve">All </w:t>
      </w:r>
      <w:r>
        <w:rPr>
          <w:rFonts w:asciiTheme="minorHAnsi" w:hAnsiTheme="minorHAnsi"/>
        </w:rPr>
        <w:t>nine</w:t>
      </w:r>
      <w:r w:rsidRPr="0025118A">
        <w:rPr>
          <w:rFonts w:asciiTheme="minorHAnsi" w:hAnsiTheme="minorHAnsi"/>
        </w:rPr>
        <w:t xml:space="preserve"> media interviews were graciously accepted by </w:t>
      </w:r>
      <w:r>
        <w:rPr>
          <w:rFonts w:asciiTheme="minorHAnsi" w:hAnsiTheme="minorHAnsi"/>
        </w:rPr>
        <w:t xml:space="preserve">the </w:t>
      </w:r>
      <w:r w:rsidRPr="0025118A">
        <w:rPr>
          <w:rFonts w:asciiTheme="minorHAnsi" w:hAnsiTheme="minorHAnsi"/>
        </w:rPr>
        <w:t>PLA president</w:t>
      </w:r>
      <w:r>
        <w:rPr>
          <w:rFonts w:asciiTheme="minorHAnsi" w:hAnsiTheme="minorHAnsi"/>
        </w:rPr>
        <w:t xml:space="preserve"> or a designated board member</w:t>
      </w:r>
      <w:r w:rsidRPr="0025118A">
        <w:rPr>
          <w:rFonts w:asciiTheme="minorHAnsi" w:hAnsiTheme="minorHAnsi"/>
        </w:rPr>
        <w:t>.</w:t>
      </w:r>
    </w:p>
    <w:p w14:paraId="450C2C28" w14:textId="77777777" w:rsidR="009A1CC0" w:rsidRDefault="009A1CC0" w:rsidP="009A1CC0"/>
    <w:p w14:paraId="7B84BD67" w14:textId="77777777" w:rsidR="009A1CC0" w:rsidRDefault="009A1CC0"/>
    <w:sectPr w:rsidR="009A1C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0C93" w14:textId="77777777" w:rsidR="00C53364" w:rsidRDefault="00C53364" w:rsidP="009A1CC0">
      <w:r>
        <w:separator/>
      </w:r>
    </w:p>
  </w:endnote>
  <w:endnote w:type="continuationSeparator" w:id="0">
    <w:p w14:paraId="5DEFA8B0" w14:textId="77777777" w:rsidR="00C53364" w:rsidRDefault="00C53364" w:rsidP="009A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3DEE" w14:textId="77777777" w:rsidR="00C53364" w:rsidRDefault="00C53364" w:rsidP="009A1CC0">
      <w:r>
        <w:separator/>
      </w:r>
    </w:p>
  </w:footnote>
  <w:footnote w:type="continuationSeparator" w:id="0">
    <w:p w14:paraId="3D6D1AB9" w14:textId="77777777" w:rsidR="00C53364" w:rsidRDefault="00C53364" w:rsidP="009A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5380" w14:textId="77777777" w:rsidR="009A1CC0" w:rsidRDefault="009A1CC0" w:rsidP="009A1CC0">
    <w:pPr>
      <w:pStyle w:val="Header"/>
      <w:jc w:val="right"/>
      <w:rPr>
        <w:rFonts w:asciiTheme="minorHAnsi" w:hAnsiTheme="minorHAnsi"/>
      </w:rPr>
    </w:pPr>
    <w:r>
      <w:rPr>
        <w:rFonts w:asciiTheme="minorHAnsi" w:hAnsiTheme="minorHAnsi"/>
      </w:rPr>
      <w:t>PLA Board of Directors</w:t>
    </w:r>
  </w:p>
  <w:p w14:paraId="1ACF103F" w14:textId="477CFE00" w:rsidR="009A1CC0" w:rsidRDefault="009A1CC0" w:rsidP="009A1CC0">
    <w:pPr>
      <w:pStyle w:val="Header"/>
      <w:jc w:val="right"/>
      <w:rPr>
        <w:rFonts w:asciiTheme="minorHAnsi" w:hAnsiTheme="minorHAnsi"/>
      </w:rPr>
    </w:pPr>
    <w:r>
      <w:rPr>
        <w:rFonts w:asciiTheme="minorHAnsi" w:hAnsiTheme="minorHAnsi"/>
      </w:rPr>
      <w:t xml:space="preserve">Fall </w:t>
    </w:r>
    <w:r w:rsidR="00BC44AD">
      <w:rPr>
        <w:rFonts w:asciiTheme="minorHAnsi" w:hAnsiTheme="minorHAnsi"/>
      </w:rPr>
      <w:t>2019</w:t>
    </w:r>
    <w:r>
      <w:rPr>
        <w:rFonts w:asciiTheme="minorHAnsi" w:hAnsiTheme="minorHAnsi"/>
      </w:rPr>
      <w:t xml:space="preserve"> Meeting</w:t>
    </w:r>
  </w:p>
  <w:p w14:paraId="14AF03F3" w14:textId="09C9A5D4" w:rsidR="009A1CC0" w:rsidRDefault="009A1CC0" w:rsidP="009A1CC0">
    <w:pPr>
      <w:pStyle w:val="Header"/>
      <w:jc w:val="right"/>
      <w:rPr>
        <w:rFonts w:asciiTheme="minorHAnsi" w:hAnsiTheme="minorHAnsi"/>
      </w:rPr>
    </w:pPr>
    <w:r>
      <w:rPr>
        <w:rFonts w:asciiTheme="minorHAnsi" w:hAnsiTheme="minorHAnsi"/>
      </w:rPr>
      <w:t>Document no.: 20</w:t>
    </w:r>
    <w:r w:rsidR="00BC44AD">
      <w:rPr>
        <w:rFonts w:asciiTheme="minorHAnsi" w:hAnsiTheme="minorHAnsi"/>
      </w:rPr>
      <w:t>20</w:t>
    </w:r>
    <w:r>
      <w:rPr>
        <w:rFonts w:asciiTheme="minorHAnsi" w:hAnsiTheme="minorHAnsi"/>
      </w:rPr>
      <w:t>.</w:t>
    </w:r>
    <w:r w:rsidR="005E65BA">
      <w:rPr>
        <w:rFonts w:asciiTheme="minorHAnsi" w:hAnsiTheme="minorHAnsi"/>
      </w:rPr>
      <w:t>11</w:t>
    </w:r>
  </w:p>
  <w:p w14:paraId="486E1E5D" w14:textId="77777777" w:rsidR="009A1CC0" w:rsidRDefault="009A1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700C8"/>
    <w:multiLevelType w:val="hybridMultilevel"/>
    <w:tmpl w:val="5BF6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C48B9"/>
    <w:multiLevelType w:val="hybridMultilevel"/>
    <w:tmpl w:val="26E20F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C0"/>
    <w:rsid w:val="00306053"/>
    <w:rsid w:val="005E65BA"/>
    <w:rsid w:val="008A61F5"/>
    <w:rsid w:val="008C7C2A"/>
    <w:rsid w:val="009A1CC0"/>
    <w:rsid w:val="00BC44AD"/>
    <w:rsid w:val="00C53364"/>
    <w:rsid w:val="00CA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5415"/>
  <w15:chartTrackingRefBased/>
  <w15:docId w15:val="{E67334B3-5612-431A-9613-6C0AE83C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9A1CC0"/>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A1CC0"/>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9A1CC0"/>
    <w:rPr>
      <w:rFonts w:ascii="Book Antiqua" w:eastAsia="Times New Roman" w:hAnsi="Book Antiqua" w:cs="Times New Roman"/>
      <w:i/>
      <w:sz w:val="24"/>
      <w:szCs w:val="20"/>
    </w:rPr>
  </w:style>
  <w:style w:type="paragraph" w:styleId="BalloonText">
    <w:name w:val="Balloon Text"/>
    <w:basedOn w:val="Normal"/>
    <w:link w:val="BalloonTextChar"/>
    <w:uiPriority w:val="99"/>
    <w:semiHidden/>
    <w:unhideWhenUsed/>
    <w:rsid w:val="009A1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C0"/>
    <w:rPr>
      <w:rFonts w:ascii="Segoe UI" w:eastAsia="Calibri" w:hAnsi="Segoe UI" w:cs="Segoe UI"/>
      <w:sz w:val="18"/>
      <w:szCs w:val="18"/>
    </w:rPr>
  </w:style>
  <w:style w:type="paragraph" w:styleId="Header">
    <w:name w:val="header"/>
    <w:basedOn w:val="Normal"/>
    <w:link w:val="HeaderChar"/>
    <w:unhideWhenUsed/>
    <w:rsid w:val="009A1CC0"/>
    <w:pPr>
      <w:tabs>
        <w:tab w:val="center" w:pos="4680"/>
        <w:tab w:val="right" w:pos="9360"/>
      </w:tabs>
    </w:pPr>
  </w:style>
  <w:style w:type="character" w:customStyle="1" w:styleId="HeaderChar">
    <w:name w:val="Header Char"/>
    <w:basedOn w:val="DefaultParagraphFont"/>
    <w:link w:val="Header"/>
    <w:rsid w:val="009A1CC0"/>
    <w:rPr>
      <w:rFonts w:ascii="Arial" w:eastAsia="Calibri" w:hAnsi="Arial" w:cs="Times New Roman"/>
    </w:rPr>
  </w:style>
  <w:style w:type="paragraph" w:styleId="Footer">
    <w:name w:val="footer"/>
    <w:basedOn w:val="Normal"/>
    <w:link w:val="FooterChar"/>
    <w:uiPriority w:val="99"/>
    <w:unhideWhenUsed/>
    <w:rsid w:val="009A1CC0"/>
    <w:pPr>
      <w:tabs>
        <w:tab w:val="center" w:pos="4680"/>
        <w:tab w:val="right" w:pos="9360"/>
      </w:tabs>
    </w:pPr>
  </w:style>
  <w:style w:type="character" w:customStyle="1" w:styleId="FooterChar">
    <w:name w:val="Footer Char"/>
    <w:basedOn w:val="DefaultParagraphFont"/>
    <w:link w:val="Footer"/>
    <w:uiPriority w:val="99"/>
    <w:rsid w:val="009A1CC0"/>
    <w:rPr>
      <w:rFonts w:ascii="Arial" w:eastAsia="Calibri" w:hAnsi="Arial" w:cs="Times New Roman"/>
    </w:rPr>
  </w:style>
  <w:style w:type="paragraph" w:styleId="ListParagraph">
    <w:name w:val="List Paragraph"/>
    <w:basedOn w:val="Normal"/>
    <w:link w:val="ListParagraphChar"/>
    <w:uiPriority w:val="99"/>
    <w:qFormat/>
    <w:rsid w:val="009A1CC0"/>
    <w:pPr>
      <w:ind w:left="720"/>
      <w:contextualSpacing/>
    </w:pPr>
  </w:style>
  <w:style w:type="character" w:styleId="Hyperlink">
    <w:name w:val="Hyperlink"/>
    <w:basedOn w:val="DefaultParagraphFont"/>
    <w:uiPriority w:val="99"/>
    <w:unhideWhenUsed/>
    <w:rsid w:val="009A1CC0"/>
    <w:rPr>
      <w:color w:val="0563C1" w:themeColor="hyperlink"/>
      <w:u w:val="single"/>
    </w:rPr>
  </w:style>
  <w:style w:type="character" w:customStyle="1" w:styleId="ListParagraphChar">
    <w:name w:val="List Paragraph Char"/>
    <w:link w:val="ListParagraph"/>
    <w:uiPriority w:val="99"/>
    <w:locked/>
    <w:rsid w:val="009A1CC0"/>
    <w:rPr>
      <w:rFonts w:ascii="Arial" w:eastAsia="Calibri" w:hAnsi="Arial" w:cs="Times New Roman"/>
    </w:rPr>
  </w:style>
  <w:style w:type="table" w:styleId="TableGrid">
    <w:name w:val="Table Grid"/>
    <w:basedOn w:val="TableNormal"/>
    <w:rsid w:val="009A1C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a.org/pla/issues/ebookl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4</cp:revision>
  <dcterms:created xsi:type="dcterms:W3CDTF">2019-10-01T13:41:00Z</dcterms:created>
  <dcterms:modified xsi:type="dcterms:W3CDTF">2019-10-11T14:04:00Z</dcterms:modified>
</cp:coreProperties>
</file>