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t xml:space="preserve">ALCTS Creative Ideas in Technical Services Interest Group, ALA Midwinter Meeting 2019</w:t>
      </w:r>
    </w:p>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b w:val="1"/>
          <w:rtl w:val="0"/>
        </w:rPr>
        <w:t xml:space="preserve">Topic</w:t>
      </w:r>
      <w:r w:rsidDel="00000000" w:rsidR="00000000" w:rsidRPr="00000000">
        <w:rPr>
          <w:rtl w:val="0"/>
        </w:rPr>
        <w:t xml:space="preserve">: Understanding and Managing the Changing Landscape of Technical Services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Facilitators</w:t>
      </w:r>
      <w:r w:rsidDel="00000000" w:rsidR="00000000" w:rsidRPr="00000000">
        <w:rPr>
          <w:rtl w:val="0"/>
        </w:rPr>
        <w:t xml:space="preserve">: Dan Tam Do (University of Vermont) and Lihong Zhu (Washington State University)</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Overview</w:t>
      </w:r>
      <w:r w:rsidDel="00000000" w:rsidR="00000000" w:rsidRPr="00000000">
        <w:rPr>
          <w:rtl w:val="0"/>
        </w:rPr>
        <w:t xml:space="preserve">:</w:t>
      </w:r>
    </w:p>
    <w:p w:rsidR="00000000" w:rsidDel="00000000" w:rsidP="00000000" w:rsidRDefault="00000000" w:rsidRPr="00000000" w14:paraId="00000007">
      <w:pPr>
        <w:ind w:firstLine="720"/>
        <w:rPr/>
      </w:pPr>
      <w:r w:rsidDel="00000000" w:rsidR="00000000" w:rsidRPr="00000000">
        <w:rPr>
          <w:rtl w:val="0"/>
        </w:rPr>
        <w:t xml:space="preserve">During this discussion, we will focus on exploring current issues and trends in technical services, including the role of the manager or supervisor in addressing change. As a group, we will identify some major drivers of change in the current landscape of technical services. For the purposes of this discussion, we are going to consider two general sources of change: the macro-environment (“the outside”) and the micro-environment (“the inside”). Of course, macro- and micro-environments can and often do influence each other.</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ind w:left="0" w:firstLine="720"/>
        <w:rPr/>
      </w:pPr>
      <w:r w:rsidDel="00000000" w:rsidR="00000000" w:rsidRPr="00000000">
        <w:rPr>
          <w:rtl w:val="0"/>
        </w:rPr>
        <w:t xml:space="preserve">It is critical to identify and understand the major drivers of change because they are likely to impact all aspects of technical services, including standards, best practices, technology, workflows, and staffing. Most of us likely are or have been managers and supervisors in technical services. As such, we are or were often responsible not only for these aspects of operations but also for maintaining awareness of the drivers of change, considering and communicating their potential impacts, and making decisions around change. We will consider this unique position and its implications for decision-making processes for implementing change, strategies we can use for making the changes we decide are necessary or important, and skills we need to develop to increase the likelihood of our success in a changing environment.</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Questions for discussion</w:t>
      </w:r>
      <w:r w:rsidDel="00000000" w:rsidR="00000000" w:rsidRPr="00000000">
        <w:rPr>
          <w:rtl w:val="0"/>
        </w:rPr>
        <w:t xml:space="preserve">:</w:t>
      </w:r>
    </w:p>
    <w:p w:rsidR="00000000" w:rsidDel="00000000" w:rsidP="00000000" w:rsidRDefault="00000000" w:rsidRPr="00000000" w14:paraId="0000000C">
      <w:pPr>
        <w:numPr>
          <w:ilvl w:val="0"/>
          <w:numId w:val="1"/>
        </w:numPr>
        <w:ind w:left="720" w:hanging="360"/>
        <w:rPr/>
      </w:pPr>
      <w:r w:rsidDel="00000000" w:rsidR="00000000" w:rsidRPr="00000000">
        <w:rPr>
          <w:rtl w:val="0"/>
        </w:rPr>
        <w:t xml:space="preserve">What are the major drivers of change in the current landscape of technical services?</w:t>
      </w:r>
    </w:p>
    <w:p w:rsidR="00000000" w:rsidDel="00000000" w:rsidP="00000000" w:rsidRDefault="00000000" w:rsidRPr="00000000" w14:paraId="0000000D">
      <w:pPr>
        <w:numPr>
          <w:ilvl w:val="0"/>
          <w:numId w:val="1"/>
        </w:numPr>
        <w:ind w:left="720" w:hanging="360"/>
        <w:rPr/>
      </w:pPr>
      <w:r w:rsidDel="00000000" w:rsidR="00000000" w:rsidRPr="00000000">
        <w:rPr>
          <w:rtl w:val="0"/>
        </w:rPr>
        <w:t xml:space="preserve">What challenges do managers and supervisors face in meeting the upcoming changes in technical services?</w:t>
      </w:r>
    </w:p>
    <w:p w:rsidR="00000000" w:rsidDel="00000000" w:rsidP="00000000" w:rsidRDefault="00000000" w:rsidRPr="00000000" w14:paraId="0000000E">
      <w:pPr>
        <w:numPr>
          <w:ilvl w:val="0"/>
          <w:numId w:val="1"/>
        </w:numPr>
        <w:ind w:left="720" w:hanging="360"/>
        <w:rPr/>
      </w:pPr>
      <w:r w:rsidDel="00000000" w:rsidR="00000000" w:rsidRPr="00000000">
        <w:rPr>
          <w:rtl w:val="0"/>
        </w:rPr>
        <w:t xml:space="preserve">How should technical services managers and supervisors go about deciding which specific changes, if any, to implement?</w:t>
      </w:r>
      <w:r w:rsidDel="00000000" w:rsidR="00000000" w:rsidRPr="00000000">
        <w:rPr>
          <w:rtl w:val="0"/>
        </w:rPr>
      </w:r>
    </w:p>
    <w:p w:rsidR="00000000" w:rsidDel="00000000" w:rsidP="00000000" w:rsidRDefault="00000000" w:rsidRPr="00000000" w14:paraId="0000000F">
      <w:pPr>
        <w:numPr>
          <w:ilvl w:val="0"/>
          <w:numId w:val="1"/>
        </w:numPr>
        <w:ind w:left="720" w:hanging="360"/>
        <w:rPr/>
      </w:pPr>
      <w:r w:rsidDel="00000000" w:rsidR="00000000" w:rsidRPr="00000000">
        <w:rPr>
          <w:rtl w:val="0"/>
        </w:rPr>
        <w:t xml:space="preserve">What can managers and supervisors do to develop their technical services department into a learning organization that is not only keeping up to date with current issues and trends, but also continuously learning new ways of doing things?</w:t>
      </w:r>
    </w:p>
    <w:p w:rsidR="00000000" w:rsidDel="00000000" w:rsidP="00000000" w:rsidRDefault="00000000" w:rsidRPr="00000000" w14:paraId="00000010">
      <w:pPr>
        <w:numPr>
          <w:ilvl w:val="0"/>
          <w:numId w:val="1"/>
        </w:numPr>
        <w:ind w:left="720" w:hanging="360"/>
        <w:rPr/>
      </w:pPr>
      <w:r w:rsidDel="00000000" w:rsidR="00000000" w:rsidRPr="00000000">
        <w:rPr>
          <w:rtl w:val="0"/>
        </w:rPr>
        <w:t xml:space="preserve">What new strategies should be implemented so that technical services become integral to learning, teaching, and research?</w:t>
      </w:r>
    </w:p>
    <w:p w:rsidR="00000000" w:rsidDel="00000000" w:rsidP="00000000" w:rsidRDefault="00000000" w:rsidRPr="00000000" w14:paraId="00000011">
      <w:pPr>
        <w:numPr>
          <w:ilvl w:val="0"/>
          <w:numId w:val="1"/>
        </w:numPr>
        <w:ind w:left="720" w:hanging="360"/>
        <w:rPr/>
      </w:pPr>
      <w:r w:rsidDel="00000000" w:rsidR="00000000" w:rsidRPr="00000000">
        <w:rPr>
          <w:rtl w:val="0"/>
        </w:rPr>
        <w:t xml:space="preserve">What new strategies should be implemented to work more efficiently with reduced local resources? </w:t>
      </w:r>
    </w:p>
    <w:p w:rsidR="00000000" w:rsidDel="00000000" w:rsidP="00000000" w:rsidRDefault="00000000" w:rsidRPr="00000000" w14:paraId="00000012">
      <w:pPr>
        <w:numPr>
          <w:ilvl w:val="0"/>
          <w:numId w:val="1"/>
        </w:numPr>
        <w:ind w:left="720" w:hanging="360"/>
        <w:rPr/>
      </w:pPr>
      <w:r w:rsidDel="00000000" w:rsidR="00000000" w:rsidRPr="00000000">
        <w:rPr>
          <w:rtl w:val="0"/>
        </w:rPr>
        <w:t xml:space="preserve">How would you redefine our technical services profession for the future? </w:t>
      </w:r>
      <w:r w:rsidDel="00000000" w:rsidR="00000000" w:rsidRPr="00000000">
        <w:rPr>
          <w:highlight w:val="white"/>
          <w:rtl w:val="0"/>
        </w:rPr>
        <w:t xml:space="preserve">What do you see as the direction(s) the field is taking?</w:t>
      </w:r>
    </w:p>
    <w:p w:rsidR="00000000" w:rsidDel="00000000" w:rsidP="00000000" w:rsidRDefault="00000000" w:rsidRPr="00000000" w14:paraId="00000013">
      <w:pPr>
        <w:numPr>
          <w:ilvl w:val="0"/>
          <w:numId w:val="1"/>
        </w:numPr>
        <w:ind w:left="720" w:hanging="360"/>
        <w:rPr/>
      </w:pPr>
      <w:r w:rsidDel="00000000" w:rsidR="00000000" w:rsidRPr="00000000">
        <w:rPr>
          <w:rtl w:val="0"/>
        </w:rPr>
        <w:t xml:space="preserve">What skills do technical services middle managers and supervisors need to have in order to help themselves and their reports thrive in a state of uncertainty?</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Recommended reading</w:t>
      </w:r>
      <w:r w:rsidDel="00000000" w:rsidR="00000000" w:rsidRPr="00000000">
        <w:rPr>
          <w:rtl w:val="0"/>
        </w:rPr>
        <w:t xml:space="preserve">:</w:t>
      </w:r>
    </w:p>
    <w:p w:rsidR="00000000" w:rsidDel="00000000" w:rsidP="00000000" w:rsidRDefault="00000000" w:rsidRPr="00000000" w14:paraId="00000016">
      <w:pPr>
        <w:rPr>
          <w:u w:val="single"/>
        </w:rPr>
      </w:pPr>
      <w:r w:rsidDel="00000000" w:rsidR="00000000" w:rsidRPr="00000000">
        <w:rPr>
          <w:u w:val="single"/>
          <w:rtl w:val="0"/>
        </w:rPr>
        <w:t xml:space="preserve">New directions</w:t>
      </w:r>
    </w:p>
    <w:p w:rsidR="00000000" w:rsidDel="00000000" w:rsidP="00000000" w:rsidRDefault="00000000" w:rsidRPr="00000000" w14:paraId="00000017">
      <w:pPr>
        <w:numPr>
          <w:ilvl w:val="0"/>
          <w:numId w:val="2"/>
        </w:numPr>
        <w:ind w:left="720" w:hanging="360"/>
      </w:pPr>
      <w:r w:rsidDel="00000000" w:rsidR="00000000" w:rsidRPr="00000000">
        <w:rPr>
          <w:rtl w:val="0"/>
        </w:rPr>
        <w:t xml:space="preserve">ACRL Research Planning and Review Committee. “2018 Top Trends in Academic Libraries.” A review of the trends and issues affecting academic libraries in higher education.</w:t>
      </w:r>
      <w:hyperlink r:id="rId6">
        <w:r w:rsidDel="00000000" w:rsidR="00000000" w:rsidRPr="00000000">
          <w:rPr>
            <w:rtl w:val="0"/>
          </w:rPr>
          <w:t xml:space="preserve"> </w:t>
        </w:r>
      </w:hyperlink>
      <w:hyperlink r:id="rId7">
        <w:r w:rsidDel="00000000" w:rsidR="00000000" w:rsidRPr="00000000">
          <w:rPr>
            <w:color w:val="1155cc"/>
            <w:u w:val="single"/>
            <w:rtl w:val="0"/>
          </w:rPr>
          <w:t xml:space="preserve">https://crln.acrl.org/index.php/crlnews/article/view/17001/18750</w:t>
        </w:r>
      </w:hyperlink>
      <w:r w:rsidDel="00000000" w:rsidR="00000000" w:rsidRPr="00000000">
        <w:fldChar w:fldCharType="begin"/>
        <w:instrText xml:space="preserve"> HYPERLINK "http://www.loc.gov/aba/pcc/about/PCC-Strategic-Directions-2018-2021.pdf" </w:instrText>
        <w:fldChar w:fldCharType="separate"/>
      </w:r>
      <w:r w:rsidDel="00000000" w:rsidR="00000000" w:rsidRPr="00000000">
        <w:rPr>
          <w:rtl w:val="0"/>
        </w:rPr>
      </w:r>
    </w:p>
    <w:p w:rsidR="00000000" w:rsidDel="00000000" w:rsidP="00000000" w:rsidRDefault="00000000" w:rsidRPr="00000000" w14:paraId="00000018">
      <w:pPr>
        <w:numPr>
          <w:ilvl w:val="0"/>
          <w:numId w:val="2"/>
        </w:numPr>
        <w:ind w:left="720" w:hanging="360"/>
      </w:pPr>
      <w:r w:rsidDel="00000000" w:rsidR="00000000" w:rsidRPr="00000000">
        <w:fldChar w:fldCharType="end"/>
      </w:r>
      <w:r w:rsidDel="00000000" w:rsidR="00000000" w:rsidRPr="00000000">
        <w:rPr>
          <w:rtl w:val="0"/>
        </w:rPr>
        <w:t xml:space="preserve">Gould, E.M. The future of technical services: Current trends &amp; new skills in technical services. (May 18, 2016). </w:t>
      </w:r>
      <w:hyperlink r:id="rId8">
        <w:r w:rsidDel="00000000" w:rsidR="00000000" w:rsidRPr="00000000">
          <w:rPr>
            <w:color w:val="1155cc"/>
            <w:u w:val="single"/>
            <w:rtl w:val="0"/>
          </w:rPr>
          <w:t xml:space="preserve">http://downloads.alcts.ala.org/ce/05182016_Future_Tech_Serv_Part2_Current_Trends_New_Skills_Slides.pdf</w:t>
        </w:r>
      </w:hyperlink>
      <w:r w:rsidDel="00000000" w:rsidR="00000000" w:rsidRPr="00000000">
        <w:rPr>
          <w:rtl w:val="0"/>
        </w:rPr>
        <w:t xml:space="preserve"> </w:t>
      </w:r>
    </w:p>
    <w:p w:rsidR="00000000" w:rsidDel="00000000" w:rsidP="00000000" w:rsidRDefault="00000000" w:rsidRPr="00000000" w14:paraId="00000019">
      <w:pPr>
        <w:numPr>
          <w:ilvl w:val="0"/>
          <w:numId w:val="2"/>
        </w:numPr>
        <w:ind w:left="720" w:hanging="360"/>
      </w:pPr>
      <w:r w:rsidDel="00000000" w:rsidR="00000000" w:rsidRPr="00000000">
        <w:rPr>
          <w:rtl w:val="0"/>
        </w:rPr>
        <w:t xml:space="preserve">PCC (Program for Cooperative Cataloging) Strategic Directions, January 2018-December 2021. (February 23, 2018). </w:t>
      </w:r>
      <w:hyperlink r:id="rId9">
        <w:r w:rsidDel="00000000" w:rsidR="00000000" w:rsidRPr="00000000">
          <w:rPr>
            <w:color w:val="1155cc"/>
            <w:u w:val="single"/>
            <w:rtl w:val="0"/>
          </w:rPr>
          <w:t xml:space="preserve">http://www.loc.gov/aba/pcc/about/PCC-Strategic-Directions-2018-2021.pdf</w:t>
        </w:r>
      </w:hyperlink>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u w:val="single"/>
        </w:rPr>
      </w:pPr>
      <w:r w:rsidDel="00000000" w:rsidR="00000000" w:rsidRPr="00000000">
        <w:rPr>
          <w:u w:val="single"/>
          <w:rtl w:val="0"/>
        </w:rPr>
        <w:t xml:space="preserve">Cataloging and metadata standards and practice</w:t>
      </w:r>
    </w:p>
    <w:p w:rsidR="00000000" w:rsidDel="00000000" w:rsidP="00000000" w:rsidRDefault="00000000" w:rsidRPr="00000000" w14:paraId="0000001C">
      <w:pPr>
        <w:numPr>
          <w:ilvl w:val="0"/>
          <w:numId w:val="2"/>
        </w:numPr>
        <w:ind w:left="720" w:hanging="360"/>
      </w:pPr>
      <w:r w:rsidDel="00000000" w:rsidR="00000000" w:rsidRPr="00000000">
        <w:rPr>
          <w:highlight w:val="white"/>
          <w:rtl w:val="0"/>
        </w:rPr>
        <w:t xml:space="preserve">Arlitsch, K., Obrien, P., Clark, J.A., Young, S.W.H., &amp; Rossmann, D. (2014). Demonstrating library value at network scale: Leveraging the Semantic Web with new knowledge work. </w:t>
      </w:r>
      <w:r w:rsidDel="00000000" w:rsidR="00000000" w:rsidRPr="00000000">
        <w:rPr>
          <w:i w:val="1"/>
          <w:highlight w:val="white"/>
          <w:rtl w:val="0"/>
        </w:rPr>
        <w:t xml:space="preserve">Journal of Library Administration,</w:t>
      </w:r>
      <w:r w:rsidDel="00000000" w:rsidR="00000000" w:rsidRPr="00000000">
        <w:rPr>
          <w:highlight w:val="white"/>
          <w:rtl w:val="0"/>
        </w:rPr>
        <w:t xml:space="preserve"> </w:t>
      </w:r>
      <w:r w:rsidDel="00000000" w:rsidR="00000000" w:rsidRPr="00000000">
        <w:rPr>
          <w:i w:val="1"/>
          <w:highlight w:val="white"/>
          <w:rtl w:val="0"/>
        </w:rPr>
        <w:t xml:space="preserve">54</w:t>
      </w:r>
      <w:r w:rsidDel="00000000" w:rsidR="00000000" w:rsidRPr="00000000">
        <w:rPr>
          <w:highlight w:val="white"/>
          <w:rtl w:val="0"/>
        </w:rPr>
        <w:t xml:space="preserve">(5), 413-425.</w:t>
      </w:r>
    </w:p>
    <w:p w:rsidR="00000000" w:rsidDel="00000000" w:rsidP="00000000" w:rsidRDefault="00000000" w:rsidRPr="00000000" w14:paraId="0000001D">
      <w:pPr>
        <w:numPr>
          <w:ilvl w:val="0"/>
          <w:numId w:val="2"/>
        </w:numPr>
        <w:ind w:left="720" w:hanging="360"/>
        <w:rPr>
          <w:highlight w:val="white"/>
        </w:rPr>
      </w:pPr>
      <w:r w:rsidDel="00000000" w:rsidR="00000000" w:rsidRPr="00000000">
        <w:rPr>
          <w:highlight w:val="white"/>
          <w:rtl w:val="0"/>
        </w:rPr>
        <w:t xml:space="preserve">Balster, K. (2018). BIBFRAMEing for non-BIBFRAMErs: An introduction to current and future cataloging practices. </w:t>
      </w:r>
      <w:r w:rsidDel="00000000" w:rsidR="00000000" w:rsidRPr="00000000">
        <w:rPr>
          <w:i w:val="1"/>
          <w:highlight w:val="white"/>
          <w:rtl w:val="0"/>
        </w:rPr>
        <w:t xml:space="preserve">The Serials Librarian,</w:t>
      </w:r>
      <w:r w:rsidDel="00000000" w:rsidR="00000000" w:rsidRPr="00000000">
        <w:rPr>
          <w:highlight w:val="white"/>
          <w:rtl w:val="0"/>
        </w:rPr>
        <w:t xml:space="preserve"> </w:t>
      </w:r>
      <w:r w:rsidDel="00000000" w:rsidR="00000000" w:rsidRPr="00000000">
        <w:rPr>
          <w:i w:val="1"/>
          <w:highlight w:val="white"/>
          <w:rtl w:val="0"/>
        </w:rPr>
        <w:t xml:space="preserve">74</w:t>
      </w:r>
      <w:r w:rsidDel="00000000" w:rsidR="00000000" w:rsidRPr="00000000">
        <w:rPr>
          <w:highlight w:val="white"/>
          <w:rtl w:val="0"/>
        </w:rPr>
        <w:t xml:space="preserve">(1-4), 151-155.</w:t>
      </w:r>
      <w:r w:rsidDel="00000000" w:rsidR="00000000" w:rsidRPr="00000000">
        <w:rPr>
          <w:rtl w:val="0"/>
        </w:rPr>
      </w:r>
    </w:p>
    <w:p w:rsidR="00000000" w:rsidDel="00000000" w:rsidP="00000000" w:rsidRDefault="00000000" w:rsidRPr="00000000" w14:paraId="0000001E">
      <w:pPr>
        <w:numPr>
          <w:ilvl w:val="0"/>
          <w:numId w:val="2"/>
        </w:numPr>
        <w:ind w:left="720" w:hanging="360"/>
        <w:rPr/>
      </w:pPr>
      <w:r w:rsidDel="00000000" w:rsidR="00000000" w:rsidRPr="00000000">
        <w:rPr>
          <w:rtl w:val="0"/>
        </w:rPr>
        <w:t xml:space="preserve">“A Brave New (Faceted) World: Towards Full Implementation of Library of Congress Faceted Vocabularies.” A white paper prepared by the Working Group on Full Implementation of Library of Congress Faceted Vocabularies, ALCTS/CaMMS Subject Analysis Committee, Subcommittee on Genre/Form Implementation. Submitted to SAC on June 16, 2017. Re-submitted with corrections on July 13, 2017.</w:t>
      </w:r>
      <w:hyperlink r:id="rId10">
        <w:r w:rsidDel="00000000" w:rsidR="00000000" w:rsidRPr="00000000">
          <w:rPr>
            <w:rtl w:val="0"/>
          </w:rPr>
          <w:t xml:space="preserve"> </w:t>
        </w:r>
      </w:hyperlink>
      <w:r w:rsidDel="00000000" w:rsidR="00000000" w:rsidRPr="00000000">
        <w:fldChar w:fldCharType="begin"/>
        <w:instrText xml:space="preserve"> HYPERLINK "http://www.loc.gov/aba/pcc/documents/PoCo-2017/BraveNewFacetedWorld-170713.pdf" </w:instrText>
        <w:fldChar w:fldCharType="separate"/>
      </w:r>
      <w:r w:rsidDel="00000000" w:rsidR="00000000" w:rsidRPr="00000000">
        <w:rPr>
          <w:color w:val="1155cc"/>
          <w:u w:val="single"/>
          <w:rtl w:val="0"/>
        </w:rPr>
        <w:t xml:space="preserve">http://www.loc.gov/aba/pcc/documents/PoCo-2017/BraveNewFacetedWorld-170713.pdf</w:t>
      </w:r>
    </w:p>
    <w:p w:rsidR="00000000" w:rsidDel="00000000" w:rsidP="00000000" w:rsidRDefault="00000000" w:rsidRPr="00000000" w14:paraId="0000001F">
      <w:pPr>
        <w:numPr>
          <w:ilvl w:val="0"/>
          <w:numId w:val="2"/>
        </w:numPr>
        <w:ind w:left="720" w:hanging="360"/>
      </w:pPr>
      <w:r w:rsidDel="00000000" w:rsidR="00000000" w:rsidRPr="00000000">
        <w:fldChar w:fldCharType="end"/>
      </w:r>
      <w:r w:rsidDel="00000000" w:rsidR="00000000" w:rsidRPr="00000000">
        <w:rPr>
          <w:rtl w:val="0"/>
        </w:rPr>
        <w:t xml:space="preserve">LD4P2, 2018-2020 -- "building a pathway for the cataloging community to begin shifting to linked data to describe library resources"</w:t>
      </w:r>
      <w:hyperlink r:id="rId11">
        <w:r w:rsidDel="00000000" w:rsidR="00000000" w:rsidRPr="00000000">
          <w:rPr>
            <w:rtl w:val="0"/>
          </w:rPr>
          <w:t xml:space="preserve"> </w:t>
        </w:r>
      </w:hyperlink>
      <w:hyperlink r:id="rId12">
        <w:r w:rsidDel="00000000" w:rsidR="00000000" w:rsidRPr="00000000">
          <w:rPr>
            <w:color w:val="1155cc"/>
            <w:u w:val="single"/>
            <w:rtl w:val="0"/>
          </w:rPr>
          <w:t xml:space="preserve">https://www.ld4l.org/</w:t>
        </w:r>
      </w:hyperlink>
      <w:r w:rsidDel="00000000" w:rsidR="00000000" w:rsidRPr="00000000">
        <w:rPr>
          <w:rtl w:val="0"/>
        </w:rPr>
      </w:r>
    </w:p>
    <w:p w:rsidR="00000000" w:rsidDel="00000000" w:rsidP="00000000" w:rsidRDefault="00000000" w:rsidRPr="00000000" w14:paraId="00000020">
      <w:pPr>
        <w:numPr>
          <w:ilvl w:val="0"/>
          <w:numId w:val="2"/>
        </w:numPr>
        <w:ind w:left="720" w:hanging="360"/>
      </w:pPr>
      <w:r w:rsidDel="00000000" w:rsidR="00000000" w:rsidRPr="00000000">
        <w:rPr>
          <w:rtl w:val="0"/>
        </w:rPr>
        <w:t xml:space="preserve">Library of Congress. Bibliographic Framework Initiative</w:t>
      </w:r>
      <w:hyperlink r:id="rId13">
        <w:r w:rsidDel="00000000" w:rsidR="00000000" w:rsidRPr="00000000">
          <w:rPr>
            <w:rtl w:val="0"/>
          </w:rPr>
          <w:t xml:space="preserve"> </w:t>
        </w:r>
      </w:hyperlink>
      <w:hyperlink r:id="rId14">
        <w:r w:rsidDel="00000000" w:rsidR="00000000" w:rsidRPr="00000000">
          <w:rPr>
            <w:color w:val="1155cc"/>
            <w:u w:val="single"/>
            <w:rtl w:val="0"/>
          </w:rPr>
          <w:t xml:space="preserve">https://www.loc.gov/bibframe/</w:t>
        </w:r>
      </w:hyperlink>
      <w:r w:rsidDel="00000000" w:rsidR="00000000" w:rsidRPr="00000000">
        <w:rPr>
          <w:rtl w:val="0"/>
        </w:rPr>
      </w:r>
    </w:p>
    <w:p w:rsidR="00000000" w:rsidDel="00000000" w:rsidP="00000000" w:rsidRDefault="00000000" w:rsidRPr="00000000" w14:paraId="00000021">
      <w:pPr>
        <w:numPr>
          <w:ilvl w:val="0"/>
          <w:numId w:val="2"/>
        </w:numPr>
        <w:ind w:left="720" w:hanging="360"/>
      </w:pPr>
      <w:r w:rsidDel="00000000" w:rsidR="00000000" w:rsidRPr="00000000">
        <w:rPr>
          <w:rtl w:val="0"/>
        </w:rPr>
        <w:t xml:space="preserve">OCLC Research. Linked Data. </w:t>
      </w:r>
      <w:r w:rsidDel="00000000" w:rsidR="00000000" w:rsidRPr="00000000">
        <w:fldChar w:fldCharType="begin"/>
        <w:instrText xml:space="preserve"> HYPERLINK "https://www.oclc.org/research/themes/data-science/linkeddata.html" </w:instrText>
        <w:fldChar w:fldCharType="separate"/>
      </w:r>
      <w:r w:rsidDel="00000000" w:rsidR="00000000" w:rsidRPr="00000000">
        <w:rPr>
          <w:color w:val="1155cc"/>
          <w:u w:val="single"/>
          <w:rtl w:val="0"/>
        </w:rPr>
        <w:t xml:space="preserve">https://www.oclc.org/research/themes/data-science/linkeddata.html</w:t>
      </w:r>
    </w:p>
    <w:p w:rsidR="00000000" w:rsidDel="00000000" w:rsidP="00000000" w:rsidRDefault="00000000" w:rsidRPr="00000000" w14:paraId="00000022">
      <w:pPr>
        <w:numPr>
          <w:ilvl w:val="0"/>
          <w:numId w:val="2"/>
        </w:numPr>
        <w:ind w:left="720" w:hanging="360"/>
      </w:pPr>
      <w:r w:rsidDel="00000000" w:rsidR="00000000" w:rsidRPr="00000000">
        <w:fldChar w:fldCharType="end"/>
      </w:r>
      <w:r w:rsidDel="00000000" w:rsidR="00000000" w:rsidRPr="00000000">
        <w:rPr>
          <w:sz w:val="22"/>
          <w:szCs w:val="22"/>
          <w:rtl w:val="0"/>
        </w:rPr>
        <w:t xml:space="preserve">RDA 3R Project Frequently Asked Questions.</w:t>
      </w:r>
      <w:r w:rsidDel="00000000" w:rsidR="00000000" w:rsidRPr="00000000">
        <w:rPr>
          <w:color w:val="494949"/>
          <w:sz w:val="22"/>
          <w:szCs w:val="22"/>
          <w:rtl w:val="0"/>
        </w:rPr>
        <w:t xml:space="preserve"> </w:t>
      </w:r>
      <w:hyperlink r:id="rId15">
        <w:r w:rsidDel="00000000" w:rsidR="00000000" w:rsidRPr="00000000">
          <w:rPr>
            <w:color w:val="1155cc"/>
            <w:sz w:val="22"/>
            <w:szCs w:val="22"/>
            <w:u w:val="single"/>
            <w:rtl w:val="0"/>
          </w:rPr>
          <w:t xml:space="preserve">http://www.rda-rsc.org/node/551</w:t>
        </w:r>
      </w:hyperlink>
      <w:r w:rsidDel="00000000" w:rsidR="00000000" w:rsidRPr="00000000">
        <w:rPr>
          <w:color w:val="494949"/>
          <w:sz w:val="22"/>
          <w:szCs w:val="22"/>
          <w:rtl w:val="0"/>
        </w:rPr>
        <w:t xml:space="preserve"> </w:t>
      </w:r>
      <w:r w:rsidDel="00000000" w:rsidR="00000000" w:rsidRPr="00000000">
        <w:rPr>
          <w:rtl w:val="0"/>
        </w:rPr>
      </w:r>
    </w:p>
    <w:p w:rsidR="00000000" w:rsidDel="00000000" w:rsidP="00000000" w:rsidRDefault="00000000" w:rsidRPr="00000000" w14:paraId="00000023">
      <w:pPr>
        <w:numPr>
          <w:ilvl w:val="0"/>
          <w:numId w:val="2"/>
        </w:numPr>
        <w:ind w:left="720" w:hanging="360"/>
        <w:rPr>
          <w:highlight w:val="white"/>
        </w:rPr>
      </w:pPr>
      <w:r w:rsidDel="00000000" w:rsidR="00000000" w:rsidRPr="00000000">
        <w:rPr>
          <w:highlight w:val="white"/>
          <w:rtl w:val="0"/>
        </w:rPr>
        <w:t xml:space="preserve">Smith-Yoshimura, K. (2018). Analysis of 2018 international linked data survey for implementers. </w:t>
      </w:r>
      <w:r w:rsidDel="00000000" w:rsidR="00000000" w:rsidRPr="00000000">
        <w:rPr>
          <w:i w:val="1"/>
          <w:highlight w:val="white"/>
          <w:rtl w:val="0"/>
        </w:rPr>
        <w:t xml:space="preserve">Code4Lib Journal,</w:t>
      </w:r>
      <w:r w:rsidDel="00000000" w:rsidR="00000000" w:rsidRPr="00000000">
        <w:rPr>
          <w:highlight w:val="white"/>
          <w:rtl w:val="0"/>
        </w:rPr>
        <w:t xml:space="preserve"> (42).</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u w:val="single"/>
        </w:rPr>
      </w:pPr>
      <w:r w:rsidDel="00000000" w:rsidR="00000000" w:rsidRPr="00000000">
        <w:rPr>
          <w:u w:val="single"/>
          <w:rtl w:val="0"/>
        </w:rPr>
        <w:t xml:space="preserve">Open initiatives</w:t>
      </w:r>
    </w:p>
    <w:p w:rsidR="00000000" w:rsidDel="00000000" w:rsidP="00000000" w:rsidRDefault="00000000" w:rsidRPr="00000000" w14:paraId="00000026">
      <w:pPr>
        <w:numPr>
          <w:ilvl w:val="0"/>
          <w:numId w:val="2"/>
        </w:numPr>
        <w:ind w:left="720" w:hanging="360"/>
        <w:rPr>
          <w:color w:val="3a3a3a"/>
          <w:highlight w:val="white"/>
        </w:rPr>
      </w:pPr>
      <w:r w:rsidDel="00000000" w:rsidR="00000000" w:rsidRPr="00000000">
        <w:rPr>
          <w:rtl w:val="0"/>
        </w:rPr>
        <w:t xml:space="preserve">ARL Wikidata Task Force White Paper. (2018) </w:t>
      </w:r>
      <w:hyperlink r:id="rId16">
        <w:r w:rsidDel="00000000" w:rsidR="00000000" w:rsidRPr="00000000">
          <w:rPr>
            <w:color w:val="1155cc"/>
            <w:u w:val="single"/>
            <w:rtl w:val="0"/>
          </w:rPr>
          <w:t xml:space="preserve">https://docs.google.com/document/d/1ZsOyw2sOD3a7xJQ6XCSYDGjZUPxGGl8tuvC7vvtlJRU/edit</w:t>
        </w:r>
      </w:hyperlink>
      <w:r w:rsidDel="00000000" w:rsidR="00000000" w:rsidRPr="00000000">
        <w:rPr>
          <w:rtl w:val="0"/>
        </w:rPr>
      </w:r>
    </w:p>
    <w:p w:rsidR="00000000" w:rsidDel="00000000" w:rsidP="00000000" w:rsidRDefault="00000000" w:rsidRPr="00000000" w14:paraId="00000027">
      <w:pPr>
        <w:numPr>
          <w:ilvl w:val="0"/>
          <w:numId w:val="2"/>
        </w:numPr>
        <w:ind w:left="720" w:hanging="360"/>
        <w:rPr>
          <w:color w:val="3a3a3a"/>
          <w:highlight w:val="white"/>
        </w:rPr>
      </w:pPr>
      <w:r w:rsidDel="00000000" w:rsidR="00000000" w:rsidRPr="00000000">
        <w:rPr>
          <w:rtl w:val="0"/>
        </w:rPr>
        <w:t xml:space="preserve">Metadata 2020. </w:t>
      </w:r>
      <w:hyperlink r:id="rId17">
        <w:r w:rsidDel="00000000" w:rsidR="00000000" w:rsidRPr="00000000">
          <w:rPr>
            <w:color w:val="1155cc"/>
            <w:highlight w:val="white"/>
            <w:u w:val="single"/>
            <w:rtl w:val="0"/>
          </w:rPr>
          <w:t xml:space="preserve">http://www.metadata2020.org/</w:t>
        </w:r>
      </w:hyperlink>
      <w:r w:rsidDel="00000000" w:rsidR="00000000" w:rsidRPr="00000000">
        <w:rPr>
          <w:color w:val="3a3a3a"/>
          <w:highlight w:val="white"/>
          <w:rtl w:val="0"/>
        </w:rPr>
        <w:t xml:space="preserve"> </w:t>
      </w:r>
    </w:p>
    <w:p w:rsidR="00000000" w:rsidDel="00000000" w:rsidP="00000000" w:rsidRDefault="00000000" w:rsidRPr="00000000" w14:paraId="00000028">
      <w:pPr>
        <w:numPr>
          <w:ilvl w:val="0"/>
          <w:numId w:val="2"/>
        </w:numPr>
        <w:ind w:left="720" w:hanging="360"/>
        <w:rPr>
          <w:color w:val="3a3a3a"/>
          <w:highlight w:val="white"/>
        </w:rPr>
      </w:pPr>
      <w:r w:rsidDel="00000000" w:rsidR="00000000" w:rsidRPr="00000000">
        <w:rPr>
          <w:sz w:val="22"/>
          <w:szCs w:val="22"/>
          <w:rtl w:val="0"/>
        </w:rPr>
        <w:t xml:space="preserve">ODI: Open Discovery Initiative. </w:t>
      </w:r>
      <w:hyperlink r:id="rId18">
        <w:r w:rsidDel="00000000" w:rsidR="00000000" w:rsidRPr="00000000">
          <w:rPr>
            <w:color w:val="1155cc"/>
            <w:sz w:val="22"/>
            <w:szCs w:val="22"/>
            <w:u w:val="single"/>
            <w:rtl w:val="0"/>
          </w:rPr>
          <w:t xml:space="preserve">https://www.niso.org/standards-committees/odi</w:t>
        </w:r>
      </w:hyperlink>
      <w:r w:rsidDel="00000000" w:rsidR="00000000" w:rsidRPr="00000000">
        <w:rPr>
          <w:rtl w:val="0"/>
        </w:rPr>
      </w:r>
    </w:p>
    <w:p w:rsidR="00000000" w:rsidDel="00000000" w:rsidP="00000000" w:rsidRDefault="00000000" w:rsidRPr="00000000" w14:paraId="00000029">
      <w:pPr>
        <w:numPr>
          <w:ilvl w:val="0"/>
          <w:numId w:val="2"/>
        </w:numPr>
        <w:ind w:left="720" w:hanging="360"/>
        <w:rPr>
          <w:color w:val="3a3a3a"/>
          <w:highlight w:val="white"/>
        </w:rPr>
      </w:pPr>
      <w:r w:rsidDel="00000000" w:rsidR="00000000" w:rsidRPr="00000000">
        <w:rPr>
          <w:highlight w:val="white"/>
          <w:rtl w:val="0"/>
        </w:rPr>
        <w:t xml:space="preserve">Open Access.</w:t>
      </w:r>
      <w:r w:rsidDel="00000000" w:rsidR="00000000" w:rsidRPr="00000000">
        <w:rPr>
          <w:color w:val="3a3a3a"/>
          <w:highlight w:val="white"/>
          <w:rtl w:val="0"/>
        </w:rPr>
        <w:t xml:space="preserve"> </w:t>
      </w:r>
      <w:hyperlink r:id="rId19">
        <w:r w:rsidDel="00000000" w:rsidR="00000000" w:rsidRPr="00000000">
          <w:rPr>
            <w:color w:val="1155cc"/>
            <w:highlight w:val="white"/>
            <w:u w:val="single"/>
            <w:rtl w:val="0"/>
          </w:rPr>
          <w:t xml:space="preserve">http://www.ala.org/advocacy/intfreedom/iftoolkits/litoolkit/openaccess</w:t>
        </w:r>
      </w:hyperlink>
      <w:r w:rsidDel="00000000" w:rsidR="00000000" w:rsidRPr="00000000">
        <w:rPr>
          <w:color w:val="3a3a3a"/>
          <w:highlight w:val="white"/>
          <w:rtl w:val="0"/>
        </w:rPr>
        <w:t xml:space="preserve"> </w:t>
      </w:r>
    </w:p>
    <w:p w:rsidR="00000000" w:rsidDel="00000000" w:rsidP="00000000" w:rsidRDefault="00000000" w:rsidRPr="00000000" w14:paraId="0000002A">
      <w:pPr>
        <w:pStyle w:val="Heading1"/>
        <w:keepNext w:val="0"/>
        <w:keepLines w:val="0"/>
        <w:numPr>
          <w:ilvl w:val="0"/>
          <w:numId w:val="2"/>
        </w:numPr>
        <w:pBdr>
          <w:top w:color="auto" w:space="0" w:sz="0" w:val="none"/>
          <w:left w:color="auto" w:space="0" w:sz="0" w:val="none"/>
          <w:bottom w:color="auto" w:space="0" w:sz="0" w:val="none"/>
          <w:right w:color="auto" w:space="0" w:sz="0" w:val="none"/>
          <w:between w:color="auto" w:space="0" w:sz="0" w:val="none"/>
        </w:pBdr>
        <w:spacing w:after="0" w:afterAutospacing="0" w:before="0" w:line="264" w:lineRule="auto"/>
        <w:ind w:left="720" w:hanging="360"/>
        <w:rPr>
          <w:color w:val="3a3a3a"/>
          <w:sz w:val="22"/>
          <w:szCs w:val="22"/>
          <w:highlight w:val="white"/>
        </w:rPr>
      </w:pPr>
      <w:bookmarkStart w:colFirst="0" w:colLast="0" w:name="_iw273nu960ka" w:id="0"/>
      <w:bookmarkEnd w:id="0"/>
      <w:r w:rsidDel="00000000" w:rsidR="00000000" w:rsidRPr="00000000">
        <w:rPr>
          <w:sz w:val="22"/>
          <w:szCs w:val="22"/>
          <w:highlight w:val="white"/>
          <w:rtl w:val="0"/>
        </w:rPr>
        <w:t xml:space="preserve">Research Data Management.</w:t>
      </w:r>
      <w:r w:rsidDel="00000000" w:rsidR="00000000" w:rsidRPr="00000000">
        <w:rPr>
          <w:color w:val="333333"/>
          <w:sz w:val="22"/>
          <w:szCs w:val="22"/>
          <w:highlight w:val="white"/>
          <w:rtl w:val="0"/>
        </w:rPr>
        <w:t xml:space="preserve"> </w:t>
      </w:r>
      <w:hyperlink r:id="rId20">
        <w:r w:rsidDel="00000000" w:rsidR="00000000" w:rsidRPr="00000000">
          <w:rPr>
            <w:color w:val="1155cc"/>
            <w:sz w:val="22"/>
            <w:szCs w:val="22"/>
            <w:highlight w:val="white"/>
            <w:u w:val="single"/>
            <w:rtl w:val="0"/>
          </w:rPr>
          <w:t xml:space="preserve">https://www.oclc.org/research/themes/research-collections/rdm.html</w:t>
        </w:r>
      </w:hyperlink>
      <w:r w:rsidDel="00000000" w:rsidR="00000000" w:rsidRPr="00000000">
        <w:rPr>
          <w:rtl w:val="0"/>
        </w:rPr>
      </w:r>
    </w:p>
    <w:p w:rsidR="00000000" w:rsidDel="00000000" w:rsidP="00000000" w:rsidRDefault="00000000" w:rsidRPr="00000000" w14:paraId="0000002B">
      <w:pPr>
        <w:numPr>
          <w:ilvl w:val="0"/>
          <w:numId w:val="2"/>
        </w:numPr>
        <w:ind w:left="720" w:hanging="360"/>
      </w:pPr>
      <w:r w:rsidDel="00000000" w:rsidR="00000000" w:rsidRPr="00000000">
        <w:rPr>
          <w:rtl w:val="0"/>
        </w:rPr>
        <w:t xml:space="preserve">Spotlight: MIT and RSC Sign First North American “Read and Publish” Agreement. (June 19, 2018). </w:t>
      </w:r>
      <w:hyperlink r:id="rId21">
        <w:r w:rsidDel="00000000" w:rsidR="00000000" w:rsidRPr="00000000">
          <w:rPr>
            <w:color w:val="1155cc"/>
            <w:u w:val="single"/>
            <w:rtl w:val="0"/>
          </w:rPr>
          <w:t xml:space="preserve">https://libraries.mit.edu/scholarly/2018/spotlight-mit-and-rsc-sign-first-north-american-read-and-publish-agreement/</w:t>
        </w:r>
      </w:hyperlink>
      <w:r w:rsidDel="00000000" w:rsidR="00000000" w:rsidRPr="00000000">
        <w:rPr>
          <w:rtl w:val="0"/>
        </w:rPr>
      </w:r>
    </w:p>
    <w:p w:rsidR="00000000" w:rsidDel="00000000" w:rsidP="00000000" w:rsidRDefault="00000000" w:rsidRPr="00000000" w14:paraId="0000002C">
      <w:pPr>
        <w:ind w:left="720" w:firstLine="0"/>
        <w:rPr/>
      </w:pPr>
      <w:r w:rsidDel="00000000" w:rsidR="00000000" w:rsidRPr="00000000">
        <w:rPr>
          <w:rtl w:val="0"/>
        </w:rPr>
      </w:r>
    </w:p>
    <w:p w:rsidR="00000000" w:rsidDel="00000000" w:rsidP="00000000" w:rsidRDefault="00000000" w:rsidRPr="00000000" w14:paraId="0000002D">
      <w:pPr>
        <w:rPr>
          <w:u w:val="single"/>
        </w:rPr>
      </w:pPr>
      <w:r w:rsidDel="00000000" w:rsidR="00000000" w:rsidRPr="00000000">
        <w:rPr>
          <w:u w:val="single"/>
          <w:rtl w:val="0"/>
        </w:rPr>
        <w:t xml:space="preserve">Tips and reflections for managers and leaders</w:t>
      </w:r>
      <w:r w:rsidDel="00000000" w:rsidR="00000000" w:rsidRPr="00000000">
        <w:rPr>
          <w:rtl w:val="0"/>
        </w:rPr>
      </w:r>
    </w:p>
    <w:p w:rsidR="00000000" w:rsidDel="00000000" w:rsidP="00000000" w:rsidRDefault="00000000" w:rsidRPr="00000000" w14:paraId="0000002E">
      <w:pPr>
        <w:numPr>
          <w:ilvl w:val="0"/>
          <w:numId w:val="2"/>
        </w:numPr>
        <w:spacing w:line="276" w:lineRule="auto"/>
        <w:ind w:left="720" w:hanging="360"/>
        <w:rPr/>
      </w:pPr>
      <w:r w:rsidDel="00000000" w:rsidR="00000000" w:rsidRPr="00000000">
        <w:rPr>
          <w:highlight w:val="white"/>
          <w:rtl w:val="0"/>
        </w:rPr>
        <w:t xml:space="preserve">Boatright, B. (2015). Leading the library (when you're not in charge). </w:t>
      </w:r>
      <w:r w:rsidDel="00000000" w:rsidR="00000000" w:rsidRPr="00000000">
        <w:rPr>
          <w:i w:val="1"/>
          <w:highlight w:val="white"/>
          <w:rtl w:val="0"/>
        </w:rPr>
        <w:t xml:space="preserve">College &amp; Undergraduate Libraries 22</w:t>
      </w:r>
      <w:r w:rsidDel="00000000" w:rsidR="00000000" w:rsidRPr="00000000">
        <w:rPr>
          <w:highlight w:val="white"/>
          <w:rtl w:val="0"/>
        </w:rPr>
        <w:t xml:space="preserve">(3-4), 343-357.</w:t>
      </w:r>
      <w:r w:rsidDel="00000000" w:rsidR="00000000" w:rsidRPr="00000000">
        <w:rPr>
          <w:rtl w:val="0"/>
        </w:rPr>
      </w:r>
    </w:p>
    <w:p w:rsidR="00000000" w:rsidDel="00000000" w:rsidP="00000000" w:rsidRDefault="00000000" w:rsidRPr="00000000" w14:paraId="0000002F">
      <w:pPr>
        <w:numPr>
          <w:ilvl w:val="0"/>
          <w:numId w:val="2"/>
        </w:numPr>
        <w:ind w:left="720" w:hanging="360"/>
      </w:pPr>
      <w:r w:rsidDel="00000000" w:rsidR="00000000" w:rsidRPr="00000000">
        <w:rPr>
          <w:rtl w:val="0"/>
        </w:rPr>
        <w:t xml:space="preserve">Farrell, R. (2013). Making change happen in the middle. </w:t>
      </w:r>
      <w:r w:rsidDel="00000000" w:rsidR="00000000" w:rsidRPr="00000000">
        <w:rPr>
          <w:i w:val="1"/>
          <w:rtl w:val="0"/>
        </w:rPr>
        <w:t xml:space="preserve">Journal Of The Leadership &amp; Management Section</w:t>
      </w:r>
      <w:r w:rsidDel="00000000" w:rsidR="00000000" w:rsidRPr="00000000">
        <w:rPr>
          <w:rtl w:val="0"/>
        </w:rPr>
        <w:t xml:space="preserve"> </w:t>
      </w:r>
      <w:r w:rsidDel="00000000" w:rsidR="00000000" w:rsidRPr="00000000">
        <w:rPr>
          <w:i w:val="1"/>
          <w:rtl w:val="0"/>
        </w:rPr>
        <w:t xml:space="preserve">9</w:t>
      </w:r>
      <w:r w:rsidDel="00000000" w:rsidR="00000000" w:rsidRPr="00000000">
        <w:rPr>
          <w:rtl w:val="0"/>
        </w:rPr>
        <w:t xml:space="preserve">(</w:t>
      </w:r>
      <w:r w:rsidDel="00000000" w:rsidR="00000000" w:rsidRPr="00000000">
        <w:rPr>
          <w:rtl w:val="0"/>
        </w:rPr>
        <w:t xml:space="preserve">2), 4-18.</w:t>
      </w:r>
    </w:p>
    <w:p w:rsidR="00000000" w:rsidDel="00000000" w:rsidP="00000000" w:rsidRDefault="00000000" w:rsidRPr="00000000" w14:paraId="00000030">
      <w:pPr>
        <w:numPr>
          <w:ilvl w:val="0"/>
          <w:numId w:val="2"/>
        </w:numPr>
        <w:ind w:left="720" w:hanging="360"/>
        <w:rPr>
          <w:u w:val="none"/>
        </w:rPr>
      </w:pPr>
      <w:r w:rsidDel="00000000" w:rsidR="00000000" w:rsidRPr="00000000">
        <w:rPr>
          <w:sz w:val="22"/>
          <w:szCs w:val="22"/>
          <w:rtl w:val="0"/>
        </w:rPr>
        <w:t xml:space="preserve">Morriss-Olson, </w:t>
      </w:r>
      <w:r w:rsidDel="00000000" w:rsidR="00000000" w:rsidRPr="00000000">
        <w:rPr>
          <w:rtl w:val="0"/>
        </w:rPr>
        <w:t xml:space="preserve">M</w:t>
      </w:r>
      <w:r w:rsidDel="00000000" w:rsidR="00000000" w:rsidRPr="00000000">
        <w:rPr>
          <w:sz w:val="22"/>
          <w:szCs w:val="22"/>
          <w:rtl w:val="0"/>
        </w:rPr>
        <w:t xml:space="preserve">. (</w:t>
      </w:r>
      <w:r w:rsidDel="00000000" w:rsidR="00000000" w:rsidRPr="00000000">
        <w:rPr>
          <w:rtl w:val="0"/>
        </w:rPr>
        <w:t xml:space="preserve">June 16, 2017). </w:t>
      </w:r>
      <w:r w:rsidDel="00000000" w:rsidR="00000000" w:rsidRPr="00000000">
        <w:rPr>
          <w:sz w:val="22"/>
          <w:szCs w:val="22"/>
          <w:rtl w:val="0"/>
        </w:rPr>
        <w:t xml:space="preserve">7 </w:t>
      </w:r>
      <w:r w:rsidDel="00000000" w:rsidR="00000000" w:rsidRPr="00000000">
        <w:rPr>
          <w:rtl w:val="0"/>
        </w:rPr>
        <w:t xml:space="preserve">w</w:t>
      </w:r>
      <w:r w:rsidDel="00000000" w:rsidR="00000000" w:rsidRPr="00000000">
        <w:rPr>
          <w:sz w:val="22"/>
          <w:szCs w:val="22"/>
          <w:rtl w:val="0"/>
        </w:rPr>
        <w:t xml:space="preserve">ays </w:t>
      </w:r>
      <w:r w:rsidDel="00000000" w:rsidR="00000000" w:rsidRPr="00000000">
        <w:rPr>
          <w:rtl w:val="0"/>
        </w:rPr>
        <w:t xml:space="preserve">a</w:t>
      </w:r>
      <w:r w:rsidDel="00000000" w:rsidR="00000000" w:rsidRPr="00000000">
        <w:rPr>
          <w:sz w:val="22"/>
          <w:szCs w:val="22"/>
          <w:rtl w:val="0"/>
        </w:rPr>
        <w:t xml:space="preserve">cademic </w:t>
      </w:r>
      <w:r w:rsidDel="00000000" w:rsidR="00000000" w:rsidRPr="00000000">
        <w:rPr>
          <w:rtl w:val="0"/>
        </w:rPr>
        <w:t xml:space="preserve">l</w:t>
      </w:r>
      <w:r w:rsidDel="00000000" w:rsidR="00000000" w:rsidRPr="00000000">
        <w:rPr>
          <w:sz w:val="22"/>
          <w:szCs w:val="22"/>
          <w:rtl w:val="0"/>
        </w:rPr>
        <w:t xml:space="preserve">eaders </w:t>
      </w:r>
      <w:r w:rsidDel="00000000" w:rsidR="00000000" w:rsidRPr="00000000">
        <w:rPr>
          <w:rtl w:val="0"/>
        </w:rPr>
        <w:t xml:space="preserve">c</w:t>
      </w:r>
      <w:r w:rsidDel="00000000" w:rsidR="00000000" w:rsidRPr="00000000">
        <w:rPr>
          <w:sz w:val="22"/>
          <w:szCs w:val="22"/>
          <w:rtl w:val="0"/>
        </w:rPr>
        <w:t xml:space="preserve">an </w:t>
      </w:r>
      <w:r w:rsidDel="00000000" w:rsidR="00000000" w:rsidRPr="00000000">
        <w:rPr>
          <w:rtl w:val="0"/>
        </w:rPr>
        <w:t xml:space="preserve">c</w:t>
      </w:r>
      <w:r w:rsidDel="00000000" w:rsidR="00000000" w:rsidRPr="00000000">
        <w:rPr>
          <w:sz w:val="22"/>
          <w:szCs w:val="22"/>
          <w:rtl w:val="0"/>
        </w:rPr>
        <w:t xml:space="preserve">ultivate </w:t>
      </w:r>
      <w:r w:rsidDel="00000000" w:rsidR="00000000" w:rsidRPr="00000000">
        <w:rPr>
          <w:rtl w:val="0"/>
        </w:rPr>
        <w:t xml:space="preserve">c</w:t>
      </w:r>
      <w:r w:rsidDel="00000000" w:rsidR="00000000" w:rsidRPr="00000000">
        <w:rPr>
          <w:sz w:val="22"/>
          <w:szCs w:val="22"/>
          <w:rtl w:val="0"/>
        </w:rPr>
        <w:t xml:space="preserve">reativity.</w:t>
      </w:r>
      <w:r w:rsidDel="00000000" w:rsidR="00000000" w:rsidRPr="00000000">
        <w:rPr>
          <w:rtl w:val="0"/>
        </w:rPr>
        <w:t xml:space="preserve"> </w:t>
      </w:r>
      <w:hyperlink r:id="rId22">
        <w:r w:rsidDel="00000000" w:rsidR="00000000" w:rsidRPr="00000000">
          <w:rPr>
            <w:color w:val="1155cc"/>
            <w:sz w:val="22"/>
            <w:szCs w:val="22"/>
            <w:u w:val="single"/>
            <w:rtl w:val="0"/>
          </w:rPr>
          <w:t xml:space="preserve">https://www.academicimpressions.com/blog/7-ways-academic-leaders-can-cultivate-creativity/</w:t>
        </w:r>
      </w:hyperlink>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oclc.org/research/themes/research-collections/rdm.html" TargetMode="External"/><Relationship Id="rId11" Type="http://schemas.openxmlformats.org/officeDocument/2006/relationships/hyperlink" Target="https://www.ld4l.org/" TargetMode="External"/><Relationship Id="rId22" Type="http://schemas.openxmlformats.org/officeDocument/2006/relationships/hyperlink" Target="https://www.academicimpressions.com/blog/7-ways-academic-leaders-can-cultivate-creativity/" TargetMode="External"/><Relationship Id="rId10" Type="http://schemas.openxmlformats.org/officeDocument/2006/relationships/hyperlink" Target="http://www.loc.gov/aba/pcc/documents/PoCo-2017/BraveNewFacetedWorld-170713.pdf" TargetMode="External"/><Relationship Id="rId21" Type="http://schemas.openxmlformats.org/officeDocument/2006/relationships/hyperlink" Target="https://libraries.mit.edu/scholarly/2018/spotlight-mit-and-rsc-sign-first-north-american-read-and-publish-agreement/" TargetMode="External"/><Relationship Id="rId13" Type="http://schemas.openxmlformats.org/officeDocument/2006/relationships/hyperlink" Target="https://www.loc.gov/bibframe/" TargetMode="External"/><Relationship Id="rId12" Type="http://schemas.openxmlformats.org/officeDocument/2006/relationships/hyperlink" Target="https://www.ld4l.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oc.gov/aba/pcc/about/PCC-Strategic-Directions-2018-2021.pdf" TargetMode="External"/><Relationship Id="rId15" Type="http://schemas.openxmlformats.org/officeDocument/2006/relationships/hyperlink" Target="http://www.rda-rsc.org/node/551" TargetMode="External"/><Relationship Id="rId14" Type="http://schemas.openxmlformats.org/officeDocument/2006/relationships/hyperlink" Target="https://www.loc.gov/bibframe/" TargetMode="External"/><Relationship Id="rId17" Type="http://schemas.openxmlformats.org/officeDocument/2006/relationships/hyperlink" Target="http://www.metadata2020.org/" TargetMode="External"/><Relationship Id="rId16" Type="http://schemas.openxmlformats.org/officeDocument/2006/relationships/hyperlink" Target="https://docs.google.com/document/d/1ZsOyw2sOD3a7xJQ6XCSYDGjZUPxGGl8tuvC7vvtlJRU/edit" TargetMode="External"/><Relationship Id="rId5" Type="http://schemas.openxmlformats.org/officeDocument/2006/relationships/styles" Target="styles.xml"/><Relationship Id="rId19" Type="http://schemas.openxmlformats.org/officeDocument/2006/relationships/hyperlink" Target="http://www.ala.org/advocacy/intfreedom/iftoolkits/litoolkit/openaccess" TargetMode="External"/><Relationship Id="rId6" Type="http://schemas.openxmlformats.org/officeDocument/2006/relationships/hyperlink" Target="https://crln.acrl.org/index.php/crlnews/article/view/17001/18750" TargetMode="External"/><Relationship Id="rId18" Type="http://schemas.openxmlformats.org/officeDocument/2006/relationships/hyperlink" Target="https://www.niso.org/standards-committees/odi" TargetMode="External"/><Relationship Id="rId7" Type="http://schemas.openxmlformats.org/officeDocument/2006/relationships/hyperlink" Target="https://crln.acrl.org/index.php/crlnews/article/view/17001/18750" TargetMode="External"/><Relationship Id="rId8" Type="http://schemas.openxmlformats.org/officeDocument/2006/relationships/hyperlink" Target="http://downloads.alcts.ala.org/ce/05182016_Future_Tech_Serv_Part2_Current_Trends_New_Skills_Slid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