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0D3C" w14:textId="77777777" w:rsidR="002D3ED8" w:rsidRPr="002D3ED8" w:rsidRDefault="002D3ED8" w:rsidP="002D3ED8">
      <w:pPr>
        <w:spacing w:after="0" w:line="240" w:lineRule="auto"/>
        <w:rPr>
          <w:rFonts w:eastAsia="Times New Roman" w:cs="Calibri"/>
          <w:bCs/>
          <w:sz w:val="24"/>
          <w:szCs w:val="24"/>
          <w:u w:val="single"/>
        </w:rPr>
      </w:pPr>
      <w:r w:rsidRPr="002D3ED8">
        <w:rPr>
          <w:rFonts w:eastAsia="Times New Roman" w:cs="Calibri"/>
          <w:bCs/>
          <w:sz w:val="24"/>
          <w:szCs w:val="24"/>
          <w:u w:val="single"/>
        </w:rPr>
        <w:t>FY23 Operating Budget as of November 2022</w:t>
      </w:r>
    </w:p>
    <w:p w14:paraId="72BD8F33" w14:textId="77777777" w:rsidR="002D3ED8" w:rsidRPr="002D3ED8" w:rsidRDefault="002D3ED8" w:rsidP="002D3ED8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tbl>
      <w:tblPr>
        <w:tblW w:w="911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1796"/>
        <w:gridCol w:w="1922"/>
        <w:gridCol w:w="1710"/>
      </w:tblGrid>
      <w:tr w:rsidR="002D3ED8" w:rsidRPr="002D3ED8" w14:paraId="745BBA44" w14:textId="77777777" w:rsidTr="007C7528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6D2B9554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FY23 Operating Budget as of November 2022</w:t>
            </w:r>
          </w:p>
          <w:p w14:paraId="3C0CB6D2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  <w:iCs/>
                <w:sz w:val="24"/>
                <w:szCs w:val="24"/>
              </w:rPr>
            </w:pPr>
          </w:p>
          <w:p w14:paraId="4ECE6124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96" w:type="dxa"/>
            <w:noWrap/>
            <w:hideMark/>
          </w:tcPr>
          <w:p w14:paraId="5E718D86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November 2022</w:t>
            </w:r>
          </w:p>
          <w:p w14:paraId="454F39A7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YTD Budget</w:t>
            </w:r>
          </w:p>
        </w:tc>
        <w:tc>
          <w:tcPr>
            <w:tcW w:w="1922" w:type="dxa"/>
            <w:noWrap/>
            <w:hideMark/>
          </w:tcPr>
          <w:p w14:paraId="0B638BB2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November 2022 YTD Actual</w:t>
            </w:r>
          </w:p>
        </w:tc>
        <w:tc>
          <w:tcPr>
            <w:tcW w:w="1710" w:type="dxa"/>
            <w:noWrap/>
            <w:hideMark/>
          </w:tcPr>
          <w:p w14:paraId="04F2DED8" w14:textId="77777777" w:rsidR="002D3ED8" w:rsidRPr="002D3ED8" w:rsidRDefault="002D3ED8" w:rsidP="002D3ED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November 2022 Variance</w:t>
            </w:r>
          </w:p>
        </w:tc>
      </w:tr>
      <w:tr w:rsidR="002D3ED8" w:rsidRPr="002D3ED8" w14:paraId="1FCBCC3D" w14:textId="77777777" w:rsidTr="007C7528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7E05AC93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Total Revenues</w:t>
            </w:r>
          </w:p>
        </w:tc>
        <w:tc>
          <w:tcPr>
            <w:tcW w:w="1796" w:type="dxa"/>
            <w:noWrap/>
            <w:vAlign w:val="bottom"/>
            <w:hideMark/>
          </w:tcPr>
          <w:p w14:paraId="3ABA7691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ascii="Arial" w:eastAsia="Times New Roman" w:hAnsi="Arial" w:cs="Arial"/>
                <w:sz w:val="20"/>
                <w:szCs w:val="20"/>
              </w:rPr>
              <w:t>$203,187</w:t>
            </w:r>
          </w:p>
        </w:tc>
        <w:tc>
          <w:tcPr>
            <w:tcW w:w="1922" w:type="dxa"/>
            <w:noWrap/>
            <w:vAlign w:val="bottom"/>
            <w:hideMark/>
          </w:tcPr>
          <w:p w14:paraId="1E63798F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ascii="Arial" w:eastAsia="Times New Roman" w:hAnsi="Arial" w:cs="Arial"/>
                <w:sz w:val="20"/>
                <w:szCs w:val="20"/>
              </w:rPr>
              <w:t>$205,417</w:t>
            </w:r>
          </w:p>
        </w:tc>
        <w:tc>
          <w:tcPr>
            <w:tcW w:w="1710" w:type="dxa"/>
            <w:noWrap/>
            <w:vAlign w:val="bottom"/>
            <w:hideMark/>
          </w:tcPr>
          <w:p w14:paraId="693B3777" w14:textId="3F4B9D8A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ascii="Arial" w:eastAsia="Times New Roman" w:hAnsi="Arial" w:cs="Arial"/>
                <w:sz w:val="20"/>
                <w:szCs w:val="20"/>
              </w:rPr>
              <w:t xml:space="preserve">$2,230 </w:t>
            </w:r>
          </w:p>
        </w:tc>
      </w:tr>
      <w:tr w:rsidR="002D3ED8" w:rsidRPr="002D3ED8" w14:paraId="7E30CD14" w14:textId="77777777" w:rsidTr="007C7528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68670B3C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Total Expenses before OH and tax</w:t>
            </w:r>
          </w:p>
        </w:tc>
        <w:tc>
          <w:tcPr>
            <w:tcW w:w="1796" w:type="dxa"/>
            <w:noWrap/>
            <w:vAlign w:val="bottom"/>
            <w:hideMark/>
          </w:tcPr>
          <w:p w14:paraId="5426FD26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ascii="Arial" w:eastAsia="Times New Roman" w:hAnsi="Arial" w:cs="Arial"/>
                <w:sz w:val="20"/>
                <w:szCs w:val="20"/>
              </w:rPr>
              <w:t>($304,089)</w:t>
            </w:r>
          </w:p>
        </w:tc>
        <w:tc>
          <w:tcPr>
            <w:tcW w:w="1922" w:type="dxa"/>
            <w:noWrap/>
            <w:vAlign w:val="bottom"/>
            <w:hideMark/>
          </w:tcPr>
          <w:p w14:paraId="76CA7A69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ascii="Arial" w:eastAsia="Times New Roman" w:hAnsi="Arial" w:cs="Arial"/>
                <w:sz w:val="20"/>
                <w:szCs w:val="20"/>
              </w:rPr>
              <w:t>($263,100)</w:t>
            </w:r>
          </w:p>
        </w:tc>
        <w:tc>
          <w:tcPr>
            <w:tcW w:w="1710" w:type="dxa"/>
            <w:noWrap/>
            <w:vAlign w:val="bottom"/>
            <w:hideMark/>
          </w:tcPr>
          <w:p w14:paraId="50C705A8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ascii="Arial" w:eastAsia="Times New Roman" w:hAnsi="Arial" w:cs="Arial"/>
                <w:sz w:val="20"/>
                <w:szCs w:val="20"/>
              </w:rPr>
              <w:t xml:space="preserve"> $40,989</w:t>
            </w:r>
          </w:p>
        </w:tc>
      </w:tr>
      <w:tr w:rsidR="002D3ED8" w:rsidRPr="002D3ED8" w14:paraId="34C09068" w14:textId="77777777" w:rsidTr="007C7528">
        <w:trPr>
          <w:trHeight w:val="287"/>
        </w:trPr>
        <w:tc>
          <w:tcPr>
            <w:tcW w:w="3684" w:type="dxa"/>
            <w:noWrap/>
            <w:vAlign w:val="bottom"/>
            <w:hideMark/>
          </w:tcPr>
          <w:p w14:paraId="31386A4F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Overhead and Tax</w:t>
            </w:r>
          </w:p>
        </w:tc>
        <w:tc>
          <w:tcPr>
            <w:tcW w:w="1796" w:type="dxa"/>
            <w:noWrap/>
            <w:vAlign w:val="bottom"/>
            <w:hideMark/>
          </w:tcPr>
          <w:p w14:paraId="5C531DDB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ascii="Arial" w:eastAsia="Times New Roman" w:hAnsi="Arial" w:cs="Arial"/>
                <w:sz w:val="20"/>
                <w:szCs w:val="20"/>
              </w:rPr>
              <w:t>($8,320)</w:t>
            </w:r>
          </w:p>
        </w:tc>
        <w:tc>
          <w:tcPr>
            <w:tcW w:w="1922" w:type="dxa"/>
            <w:noWrap/>
            <w:vAlign w:val="bottom"/>
            <w:hideMark/>
          </w:tcPr>
          <w:p w14:paraId="7BAD4D7F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ascii="Arial" w:eastAsia="Times New Roman" w:hAnsi="Arial" w:cs="Arial"/>
                <w:sz w:val="20"/>
                <w:szCs w:val="20"/>
              </w:rPr>
              <w:t>($5,397)</w:t>
            </w:r>
          </w:p>
        </w:tc>
        <w:tc>
          <w:tcPr>
            <w:tcW w:w="1710" w:type="dxa"/>
            <w:noWrap/>
            <w:vAlign w:val="bottom"/>
            <w:hideMark/>
          </w:tcPr>
          <w:p w14:paraId="4282F367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ascii="Arial" w:eastAsia="Times New Roman" w:hAnsi="Arial" w:cs="Arial"/>
                <w:sz w:val="20"/>
                <w:szCs w:val="20"/>
              </w:rPr>
              <w:t>$2,923</w:t>
            </w:r>
          </w:p>
        </w:tc>
      </w:tr>
      <w:tr w:rsidR="002D3ED8" w:rsidRPr="002D3ED8" w14:paraId="7D3A7FEA" w14:textId="77777777" w:rsidTr="007C7528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5A70C563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796" w:type="dxa"/>
            <w:noWrap/>
            <w:vAlign w:val="bottom"/>
            <w:hideMark/>
          </w:tcPr>
          <w:p w14:paraId="33515E7A" w14:textId="77777777" w:rsidR="002D3ED8" w:rsidRPr="002D3ED8" w:rsidRDefault="002D3ED8" w:rsidP="002D3ED8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bottom"/>
            <w:hideMark/>
          </w:tcPr>
          <w:p w14:paraId="53A23D4B" w14:textId="77777777" w:rsidR="002D3ED8" w:rsidRPr="002D3ED8" w:rsidRDefault="002D3ED8" w:rsidP="002D3ED8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noWrap/>
            <w:vAlign w:val="bottom"/>
            <w:hideMark/>
          </w:tcPr>
          <w:p w14:paraId="12165152" w14:textId="77777777" w:rsidR="002D3ED8" w:rsidRPr="002D3ED8" w:rsidRDefault="002D3ED8" w:rsidP="002D3ED8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D3ED8" w:rsidRPr="002D3ED8" w14:paraId="6F701E1F" w14:textId="77777777" w:rsidTr="007C7528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484A3F00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796" w:type="dxa"/>
            <w:noWrap/>
            <w:vAlign w:val="bottom"/>
            <w:hideMark/>
          </w:tcPr>
          <w:p w14:paraId="635FBABD" w14:textId="77777777" w:rsidR="002D3ED8" w:rsidRPr="002D3ED8" w:rsidRDefault="002D3ED8" w:rsidP="002D3ED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YTD Budget</w:t>
            </w:r>
          </w:p>
        </w:tc>
        <w:tc>
          <w:tcPr>
            <w:tcW w:w="1922" w:type="dxa"/>
            <w:noWrap/>
            <w:vAlign w:val="bottom"/>
            <w:hideMark/>
          </w:tcPr>
          <w:p w14:paraId="6A8BD965" w14:textId="77777777" w:rsidR="002D3ED8" w:rsidRPr="002D3ED8" w:rsidRDefault="002D3ED8" w:rsidP="002D3ED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YTD Actual</w:t>
            </w:r>
          </w:p>
        </w:tc>
        <w:tc>
          <w:tcPr>
            <w:tcW w:w="1710" w:type="dxa"/>
            <w:noWrap/>
            <w:vAlign w:val="bottom"/>
            <w:hideMark/>
          </w:tcPr>
          <w:p w14:paraId="121FF7BF" w14:textId="77777777" w:rsidR="002D3ED8" w:rsidRPr="002D3ED8" w:rsidRDefault="002D3ED8" w:rsidP="002D3ED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Variance</w:t>
            </w:r>
          </w:p>
        </w:tc>
      </w:tr>
      <w:tr w:rsidR="002D3ED8" w:rsidRPr="002D3ED8" w14:paraId="3D781D81" w14:textId="77777777" w:rsidTr="007C7528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3B406CE5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Net Revenue (Expense)</w:t>
            </w:r>
          </w:p>
        </w:tc>
        <w:tc>
          <w:tcPr>
            <w:tcW w:w="1796" w:type="dxa"/>
            <w:noWrap/>
            <w:vAlign w:val="bottom"/>
            <w:hideMark/>
          </w:tcPr>
          <w:p w14:paraId="319E5ABE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ascii="Arial" w:eastAsia="Times New Roman" w:hAnsi="Arial" w:cs="Arial"/>
                <w:sz w:val="20"/>
                <w:szCs w:val="20"/>
              </w:rPr>
              <w:t>($109,221)</w:t>
            </w:r>
          </w:p>
        </w:tc>
        <w:tc>
          <w:tcPr>
            <w:tcW w:w="1922" w:type="dxa"/>
            <w:noWrap/>
            <w:vAlign w:val="bottom"/>
            <w:hideMark/>
          </w:tcPr>
          <w:p w14:paraId="230C04CA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ascii="Arial" w:eastAsia="Times New Roman" w:hAnsi="Arial" w:cs="Arial"/>
                <w:sz w:val="20"/>
                <w:szCs w:val="20"/>
              </w:rPr>
              <w:t xml:space="preserve">($63,080) </w:t>
            </w:r>
          </w:p>
        </w:tc>
        <w:tc>
          <w:tcPr>
            <w:tcW w:w="1710" w:type="dxa"/>
            <w:noWrap/>
            <w:vAlign w:val="bottom"/>
            <w:hideMark/>
          </w:tcPr>
          <w:p w14:paraId="1F208417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ascii="Arial" w:eastAsia="Times New Roman" w:hAnsi="Arial" w:cs="Arial"/>
                <w:sz w:val="20"/>
                <w:szCs w:val="20"/>
              </w:rPr>
              <w:t>$46,141</w:t>
            </w:r>
          </w:p>
        </w:tc>
      </w:tr>
      <w:tr w:rsidR="002D3ED8" w:rsidRPr="002D3ED8" w14:paraId="77DD199C" w14:textId="77777777" w:rsidTr="007C7528">
        <w:trPr>
          <w:trHeight w:val="458"/>
        </w:trPr>
        <w:tc>
          <w:tcPr>
            <w:tcW w:w="3684" w:type="dxa"/>
            <w:noWrap/>
            <w:vAlign w:val="bottom"/>
            <w:hideMark/>
          </w:tcPr>
          <w:p w14:paraId="4410ABB7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FY23 Beginning Net Asset Balance</w:t>
            </w:r>
          </w:p>
        </w:tc>
        <w:tc>
          <w:tcPr>
            <w:tcW w:w="1796" w:type="dxa"/>
          </w:tcPr>
          <w:p w14:paraId="4E985AC1" w14:textId="77777777" w:rsidR="002D3ED8" w:rsidRPr="002D3ED8" w:rsidRDefault="002D3ED8" w:rsidP="002D3ED8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bottom"/>
            <w:hideMark/>
          </w:tcPr>
          <w:p w14:paraId="45DE7EB2" w14:textId="77777777" w:rsidR="002D3ED8" w:rsidRPr="002D3ED8" w:rsidRDefault="002D3ED8" w:rsidP="002D3ED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710" w:type="dxa"/>
            <w:noWrap/>
            <w:vAlign w:val="bottom"/>
            <w:hideMark/>
          </w:tcPr>
          <w:p w14:paraId="03AF51AD" w14:textId="77777777" w:rsidR="002D3ED8" w:rsidRPr="002D3ED8" w:rsidRDefault="002D3ED8" w:rsidP="002D3ED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2D3ED8" w:rsidRPr="002D3ED8" w14:paraId="229625CD" w14:textId="77777777" w:rsidTr="007C7528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782C659D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eastAsia="Times New Roman" w:cs="Calibri"/>
                <w:sz w:val="24"/>
                <w:szCs w:val="24"/>
              </w:rPr>
              <w:t>$5,334,084</w:t>
            </w:r>
          </w:p>
        </w:tc>
        <w:tc>
          <w:tcPr>
            <w:tcW w:w="1796" w:type="dxa"/>
          </w:tcPr>
          <w:p w14:paraId="5A432042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bottom"/>
            <w:hideMark/>
          </w:tcPr>
          <w:p w14:paraId="5C39774A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noWrap/>
            <w:vAlign w:val="bottom"/>
            <w:hideMark/>
          </w:tcPr>
          <w:p w14:paraId="23A240A1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highlight w:val="yellow"/>
              </w:rPr>
            </w:pPr>
          </w:p>
        </w:tc>
      </w:tr>
    </w:tbl>
    <w:p w14:paraId="7534DD9F" w14:textId="77777777" w:rsidR="002D3ED8" w:rsidRPr="002D3ED8" w:rsidRDefault="002D3ED8" w:rsidP="002D3ED8">
      <w:pPr>
        <w:spacing w:after="0" w:line="240" w:lineRule="auto"/>
        <w:rPr>
          <w:rFonts w:eastAsia="Times New Roman" w:cs="Calibri"/>
          <w:color w:val="FF0000"/>
          <w:sz w:val="24"/>
          <w:szCs w:val="24"/>
        </w:rPr>
      </w:pPr>
    </w:p>
    <w:p w14:paraId="082706CA" w14:textId="77777777" w:rsidR="002D3ED8" w:rsidRPr="002D3ED8" w:rsidRDefault="002D3ED8" w:rsidP="002D3ED8">
      <w:pPr>
        <w:spacing w:after="0" w:line="240" w:lineRule="auto"/>
        <w:rPr>
          <w:rFonts w:eastAsia="Times New Roman" w:cs="Calibri"/>
          <w:sz w:val="24"/>
          <w:szCs w:val="24"/>
        </w:rPr>
      </w:pPr>
      <w:r w:rsidRPr="002D3ED8">
        <w:rPr>
          <w:rFonts w:eastAsia="Times New Roman" w:cs="Calibri"/>
          <w:sz w:val="24"/>
          <w:szCs w:val="24"/>
        </w:rPr>
        <w:t xml:space="preserve">In PLA’s two-year budgeting cycle, FY23 is a non-conference year, budgeted with a planned deficit, readily covered by the FY22 conference year net revenue of $827,103. The current FY23 budget reflected here with budgeted net deficit of ($415,476) includes a +$1,717 difference from the board approved operating net of ($415,476), detailed in PLABF 2023.3.  </w:t>
      </w:r>
    </w:p>
    <w:p w14:paraId="5C3C27C2" w14:textId="77777777" w:rsidR="002D3ED8" w:rsidRPr="002D3ED8" w:rsidRDefault="002D3ED8" w:rsidP="002D3ED8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0ACE160C" w14:textId="0D653078" w:rsidR="002D3ED8" w:rsidRPr="002D3ED8" w:rsidRDefault="002D3ED8" w:rsidP="002D3ED8">
      <w:pPr>
        <w:spacing w:after="0" w:line="240" w:lineRule="auto"/>
        <w:rPr>
          <w:rFonts w:eastAsia="Times New Roman" w:cs="Calibri"/>
          <w:sz w:val="24"/>
          <w:szCs w:val="24"/>
        </w:rPr>
      </w:pPr>
      <w:r w:rsidRPr="002D3ED8">
        <w:rPr>
          <w:rFonts w:eastAsia="Times New Roman" w:cs="Calibri"/>
          <w:sz w:val="24"/>
          <w:szCs w:val="24"/>
          <w:u w:val="single"/>
        </w:rPr>
        <w:t>Operating Budget:</w:t>
      </w:r>
      <w:r w:rsidRPr="002D3ED8">
        <w:rPr>
          <w:rFonts w:eastAsia="Times New Roman" w:cs="Calibri"/>
          <w:sz w:val="24"/>
          <w:szCs w:val="24"/>
        </w:rPr>
        <w:t xml:space="preserve">  As of November 2022, PLA has actual expenses of $263,100 compared to budgeted expenses of $304,089. This favorable Q1 position is due to timing of  publication related expenses, and an upswing in dues revenue and WebCE revenue. The standout result can be found in the </w:t>
      </w:r>
      <w:r w:rsidRPr="002D3ED8">
        <w:rPr>
          <w:rFonts w:eastAsia="Times New Roman" w:cs="Calibri"/>
          <w:i/>
          <w:iCs/>
          <w:sz w:val="24"/>
          <w:szCs w:val="24"/>
        </w:rPr>
        <w:t>Public Libraries</w:t>
      </w:r>
      <w:r w:rsidRPr="002D3ED8">
        <w:rPr>
          <w:rFonts w:eastAsia="Times New Roman" w:cs="Calibri"/>
          <w:sz w:val="24"/>
          <w:szCs w:val="24"/>
        </w:rPr>
        <w:t xml:space="preserve"> magazine budget where ad sales are showing strong recovery.</w:t>
      </w:r>
    </w:p>
    <w:p w14:paraId="1F30724C" w14:textId="77777777" w:rsidR="002D3ED8" w:rsidRPr="002D3ED8" w:rsidRDefault="002D3ED8" w:rsidP="002D3ED8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209DA055" w14:textId="77777777" w:rsidR="002D3ED8" w:rsidRPr="002D3ED8" w:rsidRDefault="002D3ED8" w:rsidP="002D3ED8">
      <w:pPr>
        <w:spacing w:after="0" w:line="240" w:lineRule="auto"/>
        <w:rPr>
          <w:rFonts w:eastAsia="Times New Roman" w:cs="Calibri"/>
          <w:sz w:val="24"/>
          <w:szCs w:val="24"/>
          <w:u w:val="single"/>
        </w:rPr>
      </w:pPr>
      <w:r w:rsidRPr="002D3ED8">
        <w:rPr>
          <w:rFonts w:eastAsia="Times New Roman" w:cs="Calibri"/>
          <w:sz w:val="24"/>
          <w:szCs w:val="24"/>
        </w:rPr>
        <w:t>Spending on administrative costs (staff, board management) is slightly below budget (5% variance), due to open positions.</w:t>
      </w:r>
    </w:p>
    <w:p w14:paraId="5A1CA4BC" w14:textId="77777777" w:rsidR="002D3ED8" w:rsidRPr="002D3ED8" w:rsidRDefault="002D3ED8" w:rsidP="002D3ED8">
      <w:pPr>
        <w:numPr>
          <w:ilvl w:val="0"/>
          <w:numId w:val="1"/>
        </w:numPr>
        <w:spacing w:after="0" w:line="240" w:lineRule="auto"/>
        <w:ind w:left="720"/>
        <w:contextualSpacing/>
        <w:rPr>
          <w:rFonts w:eastAsia="Times New Roman" w:cs="Calibri"/>
          <w:sz w:val="24"/>
          <w:szCs w:val="24"/>
          <w:u w:val="single"/>
        </w:rPr>
      </w:pPr>
      <w:r w:rsidRPr="002D3ED8">
        <w:rPr>
          <w:rFonts w:eastAsia="Times New Roman" w:cs="Calibri"/>
          <w:sz w:val="24"/>
          <w:szCs w:val="24"/>
        </w:rPr>
        <w:t xml:space="preserve">Dues revenue is 16% ahead of budget, with $141,677 collected against a budget of $120,311. This is due to renewals timing, and possibly a slight trend upswing. Expenses are behind due to postponement of the JCLC conference in Florida and corresponding staff travel to come in Q2. </w:t>
      </w:r>
    </w:p>
    <w:p w14:paraId="17E8A18E" w14:textId="77777777" w:rsidR="002D3ED8" w:rsidRPr="002D3ED8" w:rsidRDefault="002D3ED8" w:rsidP="002D3ED8">
      <w:pPr>
        <w:numPr>
          <w:ilvl w:val="0"/>
          <w:numId w:val="1"/>
        </w:numPr>
        <w:spacing w:after="0" w:line="240" w:lineRule="auto"/>
        <w:ind w:left="720"/>
        <w:contextualSpacing/>
        <w:rPr>
          <w:rFonts w:eastAsia="Times New Roman" w:cs="Calibri"/>
          <w:sz w:val="24"/>
          <w:szCs w:val="24"/>
          <w:u w:val="single"/>
        </w:rPr>
      </w:pPr>
      <w:r w:rsidRPr="002D3ED8">
        <w:rPr>
          <w:rFonts w:eastAsia="Times New Roman" w:cs="Calibri"/>
          <w:sz w:val="24"/>
          <w:szCs w:val="24"/>
        </w:rPr>
        <w:t>PLA Web CE continues to perform well, bringing in $25,279 and exceeding the budgeted $15K by 40%</w:t>
      </w:r>
      <w:bookmarkStart w:id="0" w:name="_Hlk100524613"/>
      <w:r w:rsidRPr="002D3ED8">
        <w:rPr>
          <w:rFonts w:eastAsia="Times New Roman" w:cs="Calibri"/>
          <w:sz w:val="24"/>
          <w:szCs w:val="24"/>
        </w:rPr>
        <w:t xml:space="preserve">. </w:t>
      </w:r>
    </w:p>
    <w:p w14:paraId="528A9595" w14:textId="77777777" w:rsidR="002D3ED8" w:rsidRPr="002D3ED8" w:rsidRDefault="002D3ED8" w:rsidP="002D3ED8">
      <w:pPr>
        <w:numPr>
          <w:ilvl w:val="0"/>
          <w:numId w:val="1"/>
        </w:numPr>
        <w:spacing w:after="0" w:line="240" w:lineRule="auto"/>
        <w:ind w:left="720"/>
        <w:contextualSpacing/>
        <w:rPr>
          <w:rFonts w:eastAsia="Times New Roman" w:cs="Calibri"/>
          <w:sz w:val="24"/>
          <w:szCs w:val="24"/>
          <w:u w:val="single"/>
        </w:rPr>
      </w:pPr>
      <w:r w:rsidRPr="002D3ED8">
        <w:rPr>
          <w:rFonts w:eastAsia="Times New Roman" w:cs="Calibri"/>
          <w:sz w:val="24"/>
          <w:szCs w:val="24"/>
        </w:rPr>
        <w:t xml:space="preserve">Receipt of revenue for the completion of Digital Learn microsites begun in FY22 brought in revenue of $15,000, putting revenue 70% higher than the budgeted $5,000. </w:t>
      </w:r>
    </w:p>
    <w:p w14:paraId="29995C88" w14:textId="12FE3368" w:rsidR="002D3ED8" w:rsidRPr="002D3ED8" w:rsidRDefault="002D3ED8" w:rsidP="002D3ED8">
      <w:pPr>
        <w:numPr>
          <w:ilvl w:val="0"/>
          <w:numId w:val="1"/>
        </w:numPr>
        <w:spacing w:after="0" w:line="240" w:lineRule="auto"/>
        <w:ind w:left="720"/>
        <w:contextualSpacing/>
        <w:rPr>
          <w:rFonts w:eastAsia="Times New Roman" w:cs="Calibri"/>
          <w:sz w:val="24"/>
          <w:szCs w:val="24"/>
          <w:u w:val="single"/>
        </w:rPr>
      </w:pPr>
      <w:r w:rsidRPr="002D3ED8">
        <w:rPr>
          <w:rFonts w:eastAsia="Times New Roman" w:cs="Calibri"/>
          <w:i/>
          <w:iCs/>
          <w:sz w:val="24"/>
          <w:szCs w:val="24"/>
        </w:rPr>
        <w:t xml:space="preserve">Public Libraries </w:t>
      </w:r>
      <w:r w:rsidRPr="002D3ED8">
        <w:rPr>
          <w:rFonts w:eastAsia="Times New Roman" w:cs="Calibri"/>
          <w:sz w:val="24"/>
          <w:szCs w:val="24"/>
        </w:rPr>
        <w:t xml:space="preserve">magazine, budgeted to a deficit of $12K is $10K in the black as a result of controlled expenses and $23,959 in advertising sales, 40% over </w:t>
      </w:r>
      <w:r w:rsidR="00E817A8">
        <w:rPr>
          <w:rFonts w:eastAsia="Times New Roman" w:cs="Calibri"/>
          <w:sz w:val="24"/>
          <w:szCs w:val="24"/>
        </w:rPr>
        <w:t xml:space="preserve">Q1 </w:t>
      </w:r>
      <w:r w:rsidRPr="002D3ED8">
        <w:rPr>
          <w:rFonts w:eastAsia="Times New Roman" w:cs="Calibri"/>
          <w:sz w:val="24"/>
          <w:szCs w:val="24"/>
        </w:rPr>
        <w:t xml:space="preserve">budgeted sales of $14,200. </w:t>
      </w:r>
    </w:p>
    <w:bookmarkEnd w:id="0"/>
    <w:p w14:paraId="7B7F9A5B" w14:textId="77777777" w:rsidR="002D3ED8" w:rsidRPr="002D3ED8" w:rsidRDefault="002D3ED8" w:rsidP="002D3ED8">
      <w:pPr>
        <w:numPr>
          <w:ilvl w:val="0"/>
          <w:numId w:val="1"/>
        </w:numPr>
        <w:spacing w:after="0" w:line="240" w:lineRule="auto"/>
        <w:ind w:left="720"/>
        <w:contextualSpacing/>
        <w:rPr>
          <w:rFonts w:eastAsia="Times New Roman" w:cs="Calibri"/>
          <w:sz w:val="24"/>
          <w:szCs w:val="24"/>
          <w:u w:val="single"/>
        </w:rPr>
      </w:pPr>
      <w:r w:rsidRPr="002D3ED8">
        <w:rPr>
          <w:rFonts w:eastAsia="Times New Roman" w:cs="Calibri"/>
          <w:sz w:val="24"/>
          <w:szCs w:val="24"/>
        </w:rPr>
        <w:lastRenderedPageBreak/>
        <w:t xml:space="preserve">Lagging conference expenses (commissions, registration fees) recorded in FY23Q1 amounted to $10,030, including $7,880 in group registration fees. This revenue credited in FY22, appearing in arrears due to an outstanding municipal invoice. Payment is expected in Q2. </w:t>
      </w:r>
    </w:p>
    <w:p w14:paraId="695183CD" w14:textId="77777777" w:rsidR="002D3ED8" w:rsidRPr="002D3ED8" w:rsidRDefault="002D3ED8" w:rsidP="002D3ED8">
      <w:pPr>
        <w:spacing w:after="0" w:line="240" w:lineRule="auto"/>
        <w:rPr>
          <w:rFonts w:eastAsia="Times New Roman" w:cs="Calibri"/>
          <w:sz w:val="24"/>
          <w:szCs w:val="24"/>
          <w:u w:val="single"/>
        </w:rPr>
      </w:pPr>
    </w:p>
    <w:p w14:paraId="773A3B4B" w14:textId="77777777" w:rsidR="002D3ED8" w:rsidRPr="002D3ED8" w:rsidRDefault="002D3ED8" w:rsidP="002D3ED8">
      <w:pPr>
        <w:spacing w:after="0" w:line="240" w:lineRule="auto"/>
        <w:rPr>
          <w:rFonts w:eastAsia="Times New Roman" w:cs="Calibri"/>
          <w:sz w:val="24"/>
          <w:szCs w:val="24"/>
          <w:u w:val="single"/>
        </w:rPr>
      </w:pPr>
      <w:r w:rsidRPr="002D3ED8">
        <w:rPr>
          <w:rFonts w:eastAsia="Times New Roman" w:cs="Calibri"/>
          <w:sz w:val="24"/>
          <w:szCs w:val="24"/>
          <w:u w:val="single"/>
        </w:rPr>
        <w:t>Long Term Investments</w:t>
      </w:r>
    </w:p>
    <w:p w14:paraId="100194B3" w14:textId="77777777" w:rsidR="002D3ED8" w:rsidRPr="002D3ED8" w:rsidRDefault="002D3ED8" w:rsidP="002D3ED8">
      <w:pPr>
        <w:spacing w:after="0" w:line="240" w:lineRule="auto"/>
        <w:rPr>
          <w:rFonts w:eastAsia="Times New Roman" w:cs="Calibri"/>
          <w:sz w:val="24"/>
          <w:szCs w:val="24"/>
          <w:u w:val="single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171"/>
        <w:gridCol w:w="4919"/>
      </w:tblGrid>
      <w:tr w:rsidR="002D3ED8" w:rsidRPr="002D3ED8" w14:paraId="42C5F55A" w14:textId="77777777" w:rsidTr="007C7528">
        <w:trPr>
          <w:trHeight w:val="440"/>
        </w:trPr>
        <w:tc>
          <w:tcPr>
            <w:tcW w:w="4171" w:type="dxa"/>
            <w:vAlign w:val="bottom"/>
          </w:tcPr>
          <w:p w14:paraId="27B25299" w14:textId="77777777" w:rsidR="002D3ED8" w:rsidRPr="002D3ED8" w:rsidRDefault="002D3ED8" w:rsidP="002D3ED8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2D3ED8">
              <w:rPr>
                <w:rFonts w:cs="Calibri"/>
                <w:b/>
                <w:bCs/>
                <w:sz w:val="24"/>
                <w:szCs w:val="24"/>
              </w:rPr>
              <w:t xml:space="preserve">LONG TERM INVESTMENT </w:t>
            </w:r>
          </w:p>
        </w:tc>
        <w:tc>
          <w:tcPr>
            <w:tcW w:w="4919" w:type="dxa"/>
            <w:vAlign w:val="bottom"/>
          </w:tcPr>
          <w:p w14:paraId="7F177A90" w14:textId="77777777" w:rsidR="002D3ED8" w:rsidRPr="002D3ED8" w:rsidRDefault="002D3ED8" w:rsidP="002D3ED8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2D3ED8">
              <w:rPr>
                <w:rFonts w:cs="Calibri"/>
                <w:b/>
                <w:bCs/>
                <w:sz w:val="24"/>
                <w:szCs w:val="24"/>
              </w:rPr>
              <w:t>FY23 Q1 Actual (November 2022)</w:t>
            </w:r>
          </w:p>
        </w:tc>
      </w:tr>
      <w:tr w:rsidR="002D3ED8" w:rsidRPr="002D3ED8" w14:paraId="6A3A4E37" w14:textId="77777777" w:rsidTr="007C7528">
        <w:trPr>
          <w:trHeight w:val="413"/>
        </w:trPr>
        <w:tc>
          <w:tcPr>
            <w:tcW w:w="4171" w:type="dxa"/>
            <w:vAlign w:val="bottom"/>
          </w:tcPr>
          <w:p w14:paraId="3F624E18" w14:textId="77777777" w:rsidR="002D3ED8" w:rsidRPr="002D3ED8" w:rsidRDefault="002D3ED8" w:rsidP="002D3ED8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2D3ED8">
              <w:rPr>
                <w:rFonts w:cs="Calibri"/>
                <w:b/>
                <w:bCs/>
                <w:sz w:val="24"/>
                <w:szCs w:val="24"/>
              </w:rPr>
              <w:t>Beginning Balance FY23</w:t>
            </w:r>
          </w:p>
        </w:tc>
        <w:tc>
          <w:tcPr>
            <w:tcW w:w="4919" w:type="dxa"/>
            <w:vAlign w:val="bottom"/>
          </w:tcPr>
          <w:p w14:paraId="395AC4BD" w14:textId="77777777" w:rsidR="002D3ED8" w:rsidRPr="002D3ED8" w:rsidRDefault="002D3ED8" w:rsidP="002D3ED8">
            <w:pPr>
              <w:jc w:val="right"/>
              <w:rPr>
                <w:rFonts w:cs="Calibri"/>
                <w:sz w:val="24"/>
                <w:szCs w:val="24"/>
              </w:rPr>
            </w:pPr>
            <w:r w:rsidRPr="002D3ED8">
              <w:rPr>
                <w:rFonts w:cs="Calibri"/>
                <w:sz w:val="24"/>
                <w:szCs w:val="24"/>
              </w:rPr>
              <w:t>$1,761,881</w:t>
            </w:r>
          </w:p>
        </w:tc>
      </w:tr>
      <w:tr w:rsidR="002D3ED8" w:rsidRPr="002D3ED8" w14:paraId="6978AC9F" w14:textId="77777777" w:rsidTr="007C7528">
        <w:trPr>
          <w:trHeight w:val="431"/>
        </w:trPr>
        <w:tc>
          <w:tcPr>
            <w:tcW w:w="4171" w:type="dxa"/>
            <w:vAlign w:val="bottom"/>
          </w:tcPr>
          <w:p w14:paraId="59D77FBA" w14:textId="77777777" w:rsidR="002D3ED8" w:rsidRPr="002D3ED8" w:rsidRDefault="002D3ED8" w:rsidP="002D3ED8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2D3ED8">
              <w:rPr>
                <w:rFonts w:cs="Calibri"/>
                <w:b/>
                <w:bCs/>
                <w:sz w:val="24"/>
                <w:szCs w:val="24"/>
              </w:rPr>
              <w:t>Interest/Dividends FY23</w:t>
            </w:r>
          </w:p>
        </w:tc>
        <w:tc>
          <w:tcPr>
            <w:tcW w:w="4919" w:type="dxa"/>
            <w:vAlign w:val="bottom"/>
          </w:tcPr>
          <w:p w14:paraId="3B4BE40D" w14:textId="77777777" w:rsidR="002D3ED8" w:rsidRPr="002D3ED8" w:rsidRDefault="002D3ED8" w:rsidP="002D3ED8">
            <w:pPr>
              <w:jc w:val="right"/>
              <w:rPr>
                <w:rFonts w:cs="Calibri"/>
                <w:sz w:val="24"/>
                <w:szCs w:val="24"/>
              </w:rPr>
            </w:pPr>
            <w:r w:rsidRPr="002D3ED8">
              <w:rPr>
                <w:rFonts w:cs="Calibri"/>
                <w:sz w:val="24"/>
                <w:szCs w:val="24"/>
              </w:rPr>
              <w:t>$17,246</w:t>
            </w:r>
          </w:p>
        </w:tc>
      </w:tr>
      <w:tr w:rsidR="002D3ED8" w:rsidRPr="002D3ED8" w14:paraId="4CA74F0F" w14:textId="77777777" w:rsidTr="007C7528">
        <w:trPr>
          <w:trHeight w:val="440"/>
        </w:trPr>
        <w:tc>
          <w:tcPr>
            <w:tcW w:w="4171" w:type="dxa"/>
            <w:vAlign w:val="bottom"/>
          </w:tcPr>
          <w:p w14:paraId="55835129" w14:textId="77777777" w:rsidR="002D3ED8" w:rsidRPr="002D3ED8" w:rsidRDefault="002D3ED8" w:rsidP="002D3ED8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2D3ED8">
              <w:rPr>
                <w:rFonts w:cs="Calibri"/>
                <w:b/>
                <w:bCs/>
                <w:sz w:val="24"/>
                <w:szCs w:val="24"/>
              </w:rPr>
              <w:t>Direct Expenses FY23</w:t>
            </w:r>
          </w:p>
        </w:tc>
        <w:tc>
          <w:tcPr>
            <w:tcW w:w="4919" w:type="dxa"/>
            <w:vAlign w:val="bottom"/>
          </w:tcPr>
          <w:p w14:paraId="29CD8656" w14:textId="77777777" w:rsidR="002D3ED8" w:rsidRPr="002D3ED8" w:rsidRDefault="002D3ED8" w:rsidP="002D3ED8">
            <w:pPr>
              <w:jc w:val="right"/>
              <w:rPr>
                <w:rFonts w:cs="Calibri"/>
                <w:sz w:val="24"/>
                <w:szCs w:val="24"/>
              </w:rPr>
            </w:pPr>
            <w:r w:rsidRPr="002D3ED8">
              <w:rPr>
                <w:rFonts w:cs="Calibri"/>
                <w:sz w:val="24"/>
                <w:szCs w:val="24"/>
              </w:rPr>
              <w:t>($2,601)</w:t>
            </w:r>
          </w:p>
        </w:tc>
      </w:tr>
      <w:tr w:rsidR="002D3ED8" w:rsidRPr="002D3ED8" w14:paraId="0DEC8F2E" w14:textId="77777777" w:rsidTr="007C7528">
        <w:trPr>
          <w:trHeight w:val="440"/>
        </w:trPr>
        <w:tc>
          <w:tcPr>
            <w:tcW w:w="4171" w:type="dxa"/>
            <w:vAlign w:val="bottom"/>
          </w:tcPr>
          <w:p w14:paraId="4990C6AB" w14:textId="77777777" w:rsidR="002D3ED8" w:rsidRPr="002D3ED8" w:rsidRDefault="002D3ED8" w:rsidP="002D3ED8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2D3ED8">
              <w:rPr>
                <w:rFonts w:cs="Calibri"/>
                <w:b/>
                <w:bCs/>
                <w:sz w:val="24"/>
                <w:szCs w:val="24"/>
              </w:rPr>
              <w:t>Expenses FY23</w:t>
            </w:r>
          </w:p>
        </w:tc>
        <w:tc>
          <w:tcPr>
            <w:tcW w:w="4919" w:type="dxa"/>
            <w:vAlign w:val="bottom"/>
          </w:tcPr>
          <w:p w14:paraId="52226E41" w14:textId="77777777" w:rsidR="002D3ED8" w:rsidRPr="002D3ED8" w:rsidRDefault="002D3ED8" w:rsidP="002D3ED8">
            <w:pPr>
              <w:jc w:val="right"/>
              <w:rPr>
                <w:rFonts w:cs="Calibri"/>
                <w:sz w:val="24"/>
                <w:szCs w:val="24"/>
              </w:rPr>
            </w:pPr>
            <w:r w:rsidRPr="002D3ED8">
              <w:rPr>
                <w:rFonts w:cs="Calibri"/>
                <w:sz w:val="24"/>
                <w:szCs w:val="24"/>
              </w:rPr>
              <w:t>$0</w:t>
            </w:r>
          </w:p>
        </w:tc>
      </w:tr>
      <w:tr w:rsidR="002D3ED8" w:rsidRPr="002D3ED8" w14:paraId="3CC5D388" w14:textId="77777777" w:rsidTr="007C7528">
        <w:trPr>
          <w:trHeight w:val="440"/>
        </w:trPr>
        <w:tc>
          <w:tcPr>
            <w:tcW w:w="4171" w:type="dxa"/>
            <w:vAlign w:val="bottom"/>
          </w:tcPr>
          <w:p w14:paraId="473D89D6" w14:textId="77777777" w:rsidR="002D3ED8" w:rsidRPr="002D3ED8" w:rsidRDefault="002D3ED8" w:rsidP="002D3ED8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2D3ED8">
              <w:rPr>
                <w:rFonts w:cs="Calibri"/>
                <w:b/>
                <w:bCs/>
                <w:sz w:val="24"/>
                <w:szCs w:val="24"/>
              </w:rPr>
              <w:t>Realized Gaines</w:t>
            </w:r>
          </w:p>
        </w:tc>
        <w:tc>
          <w:tcPr>
            <w:tcW w:w="4919" w:type="dxa"/>
            <w:vAlign w:val="bottom"/>
          </w:tcPr>
          <w:p w14:paraId="1EDDC471" w14:textId="77777777" w:rsidR="002D3ED8" w:rsidRPr="002D3ED8" w:rsidRDefault="002D3ED8" w:rsidP="002D3ED8">
            <w:pPr>
              <w:jc w:val="right"/>
              <w:rPr>
                <w:rFonts w:cs="Calibri"/>
                <w:sz w:val="24"/>
                <w:szCs w:val="24"/>
              </w:rPr>
            </w:pPr>
            <w:r w:rsidRPr="002D3ED8">
              <w:rPr>
                <w:rFonts w:cs="Calibri"/>
                <w:sz w:val="24"/>
                <w:szCs w:val="24"/>
              </w:rPr>
              <w:t>($2,523)</w:t>
            </w:r>
          </w:p>
        </w:tc>
      </w:tr>
      <w:tr w:rsidR="002D3ED8" w:rsidRPr="002D3ED8" w14:paraId="36FC5C21" w14:textId="77777777" w:rsidTr="007C7528">
        <w:trPr>
          <w:trHeight w:val="440"/>
        </w:trPr>
        <w:tc>
          <w:tcPr>
            <w:tcW w:w="4171" w:type="dxa"/>
            <w:vAlign w:val="bottom"/>
          </w:tcPr>
          <w:p w14:paraId="0C50CFE4" w14:textId="77777777" w:rsidR="002D3ED8" w:rsidRPr="002D3ED8" w:rsidRDefault="002D3ED8" w:rsidP="002D3ED8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2D3ED8">
              <w:rPr>
                <w:rFonts w:cs="Calibri"/>
                <w:b/>
                <w:bCs/>
                <w:sz w:val="24"/>
                <w:szCs w:val="24"/>
              </w:rPr>
              <w:t>Unrealized Gaines</w:t>
            </w:r>
          </w:p>
        </w:tc>
        <w:tc>
          <w:tcPr>
            <w:tcW w:w="4919" w:type="dxa"/>
            <w:vAlign w:val="bottom"/>
          </w:tcPr>
          <w:p w14:paraId="13441C3F" w14:textId="77777777" w:rsidR="002D3ED8" w:rsidRPr="002D3ED8" w:rsidRDefault="002D3ED8" w:rsidP="002D3ED8">
            <w:pPr>
              <w:jc w:val="right"/>
              <w:rPr>
                <w:rFonts w:cs="Calibri"/>
                <w:sz w:val="24"/>
                <w:szCs w:val="24"/>
              </w:rPr>
            </w:pPr>
            <w:r w:rsidRPr="002D3ED8">
              <w:rPr>
                <w:rFonts w:cs="Calibri"/>
                <w:sz w:val="24"/>
                <w:szCs w:val="24"/>
              </w:rPr>
              <w:t>$1,796</w:t>
            </w:r>
          </w:p>
        </w:tc>
      </w:tr>
      <w:tr w:rsidR="002D3ED8" w:rsidRPr="002D3ED8" w14:paraId="2657A541" w14:textId="77777777" w:rsidTr="007C7528">
        <w:trPr>
          <w:trHeight w:val="404"/>
        </w:trPr>
        <w:tc>
          <w:tcPr>
            <w:tcW w:w="4171" w:type="dxa"/>
            <w:vAlign w:val="bottom"/>
          </w:tcPr>
          <w:p w14:paraId="0A671D28" w14:textId="77777777" w:rsidR="002D3ED8" w:rsidRPr="002D3ED8" w:rsidRDefault="002D3ED8" w:rsidP="002D3ED8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2D3ED8">
              <w:rPr>
                <w:rFonts w:cs="Calibri"/>
                <w:b/>
                <w:bCs/>
                <w:sz w:val="24"/>
                <w:szCs w:val="24"/>
              </w:rPr>
              <w:t>Ending Net Assets FY23</w:t>
            </w:r>
          </w:p>
        </w:tc>
        <w:tc>
          <w:tcPr>
            <w:tcW w:w="4919" w:type="dxa"/>
            <w:vAlign w:val="bottom"/>
          </w:tcPr>
          <w:p w14:paraId="30D63FBB" w14:textId="77777777" w:rsidR="002D3ED8" w:rsidRPr="002D3ED8" w:rsidRDefault="002D3ED8" w:rsidP="002D3ED8">
            <w:pPr>
              <w:jc w:val="right"/>
              <w:rPr>
                <w:rFonts w:cs="Calibri"/>
                <w:sz w:val="24"/>
                <w:szCs w:val="24"/>
              </w:rPr>
            </w:pPr>
            <w:r w:rsidRPr="002D3ED8">
              <w:rPr>
                <w:rFonts w:cs="Calibri"/>
                <w:sz w:val="24"/>
                <w:szCs w:val="24"/>
              </w:rPr>
              <w:t>$1,775,799</w:t>
            </w:r>
          </w:p>
        </w:tc>
      </w:tr>
    </w:tbl>
    <w:p w14:paraId="0B6B6A8F" w14:textId="77777777" w:rsidR="002D3ED8" w:rsidRPr="002D3ED8" w:rsidRDefault="002D3ED8" w:rsidP="002D3ED8">
      <w:pPr>
        <w:spacing w:after="0" w:line="240" w:lineRule="auto"/>
        <w:rPr>
          <w:rFonts w:eastAsia="Times New Roman" w:cs="Calibri"/>
          <w:sz w:val="24"/>
          <w:szCs w:val="24"/>
          <w:u w:val="single"/>
        </w:rPr>
      </w:pPr>
    </w:p>
    <w:p w14:paraId="32E3AF6A" w14:textId="77777777" w:rsidR="002D3ED8" w:rsidRPr="002D3ED8" w:rsidRDefault="002D3ED8" w:rsidP="002D3ED8">
      <w:pPr>
        <w:spacing w:after="0" w:line="240" w:lineRule="auto"/>
        <w:rPr>
          <w:rFonts w:eastAsia="Times New Roman" w:cs="Calibri"/>
          <w:strike/>
          <w:color w:val="FF0000"/>
          <w:sz w:val="24"/>
          <w:szCs w:val="24"/>
          <w:u w:val="single"/>
        </w:rPr>
      </w:pPr>
      <w:r w:rsidRPr="002D3ED8">
        <w:rPr>
          <w:rFonts w:eastAsia="Times New Roman" w:cs="Calibri"/>
          <w:sz w:val="24"/>
          <w:szCs w:val="24"/>
        </w:rPr>
        <w:t>Beginning Long Term Investment (LTI) Net Assets appear as $1,867,022 in FY22 close, but as $1,775,799 in the FY23Q1 Performance Reports. Per K. Brown, ALA Senior Financial Analyst, this figure will correct to the $1,867,022 showing as it should be.</w:t>
      </w:r>
    </w:p>
    <w:p w14:paraId="63CD4993" w14:textId="77777777" w:rsidR="002D3ED8" w:rsidRPr="002D3ED8" w:rsidRDefault="002D3ED8" w:rsidP="002D3ED8">
      <w:pPr>
        <w:spacing w:after="0" w:line="240" w:lineRule="auto"/>
        <w:ind w:left="360"/>
        <w:rPr>
          <w:rFonts w:eastAsia="Times New Roman" w:cs="Calibri"/>
          <w:sz w:val="24"/>
          <w:szCs w:val="24"/>
          <w:u w:val="single"/>
        </w:rPr>
      </w:pPr>
    </w:p>
    <w:p w14:paraId="558C84F6" w14:textId="77777777" w:rsidR="002D3ED8" w:rsidRPr="002D3ED8" w:rsidRDefault="002D3ED8" w:rsidP="002D3ED8">
      <w:pPr>
        <w:spacing w:after="0" w:line="240" w:lineRule="auto"/>
        <w:rPr>
          <w:rFonts w:eastAsia="Times New Roman" w:cs="Calibri"/>
          <w:sz w:val="24"/>
          <w:szCs w:val="24"/>
        </w:rPr>
      </w:pPr>
      <w:r w:rsidRPr="002D3ED8">
        <w:rPr>
          <w:rFonts w:eastAsia="Times New Roman" w:cs="Calibri"/>
          <w:sz w:val="24"/>
          <w:szCs w:val="24"/>
          <w:u w:val="single"/>
        </w:rPr>
        <w:t>Grant Budgets:</w:t>
      </w:r>
      <w:r w:rsidRPr="002D3ED8">
        <w:rPr>
          <w:rFonts w:eastAsia="Times New Roman" w:cs="Calibri"/>
          <w:sz w:val="24"/>
          <w:szCs w:val="24"/>
        </w:rPr>
        <w:t xml:space="preserve"> </w:t>
      </w:r>
    </w:p>
    <w:p w14:paraId="0AD5B52D" w14:textId="77777777" w:rsidR="002D3ED8" w:rsidRPr="002D3ED8" w:rsidRDefault="002D3ED8" w:rsidP="002D3ED8">
      <w:pPr>
        <w:spacing w:after="0" w:line="240" w:lineRule="auto"/>
        <w:rPr>
          <w:rFonts w:eastAsia="Times New Roman" w:cs="Calibri"/>
          <w:sz w:val="24"/>
          <w:szCs w:val="24"/>
        </w:rPr>
      </w:pPr>
    </w:p>
    <w:tbl>
      <w:tblPr>
        <w:tblW w:w="911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1890"/>
        <w:gridCol w:w="1828"/>
        <w:gridCol w:w="1710"/>
      </w:tblGrid>
      <w:tr w:rsidR="002D3ED8" w:rsidRPr="002D3ED8" w14:paraId="1F908BF2" w14:textId="77777777" w:rsidTr="007C7528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439430BA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  <w:iCs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GRANT FUNDS (47&amp;48)</w:t>
            </w:r>
          </w:p>
          <w:p w14:paraId="271E1DF2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  <w:iCs/>
                <w:sz w:val="24"/>
                <w:szCs w:val="24"/>
              </w:rPr>
            </w:pPr>
          </w:p>
          <w:p w14:paraId="496FA69A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90" w:type="dxa"/>
            <w:noWrap/>
            <w:hideMark/>
          </w:tcPr>
          <w:p w14:paraId="5B574C0B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 xml:space="preserve">FY23 Q1 </w:t>
            </w:r>
          </w:p>
          <w:p w14:paraId="3F0D23A1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 xml:space="preserve"> Budget</w:t>
            </w:r>
          </w:p>
        </w:tc>
        <w:tc>
          <w:tcPr>
            <w:tcW w:w="1828" w:type="dxa"/>
            <w:noWrap/>
            <w:hideMark/>
          </w:tcPr>
          <w:p w14:paraId="761CA4F6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FY23 Q1 YTD Actual</w:t>
            </w:r>
          </w:p>
        </w:tc>
        <w:tc>
          <w:tcPr>
            <w:tcW w:w="1710" w:type="dxa"/>
            <w:noWrap/>
            <w:hideMark/>
          </w:tcPr>
          <w:p w14:paraId="43F16A87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FY23 Q1 Variance</w:t>
            </w:r>
          </w:p>
        </w:tc>
      </w:tr>
      <w:tr w:rsidR="002D3ED8" w:rsidRPr="002D3ED8" w14:paraId="6A5533B4" w14:textId="77777777" w:rsidTr="007C7528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075580A9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Total Revenues</w:t>
            </w:r>
          </w:p>
        </w:tc>
        <w:tc>
          <w:tcPr>
            <w:tcW w:w="1890" w:type="dxa"/>
            <w:noWrap/>
            <w:vAlign w:val="bottom"/>
            <w:hideMark/>
          </w:tcPr>
          <w:p w14:paraId="76357A48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eastAsia="Times New Roman" w:cs="Calibri"/>
                <w:sz w:val="24"/>
                <w:szCs w:val="24"/>
              </w:rPr>
              <w:t>$252,486</w:t>
            </w:r>
          </w:p>
        </w:tc>
        <w:tc>
          <w:tcPr>
            <w:tcW w:w="1828" w:type="dxa"/>
            <w:noWrap/>
            <w:vAlign w:val="bottom"/>
            <w:hideMark/>
          </w:tcPr>
          <w:p w14:paraId="7CA10068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eastAsia="Times New Roman" w:cs="Calibri"/>
                <w:sz w:val="24"/>
                <w:szCs w:val="24"/>
              </w:rPr>
              <w:t>$990,773</w:t>
            </w:r>
          </w:p>
        </w:tc>
        <w:tc>
          <w:tcPr>
            <w:tcW w:w="1710" w:type="dxa"/>
            <w:noWrap/>
            <w:vAlign w:val="bottom"/>
            <w:hideMark/>
          </w:tcPr>
          <w:p w14:paraId="4799977B" w14:textId="3A0A098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eastAsia="Times New Roman" w:cs="Calibri"/>
                <w:sz w:val="24"/>
                <w:szCs w:val="24"/>
              </w:rPr>
              <w:t>$738,287</w:t>
            </w:r>
          </w:p>
        </w:tc>
      </w:tr>
      <w:tr w:rsidR="002D3ED8" w:rsidRPr="002D3ED8" w14:paraId="15A0B3DA" w14:textId="77777777" w:rsidTr="007C7528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61AD816A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Total Expenses before OH and tax</w:t>
            </w:r>
          </w:p>
        </w:tc>
        <w:tc>
          <w:tcPr>
            <w:tcW w:w="1890" w:type="dxa"/>
            <w:noWrap/>
            <w:vAlign w:val="bottom"/>
            <w:hideMark/>
          </w:tcPr>
          <w:p w14:paraId="584AB778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eastAsia="Times New Roman" w:cs="Calibri"/>
                <w:sz w:val="24"/>
                <w:szCs w:val="24"/>
              </w:rPr>
              <w:t>($222,591)</w:t>
            </w:r>
          </w:p>
        </w:tc>
        <w:tc>
          <w:tcPr>
            <w:tcW w:w="1828" w:type="dxa"/>
            <w:noWrap/>
            <w:vAlign w:val="bottom"/>
            <w:hideMark/>
          </w:tcPr>
          <w:p w14:paraId="456D4904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eastAsia="Times New Roman" w:cs="Calibri"/>
                <w:sz w:val="24"/>
                <w:szCs w:val="24"/>
              </w:rPr>
              <w:t>($919,400)</w:t>
            </w:r>
          </w:p>
        </w:tc>
        <w:tc>
          <w:tcPr>
            <w:tcW w:w="1710" w:type="dxa"/>
            <w:noWrap/>
            <w:vAlign w:val="bottom"/>
            <w:hideMark/>
          </w:tcPr>
          <w:p w14:paraId="0C96F0CE" w14:textId="0C2A3671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eastAsia="Times New Roman" w:cs="Calibri"/>
                <w:sz w:val="24"/>
                <w:szCs w:val="24"/>
              </w:rPr>
              <w:t xml:space="preserve"> ($696,809)</w:t>
            </w:r>
          </w:p>
        </w:tc>
      </w:tr>
      <w:tr w:rsidR="002D3ED8" w:rsidRPr="002D3ED8" w14:paraId="3F2A2820" w14:textId="77777777" w:rsidTr="007C7528">
        <w:trPr>
          <w:trHeight w:val="287"/>
        </w:trPr>
        <w:tc>
          <w:tcPr>
            <w:tcW w:w="3684" w:type="dxa"/>
            <w:noWrap/>
            <w:vAlign w:val="bottom"/>
            <w:hideMark/>
          </w:tcPr>
          <w:p w14:paraId="512081B2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 xml:space="preserve">Overhead </w:t>
            </w:r>
          </w:p>
        </w:tc>
        <w:tc>
          <w:tcPr>
            <w:tcW w:w="1890" w:type="dxa"/>
            <w:noWrap/>
            <w:vAlign w:val="bottom"/>
            <w:hideMark/>
          </w:tcPr>
          <w:p w14:paraId="671C58C9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eastAsia="Times New Roman" w:cs="Calibri"/>
                <w:sz w:val="24"/>
                <w:szCs w:val="24"/>
              </w:rPr>
              <w:t>($29,895)</w:t>
            </w:r>
          </w:p>
        </w:tc>
        <w:tc>
          <w:tcPr>
            <w:tcW w:w="1828" w:type="dxa"/>
            <w:noWrap/>
            <w:vAlign w:val="bottom"/>
            <w:hideMark/>
          </w:tcPr>
          <w:p w14:paraId="45871007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eastAsia="Times New Roman" w:cs="Calibri"/>
                <w:sz w:val="24"/>
                <w:szCs w:val="24"/>
              </w:rPr>
              <w:t>($31,553)</w:t>
            </w:r>
          </w:p>
        </w:tc>
        <w:tc>
          <w:tcPr>
            <w:tcW w:w="1710" w:type="dxa"/>
            <w:noWrap/>
            <w:vAlign w:val="bottom"/>
            <w:hideMark/>
          </w:tcPr>
          <w:p w14:paraId="697EC3CB" w14:textId="0D71007D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eastAsia="Times New Roman" w:cs="Calibri"/>
                <w:sz w:val="24"/>
                <w:szCs w:val="24"/>
              </w:rPr>
              <w:t>($1,658)</w:t>
            </w:r>
          </w:p>
        </w:tc>
      </w:tr>
      <w:tr w:rsidR="002D3ED8" w:rsidRPr="002D3ED8" w14:paraId="55CED376" w14:textId="77777777" w:rsidTr="007C7528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4F52243F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14:paraId="1D456FD0" w14:textId="77777777" w:rsidR="002D3ED8" w:rsidRPr="002D3ED8" w:rsidRDefault="002D3ED8" w:rsidP="002D3ED8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828" w:type="dxa"/>
            <w:noWrap/>
            <w:vAlign w:val="bottom"/>
            <w:hideMark/>
          </w:tcPr>
          <w:p w14:paraId="0BDF39C2" w14:textId="77777777" w:rsidR="002D3ED8" w:rsidRPr="002D3ED8" w:rsidRDefault="002D3ED8" w:rsidP="002D3ED8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10" w:type="dxa"/>
            <w:noWrap/>
            <w:vAlign w:val="bottom"/>
            <w:hideMark/>
          </w:tcPr>
          <w:p w14:paraId="0DB78DFD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2D3ED8" w:rsidRPr="002D3ED8" w14:paraId="628EA508" w14:textId="77777777" w:rsidTr="007C7528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7A934AAD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</w:p>
        </w:tc>
        <w:tc>
          <w:tcPr>
            <w:tcW w:w="1890" w:type="dxa"/>
            <w:noWrap/>
            <w:vAlign w:val="bottom"/>
            <w:hideMark/>
          </w:tcPr>
          <w:p w14:paraId="7FA4D5DD" w14:textId="77777777" w:rsidR="002D3ED8" w:rsidRPr="002D3ED8" w:rsidRDefault="002D3ED8" w:rsidP="002D3ED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YTD Budget</w:t>
            </w:r>
          </w:p>
        </w:tc>
        <w:tc>
          <w:tcPr>
            <w:tcW w:w="1828" w:type="dxa"/>
            <w:noWrap/>
            <w:vAlign w:val="bottom"/>
            <w:hideMark/>
          </w:tcPr>
          <w:p w14:paraId="71AD8BC6" w14:textId="77777777" w:rsidR="002D3ED8" w:rsidRPr="002D3ED8" w:rsidRDefault="002D3ED8" w:rsidP="002D3ED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YTD Actual</w:t>
            </w:r>
          </w:p>
        </w:tc>
        <w:tc>
          <w:tcPr>
            <w:tcW w:w="1710" w:type="dxa"/>
            <w:noWrap/>
            <w:vAlign w:val="bottom"/>
            <w:hideMark/>
          </w:tcPr>
          <w:p w14:paraId="29D81AF3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Variance</w:t>
            </w:r>
          </w:p>
        </w:tc>
      </w:tr>
      <w:tr w:rsidR="002D3ED8" w:rsidRPr="002D3ED8" w14:paraId="5489001C" w14:textId="77777777" w:rsidTr="007C7528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155E0C0F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b/>
                <w:sz w:val="24"/>
                <w:szCs w:val="24"/>
              </w:rPr>
            </w:pPr>
            <w:r w:rsidRPr="002D3ED8">
              <w:rPr>
                <w:rFonts w:eastAsia="Times New Roman" w:cs="Calibri"/>
                <w:b/>
                <w:sz w:val="24"/>
                <w:szCs w:val="24"/>
              </w:rPr>
              <w:t>Net Revenue (Expense)</w:t>
            </w:r>
          </w:p>
        </w:tc>
        <w:tc>
          <w:tcPr>
            <w:tcW w:w="1890" w:type="dxa"/>
            <w:noWrap/>
            <w:vAlign w:val="bottom"/>
            <w:hideMark/>
          </w:tcPr>
          <w:p w14:paraId="5401615B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eastAsia="Times New Roman" w:cs="Calibri"/>
                <w:sz w:val="24"/>
                <w:szCs w:val="24"/>
              </w:rPr>
              <w:t>$0</w:t>
            </w:r>
          </w:p>
        </w:tc>
        <w:tc>
          <w:tcPr>
            <w:tcW w:w="1828" w:type="dxa"/>
            <w:noWrap/>
            <w:vAlign w:val="bottom"/>
            <w:hideMark/>
          </w:tcPr>
          <w:p w14:paraId="5400CBF4" w14:textId="77777777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eastAsia="Times New Roman" w:cs="Calibri"/>
                <w:sz w:val="24"/>
                <w:szCs w:val="24"/>
              </w:rPr>
              <w:t>39,820</w:t>
            </w:r>
          </w:p>
        </w:tc>
        <w:tc>
          <w:tcPr>
            <w:tcW w:w="1710" w:type="dxa"/>
            <w:noWrap/>
            <w:vAlign w:val="bottom"/>
            <w:hideMark/>
          </w:tcPr>
          <w:p w14:paraId="3D9D3F0F" w14:textId="70DD04C5" w:rsidR="002D3ED8" w:rsidRPr="002D3ED8" w:rsidRDefault="002D3ED8" w:rsidP="002D3ED8">
            <w:pPr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</w:rPr>
            </w:pPr>
            <w:r w:rsidRPr="002D3ED8">
              <w:rPr>
                <w:rFonts w:eastAsia="Times New Roman" w:cs="Calibri"/>
                <w:sz w:val="24"/>
                <w:szCs w:val="24"/>
              </w:rPr>
              <w:t>$39,820</w:t>
            </w:r>
          </w:p>
        </w:tc>
      </w:tr>
    </w:tbl>
    <w:p w14:paraId="26D60DF6" w14:textId="77777777" w:rsidR="002D3ED8" w:rsidRPr="002D3ED8" w:rsidRDefault="002D3ED8" w:rsidP="002D3ED8">
      <w:pPr>
        <w:spacing w:after="0" w:line="240" w:lineRule="auto"/>
        <w:rPr>
          <w:rFonts w:eastAsia="Times New Roman" w:cs="Calibri"/>
          <w:sz w:val="24"/>
          <w:szCs w:val="24"/>
        </w:rPr>
      </w:pPr>
    </w:p>
    <w:p w14:paraId="7CE25D65" w14:textId="77777777" w:rsidR="002D3ED8" w:rsidRPr="002D3ED8" w:rsidRDefault="002D3ED8" w:rsidP="002D3ED8">
      <w:pPr>
        <w:spacing w:after="0" w:line="240" w:lineRule="auto"/>
        <w:rPr>
          <w:rFonts w:eastAsia="Times New Roman" w:cs="Calibri"/>
          <w:sz w:val="24"/>
          <w:szCs w:val="24"/>
        </w:rPr>
      </w:pPr>
      <w:r w:rsidRPr="002D3ED8">
        <w:rPr>
          <w:rFonts w:eastAsia="Times New Roman" w:cs="Calibri"/>
          <w:sz w:val="24"/>
          <w:szCs w:val="24"/>
        </w:rPr>
        <w:t xml:space="preserve">During Q1, PLA was awarded a new $1.1 million Digital Learn Phase III grant from AT&amp;T, bringing spending far beyond (75%) the budgeted $252,486. Two grants </w:t>
      </w:r>
      <w:r w:rsidRPr="002D3ED8">
        <w:rPr>
          <w:rFonts w:eastAsia="Times New Roman" w:cs="Calibri"/>
          <w:i/>
          <w:iCs/>
          <w:sz w:val="24"/>
          <w:szCs w:val="24"/>
        </w:rPr>
        <w:t>were included in the FY23 budget</w:t>
      </w:r>
      <w:r w:rsidRPr="002D3ED8">
        <w:rPr>
          <w:rFonts w:eastAsia="Times New Roman" w:cs="Calibri"/>
          <w:sz w:val="24"/>
          <w:szCs w:val="24"/>
        </w:rPr>
        <w:t>:</w:t>
      </w:r>
    </w:p>
    <w:p w14:paraId="1325F364" w14:textId="77777777" w:rsidR="002D3ED8" w:rsidRPr="002D3ED8" w:rsidRDefault="002D3ED8" w:rsidP="002D3ED8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2D3ED8">
        <w:rPr>
          <w:rFonts w:eastAsia="Times New Roman" w:cs="Calibri"/>
          <w:sz w:val="24"/>
          <w:szCs w:val="24"/>
        </w:rPr>
        <w:lastRenderedPageBreak/>
        <w:t xml:space="preserve">Digital Learn Phase I: spending is ahead of budget. Changes to the project timeline accelerated spending with expenses of $237,124 against a budgeted $115,398. This project closes in FY23Q2, with the progress of additional Digital Learn grants. </w:t>
      </w:r>
    </w:p>
    <w:p w14:paraId="31F6F502" w14:textId="77777777" w:rsidR="002D3ED8" w:rsidRPr="002D3ED8" w:rsidRDefault="002D3ED8" w:rsidP="002D3ED8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Calibri"/>
          <w:sz w:val="24"/>
          <w:szCs w:val="24"/>
        </w:rPr>
      </w:pPr>
      <w:r w:rsidRPr="002D3ED8">
        <w:rPr>
          <w:rFonts w:eastAsia="Times New Roman" w:cs="Calibri"/>
          <w:sz w:val="24"/>
          <w:szCs w:val="24"/>
        </w:rPr>
        <w:t xml:space="preserve">Gates Legacy Grant: spending is on budget. A total of $255,323 has been spent against a budget of $252,486.  These funds mostly support about half of PLA’s staff salary and benefits but also include continued support of Project Outcome and the Benchmark data platform. The $39,820 net revenue shown is due to timing for allocation of overhead. </w:t>
      </w:r>
    </w:p>
    <w:p w14:paraId="6A22119C" w14:textId="77777777" w:rsidR="002D3ED8" w:rsidRPr="002D3ED8" w:rsidRDefault="002D3ED8" w:rsidP="002D3ED8">
      <w:pPr>
        <w:spacing w:after="0" w:line="240" w:lineRule="auto"/>
        <w:rPr>
          <w:rFonts w:eastAsia="Times New Roman" w:cs="Calibri"/>
          <w:sz w:val="24"/>
          <w:szCs w:val="24"/>
        </w:rPr>
      </w:pPr>
    </w:p>
    <w:sectPr w:rsidR="002D3ED8" w:rsidRPr="002D3ED8" w:rsidSect="00453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030F" w14:textId="77777777" w:rsidR="00B662A9" w:rsidRDefault="00B662A9" w:rsidP="002D3ED8">
      <w:pPr>
        <w:spacing w:after="0" w:line="240" w:lineRule="auto"/>
      </w:pPr>
      <w:r>
        <w:separator/>
      </w:r>
    </w:p>
  </w:endnote>
  <w:endnote w:type="continuationSeparator" w:id="0">
    <w:p w14:paraId="28293B96" w14:textId="77777777" w:rsidR="00B662A9" w:rsidRDefault="00B662A9" w:rsidP="002D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E431" w14:textId="77777777" w:rsidR="004B6F8F" w:rsidRDefault="004B6F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D811" w14:textId="77777777" w:rsidR="00C732D4" w:rsidRDefault="00DD7D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1D64F685" w14:textId="77777777" w:rsidR="00C732D4" w:rsidRDefault="004B6F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1BAC" w14:textId="77777777" w:rsidR="004B6F8F" w:rsidRDefault="004B6F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C7F8" w14:textId="77777777" w:rsidR="00B662A9" w:rsidRDefault="00B662A9" w:rsidP="002D3ED8">
      <w:pPr>
        <w:spacing w:after="0" w:line="240" w:lineRule="auto"/>
      </w:pPr>
      <w:r>
        <w:separator/>
      </w:r>
    </w:p>
  </w:footnote>
  <w:footnote w:type="continuationSeparator" w:id="0">
    <w:p w14:paraId="56289E42" w14:textId="77777777" w:rsidR="00B662A9" w:rsidRDefault="00B662A9" w:rsidP="002D3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0883" w14:textId="77777777" w:rsidR="004B6F8F" w:rsidRDefault="004B6F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1230" w14:textId="77777777" w:rsidR="004B6F8F" w:rsidRPr="004B6F8F" w:rsidRDefault="004B6F8F" w:rsidP="004B6F8F">
    <w:pPr>
      <w:widowControl w:val="0"/>
      <w:spacing w:line="240" w:lineRule="auto"/>
      <w:contextualSpacing/>
      <w:jc w:val="right"/>
      <w:outlineLvl w:val="0"/>
      <w:rPr>
        <w:rFonts w:cs="Calibri"/>
        <w:bCs/>
      </w:rPr>
    </w:pPr>
    <w:r w:rsidRPr="004B6F8F">
      <w:rPr>
        <w:rFonts w:cs="Calibri"/>
        <w:bCs/>
      </w:rPr>
      <w:t>PLA Board of Directors</w:t>
    </w:r>
  </w:p>
  <w:p w14:paraId="31BA8C49" w14:textId="77777777" w:rsidR="004B6F8F" w:rsidRPr="004B6F8F" w:rsidRDefault="004B6F8F" w:rsidP="004B6F8F">
    <w:pPr>
      <w:widowControl w:val="0"/>
      <w:spacing w:line="240" w:lineRule="auto"/>
      <w:contextualSpacing/>
      <w:jc w:val="right"/>
      <w:outlineLvl w:val="0"/>
      <w:rPr>
        <w:rFonts w:cs="Calibri"/>
        <w:bCs/>
      </w:rPr>
    </w:pPr>
    <w:r w:rsidRPr="004B6F8F">
      <w:rPr>
        <w:rFonts w:cs="Calibri"/>
        <w:bCs/>
      </w:rPr>
      <w:t xml:space="preserve">February 24, </w:t>
    </w:r>
    <w:proofErr w:type="gramStart"/>
    <w:r w:rsidRPr="004B6F8F">
      <w:rPr>
        <w:rFonts w:cs="Calibri"/>
        <w:bCs/>
      </w:rPr>
      <w:t>2023</w:t>
    </w:r>
    <w:proofErr w:type="gramEnd"/>
    <w:r w:rsidRPr="004B6F8F">
      <w:rPr>
        <w:rFonts w:cs="Calibri"/>
        <w:bCs/>
      </w:rPr>
      <w:t xml:space="preserve"> Virtual Meeting </w:t>
    </w:r>
  </w:p>
  <w:p w14:paraId="51568097" w14:textId="62FC1F24" w:rsidR="00DD7D5B" w:rsidRDefault="004B6F8F" w:rsidP="004B6F8F">
    <w:pPr>
      <w:widowControl w:val="0"/>
      <w:spacing w:line="240" w:lineRule="auto"/>
      <w:contextualSpacing/>
      <w:jc w:val="right"/>
      <w:outlineLvl w:val="0"/>
      <w:rPr>
        <w:rFonts w:cs="Calibri"/>
        <w:b/>
      </w:rPr>
    </w:pPr>
    <w:r w:rsidRPr="004B6F8F">
      <w:rPr>
        <w:rFonts w:cs="Calibri"/>
        <w:bCs/>
      </w:rPr>
      <w:t>Document no.: 2023.</w:t>
    </w:r>
    <w:r>
      <w:rPr>
        <w:rFonts w:cs="Calibri"/>
        <w:bCs/>
      </w:rPr>
      <w:t>24</w:t>
    </w:r>
  </w:p>
  <w:p w14:paraId="18E13F73" w14:textId="161C28D0" w:rsidR="002D3ED8" w:rsidRDefault="00DD7D5B" w:rsidP="002D3ED8">
    <w:pPr>
      <w:widowControl w:val="0"/>
      <w:spacing w:line="240" w:lineRule="auto"/>
      <w:outlineLvl w:val="0"/>
      <w:rPr>
        <w:rFonts w:cs="Calibri"/>
        <w:b/>
      </w:rPr>
    </w:pPr>
    <w:r w:rsidRPr="006446E6">
      <w:rPr>
        <w:rFonts w:cs="Calibri"/>
        <w:b/>
      </w:rPr>
      <w:t>Public Library Association</w:t>
    </w:r>
  </w:p>
  <w:p w14:paraId="3DC98EBF" w14:textId="453838A1" w:rsidR="00C732D4" w:rsidRPr="006446E6" w:rsidRDefault="00DD7D5B" w:rsidP="002D3ED8">
    <w:pPr>
      <w:widowControl w:val="0"/>
      <w:spacing w:line="240" w:lineRule="auto"/>
      <w:outlineLvl w:val="0"/>
      <w:rPr>
        <w:rFonts w:cs="Calibri"/>
        <w:b/>
      </w:rPr>
    </w:pPr>
    <w:r w:rsidRPr="006446E6">
      <w:rPr>
        <w:rFonts w:cs="Calibri"/>
        <w:b/>
      </w:rPr>
      <w:t>FY2</w:t>
    </w:r>
    <w:r>
      <w:rPr>
        <w:rFonts w:cs="Calibri"/>
        <w:b/>
      </w:rPr>
      <w:t>3 Q1 November 2022 Budget Narrative</w:t>
    </w:r>
  </w:p>
  <w:p w14:paraId="78760EC6" w14:textId="77777777" w:rsidR="00C732D4" w:rsidRDefault="004B6F8F" w:rsidP="002D3ED8">
    <w:pPr>
      <w:pStyle w:val="Header"/>
      <w:widowControl w:val="0"/>
      <w:outlineLv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AB46" w14:textId="77777777" w:rsidR="004B6F8F" w:rsidRDefault="004B6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2A3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D1A0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4487531">
    <w:abstractNumId w:val="1"/>
  </w:num>
  <w:num w:numId="2" w16cid:durableId="143524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D8"/>
    <w:rsid w:val="00226720"/>
    <w:rsid w:val="002D3ED8"/>
    <w:rsid w:val="00344837"/>
    <w:rsid w:val="004067DA"/>
    <w:rsid w:val="004B6F8F"/>
    <w:rsid w:val="00723FE3"/>
    <w:rsid w:val="00B662A9"/>
    <w:rsid w:val="00DD7D5B"/>
    <w:rsid w:val="00E8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B5E0F"/>
  <w15:chartTrackingRefBased/>
  <w15:docId w15:val="{79901929-BB34-426E-AA24-87BCE46D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ED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D3E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ED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3ED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3E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D3ED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Davis Fournier</dc:creator>
  <cp:keywords/>
  <dc:description/>
  <cp:lastModifiedBy>Megan Stewart</cp:lastModifiedBy>
  <cp:revision>3</cp:revision>
  <dcterms:created xsi:type="dcterms:W3CDTF">2023-02-21T04:40:00Z</dcterms:created>
  <dcterms:modified xsi:type="dcterms:W3CDTF">2023-02-21T15:57:00Z</dcterms:modified>
</cp:coreProperties>
</file>