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B3BA" w14:textId="5A84BB8F"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24D9D24C"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A45381">
        <w:rPr>
          <w:rFonts w:asciiTheme="minorHAnsi" w:hAnsiTheme="minorHAnsi"/>
        </w:rPr>
        <w:t>Leadership</w:t>
      </w:r>
      <w:r>
        <w:rPr>
          <w:rFonts w:asciiTheme="minorHAnsi" w:hAnsiTheme="minorHAnsi"/>
        </w:rPr>
        <w:t xml:space="preserve"> Report </w:t>
      </w:r>
    </w:p>
    <w:p w14:paraId="7D7F2693" w14:textId="6760CF20"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B037F1">
        <w:rPr>
          <w:rFonts w:asciiTheme="minorHAnsi" w:hAnsiTheme="minorHAnsi"/>
        </w:rPr>
        <w:t>January 11</w:t>
      </w:r>
      <w:r w:rsidR="00427B50">
        <w:rPr>
          <w:rFonts w:asciiTheme="minorHAnsi" w:hAnsiTheme="minorHAnsi"/>
        </w:rPr>
        <w:t>, 2020</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4B509199" w:rsidR="00DD1B11" w:rsidRDefault="00DD1B11" w:rsidP="00953105">
      <w:pPr>
        <w:ind w:left="2160" w:hanging="2160"/>
        <w:rPr>
          <w:rFonts w:asciiTheme="minorHAnsi" w:hAnsiTheme="minorHAnsi"/>
          <w:i/>
        </w:rPr>
      </w:pPr>
      <w:r>
        <w:rPr>
          <w:rFonts w:asciiTheme="minorHAnsi" w:hAnsiTheme="minorHAnsi"/>
          <w:b/>
        </w:rPr>
        <w:t>ACTION REQUESTED/INFORMATION/REPORT:</w:t>
      </w:r>
      <w:r w:rsidR="00953105">
        <w:rPr>
          <w:rFonts w:asciiTheme="minorHAnsi" w:hAnsiTheme="minorHAnsi"/>
          <w:b/>
        </w:rPr>
        <w:t xml:space="preserve"> </w:t>
      </w:r>
      <w:r>
        <w:rPr>
          <w:rFonts w:asciiTheme="minorHAnsi" w:hAnsiTheme="minorHAnsi"/>
        </w:rPr>
        <w:t>Information</w:t>
      </w:r>
    </w:p>
    <w:p w14:paraId="2CCF2489" w14:textId="63B940C4" w:rsidR="00DD1B11" w:rsidRDefault="00DD1B11" w:rsidP="00A45381">
      <w:pPr>
        <w:ind w:left="2880" w:hanging="2880"/>
        <w:rPr>
          <w:rFonts w:asciiTheme="minorHAnsi" w:hAnsiTheme="minorHAnsi"/>
        </w:rPr>
      </w:pPr>
      <w:r>
        <w:rPr>
          <w:rFonts w:ascii="Calibri" w:hAnsi="Calibri"/>
          <w:b/>
        </w:rPr>
        <w:t>ACTION REQUESTED BY</w:t>
      </w:r>
      <w:r>
        <w:rPr>
          <w:rFonts w:asciiTheme="minorHAnsi" w:hAnsiTheme="minorHAnsi"/>
          <w:b/>
        </w:rPr>
        <w:t>:</w:t>
      </w:r>
      <w:r w:rsidR="00A45381">
        <w:rPr>
          <w:rFonts w:asciiTheme="minorHAnsi" w:hAnsiTheme="minorHAnsi"/>
          <w:b/>
        </w:rPr>
        <w:t xml:space="preserve"> </w:t>
      </w:r>
      <w:r>
        <w:rPr>
          <w:rFonts w:asciiTheme="minorHAnsi" w:hAnsiTheme="minorHAnsi"/>
        </w:rPr>
        <w:t>N/A</w:t>
      </w:r>
    </w:p>
    <w:p w14:paraId="6299D693" w14:textId="129C1DFC" w:rsidR="00DD1B11" w:rsidRDefault="00DD1B11" w:rsidP="00A45381">
      <w:pPr>
        <w:rPr>
          <w:rFonts w:asciiTheme="minorHAnsi" w:hAnsiTheme="minorHAnsi"/>
        </w:rPr>
      </w:pPr>
      <w:r>
        <w:rPr>
          <w:rFonts w:asciiTheme="minorHAnsi" w:hAnsiTheme="minorHAnsi"/>
          <w:b/>
        </w:rPr>
        <w:t>DRAFT OF MOTION:</w:t>
      </w:r>
      <w:r w:rsidR="00A45381">
        <w:rPr>
          <w:rFonts w:asciiTheme="minorHAnsi" w:hAnsiTheme="minorHAnsi"/>
          <w:b/>
        </w:rPr>
        <w:t xml:space="preserve"> </w:t>
      </w:r>
      <w:r>
        <w:rPr>
          <w:rFonts w:asciiTheme="minorHAnsi" w:hAnsiTheme="minorHAnsi"/>
        </w:rPr>
        <w:t>N/A</w:t>
      </w:r>
    </w:p>
    <w:p w14:paraId="7C3C4A03" w14:textId="77777777" w:rsidR="00A45381" w:rsidRDefault="00A45381" w:rsidP="00DD1B11">
      <w:pPr>
        <w:rPr>
          <w:rFonts w:asciiTheme="minorHAnsi" w:hAnsiTheme="minorHAnsi"/>
        </w:rPr>
      </w:pPr>
    </w:p>
    <w:p w14:paraId="32B60F74" w14:textId="77777777" w:rsidR="00E91AC8" w:rsidRPr="00E91AC8" w:rsidRDefault="00A45381" w:rsidP="00E91AC8">
      <w:pPr>
        <w:rPr>
          <w:rFonts w:asciiTheme="minorHAnsi" w:hAnsiTheme="minorHAnsi"/>
          <w:b/>
          <w:bCs/>
          <w:color w:val="7030A0"/>
        </w:rPr>
      </w:pPr>
      <w:r w:rsidRPr="00E91AC8">
        <w:rPr>
          <w:rFonts w:asciiTheme="minorHAnsi" w:hAnsiTheme="minorHAnsi"/>
          <w:b/>
          <w:bCs/>
          <w:color w:val="7030A0"/>
        </w:rPr>
        <w:t>PLA Strategic Plan Goal: Leadership</w:t>
      </w:r>
    </w:p>
    <w:p w14:paraId="008198C0" w14:textId="31BCCA9F" w:rsidR="00A45381" w:rsidRPr="00E91AC8" w:rsidRDefault="00A45381" w:rsidP="00E91AC8">
      <w:pPr>
        <w:pStyle w:val="ListParagraph"/>
        <w:numPr>
          <w:ilvl w:val="0"/>
          <w:numId w:val="25"/>
        </w:numPr>
        <w:rPr>
          <w:rFonts w:asciiTheme="minorHAnsi" w:hAnsiTheme="minorHAnsi"/>
          <w:b/>
          <w:bCs/>
          <w:color w:val="7030A0"/>
        </w:rPr>
      </w:pPr>
      <w:r w:rsidRPr="00E91AC8">
        <w:rPr>
          <w:rFonts w:asciiTheme="minorHAnsi" w:hAnsiTheme="minorHAnsi"/>
          <w:b/>
          <w:bCs/>
          <w:i/>
          <w:iCs/>
          <w:color w:val="7030A0"/>
        </w:rPr>
        <w:t>PLA builds and supports leadership for public libraries that is reflective of the needs of each community and the profession.</w:t>
      </w:r>
    </w:p>
    <w:p w14:paraId="263A178A" w14:textId="61C35974" w:rsidR="00A45381" w:rsidRDefault="00A45381" w:rsidP="00DD1B11">
      <w:pPr>
        <w:rPr>
          <w:rFonts w:asciiTheme="minorHAnsi" w:hAnsiTheme="minorHAnsi"/>
        </w:rPr>
      </w:pPr>
    </w:p>
    <w:p w14:paraId="36C61C55" w14:textId="77777777" w:rsidR="0044711E" w:rsidRDefault="0044711E" w:rsidP="4E08267B">
      <w:pPr>
        <w:rPr>
          <w:rFonts w:asciiTheme="minorHAnsi" w:hAnsiTheme="minorHAnsi"/>
        </w:rPr>
      </w:pPr>
    </w:p>
    <w:p w14:paraId="77D239F2" w14:textId="7BFF4555" w:rsidR="74297ECF" w:rsidRPr="00D425B5" w:rsidRDefault="74297ECF">
      <w:pPr>
        <w:rPr>
          <w:rFonts w:asciiTheme="minorHAnsi" w:hAnsiTheme="minorHAnsi" w:cstheme="minorHAnsi"/>
        </w:rPr>
      </w:pPr>
      <w:r w:rsidRPr="00D425B5">
        <w:rPr>
          <w:rFonts w:asciiTheme="minorHAnsi" w:eastAsia="Arial" w:hAnsiTheme="minorHAnsi" w:cstheme="minorHAnsi"/>
          <w:b/>
          <w:bCs/>
          <w:color w:val="030303"/>
        </w:rPr>
        <w:t>STRATEGIC PLANNING TRAINING/SUPPORT</w:t>
      </w:r>
    </w:p>
    <w:p w14:paraId="14150B21" w14:textId="4A36FC59" w:rsidR="74297ECF" w:rsidRPr="00D425B5" w:rsidRDefault="74297ECF">
      <w:pPr>
        <w:rPr>
          <w:rFonts w:asciiTheme="minorHAnsi" w:hAnsiTheme="minorHAnsi" w:cstheme="minorHAnsi"/>
        </w:rPr>
      </w:pPr>
      <w:r w:rsidRPr="00D425B5">
        <w:rPr>
          <w:rFonts w:asciiTheme="minorHAnsi" w:eastAsia="Arial" w:hAnsiTheme="minorHAnsi" w:cstheme="minorHAnsi"/>
          <w:i/>
          <w:iCs/>
          <w:color w:val="030303"/>
        </w:rPr>
        <w:t>Submitted by Symone Villasenor, Project Manager</w:t>
      </w:r>
    </w:p>
    <w:p w14:paraId="7A1B24A0" w14:textId="31D9B592" w:rsidR="74297ECF" w:rsidRPr="00D425B5" w:rsidRDefault="74297ECF">
      <w:pPr>
        <w:rPr>
          <w:rFonts w:asciiTheme="minorHAnsi" w:hAnsiTheme="minorHAnsi" w:cstheme="minorHAnsi"/>
        </w:rPr>
      </w:pPr>
      <w:r w:rsidRPr="00D425B5">
        <w:rPr>
          <w:rFonts w:asciiTheme="minorHAnsi" w:eastAsia="Arial" w:hAnsiTheme="minorHAnsi" w:cstheme="minorHAnsi"/>
          <w:i/>
          <w:iCs/>
          <w:sz w:val="27"/>
          <w:szCs w:val="27"/>
        </w:rPr>
        <w:t xml:space="preserve"> </w:t>
      </w:r>
    </w:p>
    <w:p w14:paraId="60E8A023" w14:textId="4DAA4823" w:rsidR="74297ECF" w:rsidRPr="00D425B5" w:rsidRDefault="74297ECF" w:rsidP="4E08267B">
      <w:pPr>
        <w:spacing w:line="276" w:lineRule="auto"/>
        <w:ind w:left="1" w:hanging="1"/>
        <w:rPr>
          <w:rFonts w:asciiTheme="minorHAnsi" w:hAnsiTheme="minorHAnsi" w:cstheme="minorHAnsi"/>
          <w:color w:val="030303"/>
        </w:rPr>
      </w:pPr>
      <w:r w:rsidRPr="00D425B5">
        <w:rPr>
          <w:rFonts w:asciiTheme="minorHAnsi" w:hAnsiTheme="minorHAnsi" w:cstheme="minorHAnsi"/>
          <w:color w:val="030303"/>
        </w:rPr>
        <w:t>In the fourth quarter of 2019, PLA staff began working with Joy Fuller, an independent consultant who is no stranger to libraries or PLA</w:t>
      </w:r>
      <w:r w:rsidRPr="00D425B5">
        <w:rPr>
          <w:rFonts w:asciiTheme="minorHAnsi" w:hAnsiTheme="minorHAnsi" w:cstheme="minorHAnsi"/>
          <w:color w:val="343434"/>
        </w:rPr>
        <w:t xml:space="preserve">. </w:t>
      </w:r>
      <w:r w:rsidRPr="00D425B5">
        <w:rPr>
          <w:rFonts w:asciiTheme="minorHAnsi" w:hAnsiTheme="minorHAnsi" w:cstheme="minorHAnsi"/>
          <w:color w:val="030303"/>
        </w:rPr>
        <w:t>Joy has previously worked with PLA on the Inclusive Internship Initiative and even facilitated a program at PLA 2020 in Nashville, TN</w:t>
      </w:r>
      <w:r w:rsidRPr="00D425B5">
        <w:rPr>
          <w:rFonts w:asciiTheme="minorHAnsi" w:hAnsiTheme="minorHAnsi" w:cstheme="minorHAnsi"/>
          <w:color w:val="494949"/>
        </w:rPr>
        <w:t xml:space="preserve">. </w:t>
      </w:r>
      <w:r w:rsidRPr="00D425B5">
        <w:rPr>
          <w:rFonts w:asciiTheme="minorHAnsi" w:hAnsiTheme="minorHAnsi" w:cstheme="minorHAnsi"/>
          <w:color w:val="030303"/>
        </w:rPr>
        <w:t>Joy has been contracted to develop a new strategic planning publication for the PLA and its members</w:t>
      </w:r>
      <w:r w:rsidRPr="00D425B5">
        <w:rPr>
          <w:rFonts w:asciiTheme="minorHAnsi" w:hAnsiTheme="minorHAnsi" w:cstheme="minorHAnsi"/>
          <w:color w:val="343434"/>
        </w:rPr>
        <w:t xml:space="preserve">. </w:t>
      </w:r>
      <w:r w:rsidRPr="00D425B5">
        <w:rPr>
          <w:rFonts w:asciiTheme="minorHAnsi" w:hAnsiTheme="minorHAnsi" w:cstheme="minorHAnsi"/>
          <w:color w:val="030303"/>
        </w:rPr>
        <w:t xml:space="preserve">The publication will focus on the following content areas: preparing for strategic planning, assessing your library's current state, developing the strategic plan, </w:t>
      </w:r>
      <w:proofErr w:type="gramStart"/>
      <w:r w:rsidRPr="00D425B5">
        <w:rPr>
          <w:rFonts w:asciiTheme="minorHAnsi" w:hAnsiTheme="minorHAnsi" w:cstheme="minorHAnsi"/>
          <w:color w:val="030303"/>
        </w:rPr>
        <w:t>implementing</w:t>
      </w:r>
      <w:proofErr w:type="gramEnd"/>
      <w:r w:rsidRPr="00D425B5">
        <w:rPr>
          <w:rFonts w:asciiTheme="minorHAnsi" w:hAnsiTheme="minorHAnsi" w:cstheme="minorHAnsi"/>
          <w:color w:val="030303"/>
        </w:rPr>
        <w:t xml:space="preserve"> and measuring a strategic plan, and communications and change management as it relates to strategic planning</w:t>
      </w:r>
      <w:r w:rsidRPr="00D425B5">
        <w:rPr>
          <w:rFonts w:asciiTheme="minorHAnsi" w:hAnsiTheme="minorHAnsi" w:cstheme="minorHAnsi"/>
          <w:color w:val="343434"/>
        </w:rPr>
        <w:t xml:space="preserve">. </w:t>
      </w:r>
      <w:r w:rsidRPr="00D425B5">
        <w:rPr>
          <w:rFonts w:asciiTheme="minorHAnsi" w:hAnsiTheme="minorHAnsi" w:cstheme="minorHAnsi"/>
          <w:color w:val="030303"/>
        </w:rPr>
        <w:t>This workbook will integrate ALA and PLA resources including the Theory of Change, Libraries Transforming Communities' Community Conversation Workbook, and Project Outcome mate rials</w:t>
      </w:r>
      <w:r w:rsidRPr="00D425B5">
        <w:rPr>
          <w:rFonts w:asciiTheme="minorHAnsi" w:hAnsiTheme="minorHAnsi" w:cstheme="minorHAnsi"/>
          <w:color w:val="595959" w:themeColor="text1" w:themeTint="A6"/>
        </w:rPr>
        <w:t xml:space="preserve">. </w:t>
      </w:r>
      <w:r w:rsidRPr="00D425B5">
        <w:rPr>
          <w:rFonts w:asciiTheme="minorHAnsi" w:hAnsiTheme="minorHAnsi" w:cstheme="minorHAnsi"/>
          <w:color w:val="030303"/>
        </w:rPr>
        <w:t>All chapters including the introduction have been completed and are currently being reviewed by multiple PLA staff members</w:t>
      </w:r>
      <w:r w:rsidRPr="00D425B5">
        <w:rPr>
          <w:rFonts w:asciiTheme="minorHAnsi" w:hAnsiTheme="minorHAnsi" w:cstheme="minorHAnsi"/>
          <w:color w:val="343434"/>
        </w:rPr>
        <w:t xml:space="preserve">. </w:t>
      </w:r>
      <w:r w:rsidRPr="00D425B5">
        <w:rPr>
          <w:rFonts w:asciiTheme="minorHAnsi" w:hAnsiTheme="minorHAnsi" w:cstheme="minorHAnsi"/>
          <w:color w:val="030303"/>
        </w:rPr>
        <w:t>The publication is also being reviewed by our very own Stephanie Chase, who is also writing the forward. While originally projected to be complete by end of first quarter 2020, the current landscape and uncertain times we are all experiencing has resulted in a delay for this project. Currently, we are anticipating a final reviewed draft to be completed by February 2021, followed by design and printing. The publication should be fully complete, printed, and ready for sale in the Spring of 2021.</w:t>
      </w:r>
    </w:p>
    <w:p w14:paraId="28F8A14A" w14:textId="77777777" w:rsidR="00D425B5" w:rsidRDefault="00D425B5" w:rsidP="4E08267B">
      <w:pPr>
        <w:spacing w:line="276" w:lineRule="auto"/>
        <w:ind w:left="1" w:hanging="1"/>
        <w:rPr>
          <w:rFonts w:ascii="Calibri" w:hAnsi="Calibri" w:cs="Calibri"/>
          <w:color w:val="030303"/>
        </w:rPr>
      </w:pPr>
    </w:p>
    <w:p w14:paraId="3F9FFC9C" w14:textId="77777777" w:rsidR="00D425B5" w:rsidRDefault="00D425B5" w:rsidP="00D425B5">
      <w:pPr>
        <w:rPr>
          <w:rFonts w:asciiTheme="minorHAnsi" w:hAnsiTheme="minorHAnsi"/>
          <w:b/>
          <w:bCs/>
          <w:u w:val="single"/>
        </w:rPr>
      </w:pPr>
      <w:r>
        <w:rPr>
          <w:rFonts w:asciiTheme="minorHAnsi" w:hAnsiTheme="minorHAnsi"/>
          <w:b/>
          <w:bCs/>
          <w:u w:val="single"/>
        </w:rPr>
        <w:t>CONTINUING EDUCATION/PROFESSIONAL DEVELOPMENT INITIATIVES</w:t>
      </w:r>
    </w:p>
    <w:p w14:paraId="77AABD5E" w14:textId="77777777" w:rsidR="00D425B5" w:rsidRDefault="00D425B5" w:rsidP="00D425B5">
      <w:pPr>
        <w:ind w:left="720" w:hanging="720"/>
        <w:rPr>
          <w:rFonts w:ascii="Calibri" w:eastAsiaTheme="minorHAnsi" w:hAnsi="Calibri" w:cs="Calibri"/>
          <w:i/>
        </w:rPr>
      </w:pPr>
    </w:p>
    <w:p w14:paraId="6C2FB109" w14:textId="77777777" w:rsidR="00D425B5" w:rsidRDefault="00D425B5" w:rsidP="00D425B5">
      <w:pPr>
        <w:rPr>
          <w:rFonts w:ascii="Calibri" w:eastAsiaTheme="minorHAnsi" w:hAnsi="Calibri" w:cs="Calibri"/>
          <w:b/>
          <w:bCs/>
          <w:iCs/>
        </w:rPr>
      </w:pPr>
      <w:r>
        <w:rPr>
          <w:rFonts w:ascii="Calibri" w:eastAsiaTheme="minorHAnsi" w:hAnsi="Calibri" w:cs="Calibri"/>
          <w:b/>
          <w:bCs/>
          <w:iCs/>
        </w:rPr>
        <w:t>PLA AT ALA MIDWINTER MEETING</w:t>
      </w:r>
    </w:p>
    <w:p w14:paraId="7CA7AA11" w14:textId="77777777" w:rsidR="00D425B5" w:rsidRDefault="00D425B5" w:rsidP="00D425B5">
      <w:pPr>
        <w:rPr>
          <w:rFonts w:ascii="Calibri" w:eastAsiaTheme="minorHAnsi" w:hAnsi="Calibri" w:cs="Calibri"/>
          <w:i/>
        </w:rPr>
      </w:pPr>
      <w:r>
        <w:rPr>
          <w:rFonts w:ascii="Calibri" w:eastAsiaTheme="minorHAnsi" w:hAnsi="Calibri" w:cs="Calibri"/>
          <w:i/>
        </w:rPr>
        <w:t xml:space="preserve">Submitted by Angela Maycock, Manager of Continuing Education </w:t>
      </w:r>
    </w:p>
    <w:p w14:paraId="47343B7F" w14:textId="77777777" w:rsidR="00D425B5" w:rsidRDefault="00D425B5" w:rsidP="00D425B5">
      <w:pPr>
        <w:rPr>
          <w:rFonts w:ascii="Calibri" w:eastAsiaTheme="minorHAnsi" w:hAnsi="Calibri" w:cs="Calibri"/>
          <w:iCs/>
        </w:rPr>
      </w:pPr>
    </w:p>
    <w:p w14:paraId="39DB5193" w14:textId="77777777" w:rsidR="00D425B5" w:rsidRDefault="00D425B5" w:rsidP="00D425B5">
      <w:pPr>
        <w:rPr>
          <w:rFonts w:ascii="Calibri" w:eastAsiaTheme="minorHAnsi" w:hAnsi="Calibri" w:cs="Calibri"/>
          <w:iCs/>
        </w:rPr>
      </w:pPr>
      <w:r>
        <w:rPr>
          <w:rFonts w:ascii="Calibri" w:eastAsiaTheme="minorHAnsi" w:hAnsi="Calibri" w:cs="Calibri"/>
          <w:iCs/>
        </w:rPr>
        <w:t>PLA will offer the following 3 educational sessions – two Discussion Groups and one News You Can Use session – during ALA 2021 Midwinter Virtual:</w:t>
      </w:r>
    </w:p>
    <w:p w14:paraId="2DD55775" w14:textId="77777777" w:rsidR="00D425B5" w:rsidRDefault="00D425B5" w:rsidP="00D425B5">
      <w:pPr>
        <w:rPr>
          <w:rFonts w:ascii="Calibri" w:eastAsiaTheme="minorHAnsi" w:hAnsi="Calibri" w:cs="Calibri"/>
          <w:iCs/>
        </w:rPr>
      </w:pPr>
    </w:p>
    <w:p w14:paraId="6C890249" w14:textId="77777777" w:rsidR="00D425B5" w:rsidRDefault="00D425B5" w:rsidP="00D425B5">
      <w:pPr>
        <w:pStyle w:val="ListParagraph"/>
        <w:numPr>
          <w:ilvl w:val="0"/>
          <w:numId w:val="26"/>
        </w:numPr>
        <w:rPr>
          <w:rFonts w:ascii="Calibri" w:eastAsiaTheme="minorHAnsi" w:hAnsi="Calibri" w:cs="Calibri"/>
          <w:iCs/>
        </w:rPr>
      </w:pPr>
      <w:r>
        <w:rPr>
          <w:rFonts w:ascii="Calibri" w:eastAsiaTheme="minorHAnsi" w:hAnsi="Calibri" w:cs="Calibri"/>
          <w:b/>
          <w:bCs/>
          <w:iCs/>
        </w:rPr>
        <w:t>PLA Legal Issues in Public Libraries Discussion Forum</w:t>
      </w:r>
      <w:r>
        <w:rPr>
          <w:rFonts w:ascii="Calibri" w:eastAsiaTheme="minorHAnsi" w:hAnsi="Calibri" w:cs="Calibri"/>
          <w:iCs/>
        </w:rPr>
        <w:t xml:space="preserve"> (January 23, 2021, 11:00 AM–12:00 PM): Tomas A. Lipinski, Professor at the School of Information Studies, University of Wisconsin Milwaukee, will facilitate this open discussion venue for legal issues common in public libraries.</w:t>
      </w:r>
    </w:p>
    <w:p w14:paraId="5F29A21A" w14:textId="77777777" w:rsidR="00D425B5" w:rsidRDefault="00D425B5" w:rsidP="00D425B5">
      <w:pPr>
        <w:pStyle w:val="ListParagraph"/>
        <w:numPr>
          <w:ilvl w:val="0"/>
          <w:numId w:val="26"/>
        </w:numPr>
        <w:rPr>
          <w:rFonts w:ascii="Calibri" w:eastAsiaTheme="minorHAnsi" w:hAnsi="Calibri" w:cs="Calibri"/>
          <w:iCs/>
        </w:rPr>
      </w:pPr>
      <w:r>
        <w:rPr>
          <w:rFonts w:ascii="Calibri" w:eastAsiaTheme="minorHAnsi" w:hAnsi="Calibri" w:cs="Calibri"/>
          <w:b/>
          <w:bCs/>
          <w:iCs/>
        </w:rPr>
        <w:lastRenderedPageBreak/>
        <w:t xml:space="preserve">REALM Discussion Group: </w:t>
      </w:r>
      <w:proofErr w:type="spellStart"/>
      <w:r>
        <w:rPr>
          <w:rFonts w:ascii="Calibri" w:eastAsiaTheme="minorHAnsi" w:hAnsi="Calibri" w:cs="Calibri"/>
          <w:b/>
          <w:bCs/>
          <w:iCs/>
        </w:rPr>
        <w:t>REopening</w:t>
      </w:r>
      <w:proofErr w:type="spellEnd"/>
      <w:r>
        <w:rPr>
          <w:rFonts w:ascii="Calibri" w:eastAsiaTheme="minorHAnsi" w:hAnsi="Calibri" w:cs="Calibri"/>
          <w:b/>
          <w:bCs/>
          <w:iCs/>
        </w:rPr>
        <w:t xml:space="preserve"> Archives, Libraries, and Museums during COVID-19</w:t>
      </w:r>
      <w:r>
        <w:rPr>
          <w:rFonts w:ascii="Calibri" w:eastAsiaTheme="minorHAnsi" w:hAnsi="Calibri" w:cs="Calibri"/>
          <w:iCs/>
        </w:rPr>
        <w:t xml:space="preserve"> (January 24, 2021, 1:15–2:15 PM): REALM project staff and representatives of the REALM Operations Working Group will lead an open discussion about making decisions for your local institution in an environment of uncertainty, complexity, and urgency.</w:t>
      </w:r>
    </w:p>
    <w:p w14:paraId="5B3CBBC0" w14:textId="77777777" w:rsidR="00D425B5" w:rsidRDefault="00D425B5" w:rsidP="00D425B5">
      <w:pPr>
        <w:pStyle w:val="ListParagraph"/>
        <w:numPr>
          <w:ilvl w:val="0"/>
          <w:numId w:val="26"/>
        </w:numPr>
        <w:rPr>
          <w:rFonts w:ascii="Calibri" w:eastAsiaTheme="minorHAnsi" w:hAnsi="Calibri" w:cs="Calibri"/>
          <w:iCs/>
        </w:rPr>
      </w:pPr>
      <w:r>
        <w:rPr>
          <w:rFonts w:ascii="Calibri" w:eastAsiaTheme="minorHAnsi" w:hAnsi="Calibri" w:cs="Calibri"/>
          <w:b/>
          <w:bCs/>
          <w:iCs/>
        </w:rPr>
        <w:t>Work Smarter, Not Harder: Public Library Data Resources and Tools for Planning, Improvement, and Advocacy</w:t>
      </w:r>
      <w:r>
        <w:rPr>
          <w:rFonts w:ascii="Calibri" w:eastAsiaTheme="minorHAnsi" w:hAnsi="Calibri" w:cs="Calibri"/>
          <w:iCs/>
        </w:rPr>
        <w:t xml:space="preserve"> (Available On-Demand): Members of PLA’s Measurement, Evaluation, and Assessment Committee will present on Project Outcome and new benchmarking tools for public libraries using data for planning, improvement, and demonstrating impact during the pandemic.</w:t>
      </w:r>
    </w:p>
    <w:p w14:paraId="43FB9BB4" w14:textId="77777777" w:rsidR="00D425B5" w:rsidRDefault="00D425B5" w:rsidP="00D425B5">
      <w:pPr>
        <w:rPr>
          <w:rFonts w:ascii="Calibri" w:eastAsiaTheme="minorHAnsi" w:hAnsi="Calibri" w:cs="Calibri"/>
          <w:iCs/>
        </w:rPr>
      </w:pPr>
    </w:p>
    <w:p w14:paraId="269111E6" w14:textId="77777777" w:rsidR="00D425B5" w:rsidRDefault="00D425B5" w:rsidP="00D425B5">
      <w:pPr>
        <w:rPr>
          <w:rFonts w:ascii="Calibri" w:eastAsiaTheme="minorHAnsi" w:hAnsi="Calibri" w:cs="Calibri"/>
          <w:b/>
          <w:bCs/>
          <w:iCs/>
        </w:rPr>
      </w:pPr>
      <w:r>
        <w:rPr>
          <w:rFonts w:ascii="Calibri" w:eastAsiaTheme="minorHAnsi" w:hAnsi="Calibri" w:cs="Calibri"/>
          <w:b/>
          <w:bCs/>
          <w:iCs/>
        </w:rPr>
        <w:t>PLA AT ALA ANNUAL CONFERENCE</w:t>
      </w:r>
    </w:p>
    <w:p w14:paraId="26685F4D" w14:textId="77777777" w:rsidR="00D425B5" w:rsidRDefault="00D425B5" w:rsidP="00D425B5">
      <w:pPr>
        <w:rPr>
          <w:rFonts w:ascii="Calibri" w:eastAsiaTheme="minorHAnsi" w:hAnsi="Calibri" w:cs="Calibri"/>
          <w:i/>
        </w:rPr>
      </w:pPr>
      <w:r>
        <w:rPr>
          <w:rFonts w:ascii="Calibri" w:eastAsiaTheme="minorHAnsi" w:hAnsi="Calibri" w:cs="Calibri"/>
          <w:i/>
        </w:rPr>
        <w:t xml:space="preserve">Submitted by Angela Maycock, Manager of Continuing Education </w:t>
      </w:r>
    </w:p>
    <w:p w14:paraId="0D1CD009" w14:textId="77777777" w:rsidR="00D425B5" w:rsidRDefault="00D425B5" w:rsidP="00D425B5">
      <w:pPr>
        <w:rPr>
          <w:rFonts w:ascii="Calibri" w:eastAsiaTheme="minorHAnsi" w:hAnsi="Calibri" w:cs="Calibri"/>
          <w:i/>
        </w:rPr>
      </w:pPr>
    </w:p>
    <w:p w14:paraId="2565B28D" w14:textId="77777777" w:rsidR="00D425B5" w:rsidRDefault="00D425B5" w:rsidP="00D425B5">
      <w:pPr>
        <w:rPr>
          <w:rFonts w:asciiTheme="minorHAnsi" w:hAnsiTheme="minorHAnsi" w:cstheme="minorHAnsi"/>
        </w:rPr>
      </w:pPr>
      <w:r>
        <w:rPr>
          <w:rFonts w:asciiTheme="minorHAnsi" w:hAnsiTheme="minorHAnsi" w:cstheme="minorHAnsi"/>
        </w:rPr>
        <w:t>PLA member volunteers reviewed 60 proposals in October 2020 and selected 15 programs to contribute to the ALA 2021 Annual Conference. In December 2020, ALA Conference Services chose to delay 2021 Annual Conference program acceptance and decline notifications (planned for December 2020) to February 2021, stating: “ALA is expected to announce the format of Annual 2021 in early February. Specifics regarding educational programming acceptance decisions will be sent via email soon after.”</w:t>
      </w:r>
    </w:p>
    <w:p w14:paraId="497F976D" w14:textId="77777777" w:rsidR="00D425B5" w:rsidRDefault="00D425B5" w:rsidP="00D425B5">
      <w:pPr>
        <w:rPr>
          <w:rFonts w:asciiTheme="minorHAnsi" w:hAnsiTheme="minorHAnsi" w:cstheme="minorHAnsi"/>
        </w:rPr>
      </w:pPr>
    </w:p>
    <w:p w14:paraId="3EE10006" w14:textId="77777777" w:rsidR="00D425B5" w:rsidRDefault="00D425B5" w:rsidP="00D425B5">
      <w:pPr>
        <w:rPr>
          <w:rFonts w:ascii="Calibri" w:eastAsiaTheme="minorHAnsi" w:hAnsi="Calibri" w:cs="Calibri"/>
          <w:b/>
          <w:bCs/>
          <w:iCs/>
        </w:rPr>
      </w:pPr>
      <w:r>
        <w:rPr>
          <w:rFonts w:ascii="Calibri" w:eastAsiaTheme="minorHAnsi" w:hAnsi="Calibri" w:cs="Calibri"/>
          <w:b/>
          <w:bCs/>
          <w:iCs/>
        </w:rPr>
        <w:t>PLA ONLINE LEARNING</w:t>
      </w:r>
    </w:p>
    <w:p w14:paraId="58CAAE56" w14:textId="77777777" w:rsidR="00D425B5" w:rsidRDefault="00D425B5" w:rsidP="00D425B5">
      <w:pPr>
        <w:rPr>
          <w:rFonts w:ascii="Calibri" w:eastAsiaTheme="minorHAnsi" w:hAnsi="Calibri" w:cs="Calibri"/>
          <w:i/>
        </w:rPr>
      </w:pPr>
      <w:r>
        <w:rPr>
          <w:rFonts w:ascii="Calibri" w:eastAsiaTheme="minorHAnsi" w:hAnsi="Calibri" w:cs="Calibri"/>
          <w:i/>
        </w:rPr>
        <w:t xml:space="preserve">Submitted by Angela Maycock, Manager of Continuing Education </w:t>
      </w:r>
    </w:p>
    <w:p w14:paraId="728EF002" w14:textId="77777777" w:rsidR="00D425B5" w:rsidRDefault="00D425B5" w:rsidP="00D425B5">
      <w:pPr>
        <w:rPr>
          <w:rFonts w:asciiTheme="minorHAnsi" w:hAnsiTheme="minorHAnsi" w:cstheme="minorHAnsi"/>
        </w:rPr>
      </w:pPr>
      <w:r>
        <w:rPr>
          <w:b/>
          <w:sz w:val="24"/>
          <w:szCs w:val="24"/>
        </w:rPr>
        <w:br/>
      </w:r>
      <w:r>
        <w:rPr>
          <w:rFonts w:asciiTheme="minorHAnsi" w:hAnsiTheme="minorHAnsi" w:cstheme="minorHAnsi"/>
        </w:rPr>
        <w:t>Since our last update to the Board in November 2020, PLA has offered two paid webinars:</w:t>
      </w:r>
    </w:p>
    <w:p w14:paraId="709A639A" w14:textId="77777777" w:rsidR="00D425B5" w:rsidRDefault="00D425B5" w:rsidP="00D425B5">
      <w:pPr>
        <w:rPr>
          <w:rFonts w:asciiTheme="minorHAnsi" w:hAnsiTheme="minorHAnsi" w:cstheme="minorHAnsi"/>
        </w:rPr>
      </w:pPr>
    </w:p>
    <w:tbl>
      <w:tblPr>
        <w:tblStyle w:val="TableGrid"/>
        <w:tblW w:w="0" w:type="auto"/>
        <w:tblLook w:val="04A0" w:firstRow="1" w:lastRow="0" w:firstColumn="1" w:lastColumn="0" w:noHBand="0" w:noVBand="1"/>
      </w:tblPr>
      <w:tblGrid>
        <w:gridCol w:w="1487"/>
        <w:gridCol w:w="5209"/>
        <w:gridCol w:w="1327"/>
        <w:gridCol w:w="1327"/>
      </w:tblGrid>
      <w:tr w:rsidR="00D425B5" w14:paraId="4913A06D" w14:textId="77777777" w:rsidTr="00D425B5">
        <w:tc>
          <w:tcPr>
            <w:tcW w:w="1487" w:type="dxa"/>
            <w:tcBorders>
              <w:top w:val="single" w:sz="4" w:space="0" w:color="auto"/>
              <w:left w:val="single" w:sz="4" w:space="0" w:color="auto"/>
              <w:bottom w:val="single" w:sz="4" w:space="0" w:color="auto"/>
              <w:right w:val="single" w:sz="4" w:space="0" w:color="auto"/>
            </w:tcBorders>
            <w:hideMark/>
          </w:tcPr>
          <w:p w14:paraId="6DEBF3EB" w14:textId="77777777" w:rsidR="00D425B5" w:rsidRDefault="00D425B5">
            <w:pPr>
              <w:rPr>
                <w:rFonts w:asciiTheme="minorHAnsi" w:hAnsiTheme="minorHAnsi" w:cstheme="minorHAnsi"/>
                <w:b/>
                <w:bCs/>
              </w:rPr>
            </w:pPr>
            <w:r>
              <w:rPr>
                <w:rFonts w:asciiTheme="minorHAnsi" w:hAnsiTheme="minorHAnsi" w:cstheme="minorHAnsi"/>
                <w:b/>
                <w:bCs/>
              </w:rPr>
              <w:t>Date</w:t>
            </w:r>
          </w:p>
        </w:tc>
        <w:tc>
          <w:tcPr>
            <w:tcW w:w="5209" w:type="dxa"/>
            <w:tcBorders>
              <w:top w:val="single" w:sz="4" w:space="0" w:color="auto"/>
              <w:left w:val="single" w:sz="4" w:space="0" w:color="auto"/>
              <w:bottom w:val="single" w:sz="4" w:space="0" w:color="auto"/>
              <w:right w:val="single" w:sz="4" w:space="0" w:color="auto"/>
            </w:tcBorders>
            <w:hideMark/>
          </w:tcPr>
          <w:p w14:paraId="0FF96AA5" w14:textId="77777777" w:rsidR="00D425B5" w:rsidRDefault="00D425B5">
            <w:pPr>
              <w:rPr>
                <w:rFonts w:asciiTheme="minorHAnsi" w:hAnsiTheme="minorHAnsi" w:cstheme="minorHAnsi"/>
                <w:b/>
                <w:bCs/>
              </w:rPr>
            </w:pPr>
            <w:r>
              <w:rPr>
                <w:rFonts w:asciiTheme="minorHAnsi" w:hAnsiTheme="minorHAnsi" w:cstheme="minorHAnsi"/>
                <w:b/>
                <w:bCs/>
              </w:rPr>
              <w:t>Title</w:t>
            </w:r>
          </w:p>
        </w:tc>
        <w:tc>
          <w:tcPr>
            <w:tcW w:w="1327" w:type="dxa"/>
            <w:tcBorders>
              <w:top w:val="single" w:sz="4" w:space="0" w:color="auto"/>
              <w:left w:val="single" w:sz="4" w:space="0" w:color="auto"/>
              <w:bottom w:val="single" w:sz="4" w:space="0" w:color="auto"/>
              <w:right w:val="single" w:sz="4" w:space="0" w:color="auto"/>
            </w:tcBorders>
            <w:hideMark/>
          </w:tcPr>
          <w:p w14:paraId="6E7D018C" w14:textId="77777777" w:rsidR="00D425B5" w:rsidRDefault="00D425B5">
            <w:pPr>
              <w:rPr>
                <w:rFonts w:asciiTheme="minorHAnsi" w:hAnsiTheme="minorHAnsi" w:cstheme="minorHAnsi"/>
                <w:b/>
                <w:bCs/>
              </w:rPr>
            </w:pPr>
            <w:r>
              <w:rPr>
                <w:rFonts w:asciiTheme="minorHAnsi" w:hAnsiTheme="minorHAnsi" w:cstheme="minorHAnsi"/>
                <w:b/>
                <w:bCs/>
              </w:rPr>
              <w:t>Individual Registration</w:t>
            </w:r>
          </w:p>
        </w:tc>
        <w:tc>
          <w:tcPr>
            <w:tcW w:w="1327" w:type="dxa"/>
            <w:tcBorders>
              <w:top w:val="single" w:sz="4" w:space="0" w:color="auto"/>
              <w:left w:val="single" w:sz="4" w:space="0" w:color="auto"/>
              <w:bottom w:val="single" w:sz="4" w:space="0" w:color="auto"/>
              <w:right w:val="single" w:sz="4" w:space="0" w:color="auto"/>
            </w:tcBorders>
            <w:hideMark/>
          </w:tcPr>
          <w:p w14:paraId="4CB14E3F" w14:textId="77777777" w:rsidR="00D425B5" w:rsidRDefault="00D425B5">
            <w:pPr>
              <w:rPr>
                <w:rFonts w:asciiTheme="minorHAnsi" w:hAnsiTheme="minorHAnsi" w:cstheme="minorHAnsi"/>
                <w:b/>
                <w:bCs/>
              </w:rPr>
            </w:pPr>
            <w:r>
              <w:rPr>
                <w:rFonts w:asciiTheme="minorHAnsi" w:hAnsiTheme="minorHAnsi" w:cstheme="minorHAnsi"/>
                <w:b/>
                <w:bCs/>
              </w:rPr>
              <w:t>Group Registration</w:t>
            </w:r>
          </w:p>
        </w:tc>
      </w:tr>
      <w:tr w:rsidR="00D425B5" w14:paraId="45634D93" w14:textId="77777777" w:rsidTr="00D425B5">
        <w:tc>
          <w:tcPr>
            <w:tcW w:w="1487" w:type="dxa"/>
            <w:tcBorders>
              <w:top w:val="single" w:sz="4" w:space="0" w:color="auto"/>
              <w:left w:val="single" w:sz="4" w:space="0" w:color="auto"/>
              <w:bottom w:val="single" w:sz="4" w:space="0" w:color="auto"/>
              <w:right w:val="single" w:sz="4" w:space="0" w:color="auto"/>
            </w:tcBorders>
            <w:vAlign w:val="bottom"/>
            <w:hideMark/>
          </w:tcPr>
          <w:p w14:paraId="10FE51C3" w14:textId="77777777" w:rsidR="00D425B5" w:rsidRDefault="00D425B5">
            <w:pPr>
              <w:rPr>
                <w:rFonts w:asciiTheme="minorHAnsi" w:hAnsiTheme="minorHAnsi" w:cstheme="minorHAnsi"/>
              </w:rPr>
            </w:pPr>
            <w:r>
              <w:rPr>
                <w:rFonts w:ascii="Calibri" w:hAnsi="Calibri" w:cs="Calibri"/>
                <w:color w:val="000000"/>
              </w:rPr>
              <w:t>December 9</w:t>
            </w:r>
          </w:p>
        </w:tc>
        <w:tc>
          <w:tcPr>
            <w:tcW w:w="5209" w:type="dxa"/>
            <w:tcBorders>
              <w:top w:val="single" w:sz="4" w:space="0" w:color="auto"/>
              <w:left w:val="single" w:sz="4" w:space="0" w:color="auto"/>
              <w:bottom w:val="single" w:sz="4" w:space="0" w:color="auto"/>
              <w:right w:val="single" w:sz="4" w:space="0" w:color="auto"/>
            </w:tcBorders>
            <w:vAlign w:val="bottom"/>
            <w:hideMark/>
          </w:tcPr>
          <w:p w14:paraId="0793695B" w14:textId="77777777" w:rsidR="00D425B5" w:rsidRDefault="00D425B5">
            <w:pPr>
              <w:rPr>
                <w:rFonts w:asciiTheme="minorHAnsi" w:hAnsiTheme="minorHAnsi" w:cstheme="minorHAnsi"/>
              </w:rPr>
            </w:pPr>
            <w:r>
              <w:rPr>
                <w:rFonts w:asciiTheme="minorHAnsi" w:hAnsiTheme="minorHAnsi" w:cstheme="minorHAnsi"/>
              </w:rPr>
              <w:t>Representation in the Library of Congress Collections</w:t>
            </w:r>
          </w:p>
        </w:tc>
        <w:tc>
          <w:tcPr>
            <w:tcW w:w="1327" w:type="dxa"/>
            <w:tcBorders>
              <w:top w:val="single" w:sz="4" w:space="0" w:color="auto"/>
              <w:left w:val="single" w:sz="4" w:space="0" w:color="auto"/>
              <w:bottom w:val="single" w:sz="4" w:space="0" w:color="auto"/>
              <w:right w:val="single" w:sz="4" w:space="0" w:color="auto"/>
            </w:tcBorders>
            <w:vAlign w:val="bottom"/>
            <w:hideMark/>
          </w:tcPr>
          <w:p w14:paraId="3D3D6E6C" w14:textId="77777777" w:rsidR="00D425B5" w:rsidRDefault="00D425B5">
            <w:pPr>
              <w:rPr>
                <w:rFonts w:asciiTheme="minorHAnsi" w:hAnsiTheme="minorHAnsi" w:cstheme="minorHAnsi"/>
              </w:rPr>
            </w:pPr>
            <w:r>
              <w:rPr>
                <w:rFonts w:asciiTheme="minorHAnsi" w:hAnsiTheme="minorHAnsi" w:cstheme="minorHAnsi"/>
              </w:rPr>
              <w:t>16</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8C1FF12" w14:textId="77777777" w:rsidR="00D425B5" w:rsidRDefault="00D425B5">
            <w:pPr>
              <w:rPr>
                <w:rFonts w:asciiTheme="minorHAnsi" w:hAnsiTheme="minorHAnsi" w:cstheme="minorHAnsi"/>
              </w:rPr>
            </w:pPr>
            <w:r>
              <w:rPr>
                <w:rFonts w:asciiTheme="minorHAnsi" w:hAnsiTheme="minorHAnsi" w:cstheme="minorHAnsi"/>
              </w:rPr>
              <w:t>4</w:t>
            </w:r>
          </w:p>
        </w:tc>
      </w:tr>
      <w:tr w:rsidR="00D425B5" w14:paraId="4C250FD7" w14:textId="77777777" w:rsidTr="00D425B5">
        <w:tc>
          <w:tcPr>
            <w:tcW w:w="1487" w:type="dxa"/>
            <w:tcBorders>
              <w:top w:val="single" w:sz="4" w:space="0" w:color="auto"/>
              <w:left w:val="single" w:sz="4" w:space="0" w:color="auto"/>
              <w:bottom w:val="single" w:sz="4" w:space="0" w:color="auto"/>
              <w:right w:val="single" w:sz="4" w:space="0" w:color="auto"/>
            </w:tcBorders>
            <w:vAlign w:val="bottom"/>
            <w:hideMark/>
          </w:tcPr>
          <w:p w14:paraId="0DA3D9F2" w14:textId="77777777" w:rsidR="00D425B5" w:rsidRDefault="00D425B5">
            <w:pPr>
              <w:rPr>
                <w:rFonts w:asciiTheme="minorHAnsi" w:hAnsiTheme="minorHAnsi" w:cstheme="minorHAnsi"/>
              </w:rPr>
            </w:pPr>
            <w:r>
              <w:rPr>
                <w:rFonts w:ascii="Calibri" w:hAnsi="Calibri" w:cs="Calibri"/>
                <w:color w:val="000000"/>
              </w:rPr>
              <w:t>November 19</w:t>
            </w:r>
          </w:p>
        </w:tc>
        <w:tc>
          <w:tcPr>
            <w:tcW w:w="5209" w:type="dxa"/>
            <w:tcBorders>
              <w:top w:val="single" w:sz="4" w:space="0" w:color="auto"/>
              <w:left w:val="single" w:sz="4" w:space="0" w:color="auto"/>
              <w:bottom w:val="single" w:sz="4" w:space="0" w:color="auto"/>
              <w:right w:val="single" w:sz="4" w:space="0" w:color="auto"/>
            </w:tcBorders>
            <w:vAlign w:val="bottom"/>
            <w:hideMark/>
          </w:tcPr>
          <w:p w14:paraId="61ECCEB6" w14:textId="77777777" w:rsidR="00D425B5" w:rsidRDefault="00D425B5">
            <w:pPr>
              <w:rPr>
                <w:rFonts w:asciiTheme="minorHAnsi" w:hAnsiTheme="minorHAnsi" w:cstheme="minorHAnsi"/>
              </w:rPr>
            </w:pPr>
            <w:r>
              <w:rPr>
                <w:rFonts w:ascii="Calibri" w:hAnsi="Calibri" w:cs="Calibri"/>
                <w:color w:val="000000"/>
              </w:rPr>
              <w:t>Providing Library Senior Services in a COVID-19 World</w:t>
            </w:r>
          </w:p>
        </w:tc>
        <w:tc>
          <w:tcPr>
            <w:tcW w:w="1327" w:type="dxa"/>
            <w:tcBorders>
              <w:top w:val="single" w:sz="4" w:space="0" w:color="auto"/>
              <w:left w:val="single" w:sz="4" w:space="0" w:color="auto"/>
              <w:bottom w:val="single" w:sz="4" w:space="0" w:color="auto"/>
              <w:right w:val="single" w:sz="4" w:space="0" w:color="auto"/>
            </w:tcBorders>
            <w:vAlign w:val="bottom"/>
            <w:hideMark/>
          </w:tcPr>
          <w:p w14:paraId="54C305FD" w14:textId="77777777" w:rsidR="00D425B5" w:rsidRDefault="00D425B5">
            <w:pPr>
              <w:rPr>
                <w:rFonts w:asciiTheme="minorHAnsi" w:hAnsiTheme="minorHAnsi" w:cstheme="minorHAnsi"/>
              </w:rPr>
            </w:pPr>
            <w:r>
              <w:rPr>
                <w:rFonts w:asciiTheme="minorHAnsi" w:hAnsiTheme="minorHAnsi" w:cstheme="minorHAnsi"/>
              </w:rPr>
              <w:t>222</w:t>
            </w:r>
          </w:p>
        </w:tc>
        <w:tc>
          <w:tcPr>
            <w:tcW w:w="1327" w:type="dxa"/>
            <w:tcBorders>
              <w:top w:val="single" w:sz="4" w:space="0" w:color="auto"/>
              <w:left w:val="single" w:sz="4" w:space="0" w:color="auto"/>
              <w:bottom w:val="single" w:sz="4" w:space="0" w:color="auto"/>
              <w:right w:val="single" w:sz="4" w:space="0" w:color="auto"/>
            </w:tcBorders>
            <w:vAlign w:val="bottom"/>
            <w:hideMark/>
          </w:tcPr>
          <w:p w14:paraId="58C9AE00" w14:textId="77777777" w:rsidR="00D425B5" w:rsidRDefault="00D425B5">
            <w:pPr>
              <w:rPr>
                <w:rFonts w:asciiTheme="minorHAnsi" w:hAnsiTheme="minorHAnsi" w:cstheme="minorHAnsi"/>
              </w:rPr>
            </w:pPr>
            <w:r>
              <w:rPr>
                <w:rFonts w:asciiTheme="minorHAnsi" w:hAnsiTheme="minorHAnsi" w:cstheme="minorHAnsi"/>
              </w:rPr>
              <w:t>59</w:t>
            </w:r>
          </w:p>
        </w:tc>
      </w:tr>
    </w:tbl>
    <w:p w14:paraId="44DD7CC7" w14:textId="77777777" w:rsidR="00D425B5" w:rsidRDefault="00D425B5" w:rsidP="00D425B5">
      <w:pPr>
        <w:rPr>
          <w:rFonts w:asciiTheme="minorHAnsi" w:hAnsiTheme="minorHAnsi" w:cstheme="minorHAnsi"/>
        </w:rPr>
      </w:pPr>
    </w:p>
    <w:p w14:paraId="0008B7B0" w14:textId="77777777" w:rsidR="00D425B5" w:rsidRDefault="00D425B5" w:rsidP="00D425B5">
      <w:pPr>
        <w:rPr>
          <w:rFonts w:asciiTheme="minorHAnsi" w:hAnsiTheme="minorHAnsi" w:cstheme="minorHAnsi"/>
        </w:rPr>
      </w:pPr>
      <w:r>
        <w:rPr>
          <w:rFonts w:asciiTheme="minorHAnsi" w:hAnsiTheme="minorHAnsi" w:cstheme="minorHAnsi"/>
        </w:rPr>
        <w:t>PLA will also be offering paid webinars on January 13, “Orientation to Library Simplified: The Library-Driven Platform,” which has 37 individual and 10 group registrations at the time of this writing; and on February 10, “The Ezra Jack Keats Award: 35 Years of Making a Difference in Diverse Picture Books.”</w:t>
      </w:r>
    </w:p>
    <w:p w14:paraId="697B82CC" w14:textId="77777777" w:rsidR="00D425B5" w:rsidRDefault="00D425B5" w:rsidP="00D425B5">
      <w:pPr>
        <w:rPr>
          <w:rFonts w:asciiTheme="minorHAnsi" w:hAnsiTheme="minorHAnsi" w:cstheme="minorHAnsi"/>
        </w:rPr>
      </w:pPr>
    </w:p>
    <w:p w14:paraId="4255BE3A" w14:textId="77777777" w:rsidR="00D425B5" w:rsidRDefault="00D425B5" w:rsidP="00D425B5">
      <w:pPr>
        <w:rPr>
          <w:rFonts w:asciiTheme="minorHAnsi" w:hAnsiTheme="minorHAnsi" w:cstheme="minorHAnsi"/>
        </w:rPr>
      </w:pPr>
      <w:r>
        <w:rPr>
          <w:rFonts w:asciiTheme="minorHAnsi" w:hAnsiTheme="minorHAnsi" w:cstheme="minorHAnsi"/>
        </w:rPr>
        <w:t>In addition, PLA will be offering 3 live webinars for public librarians across the state of California, funded by their CALL grant, that will bring in $24,000 in revenue over the next 3 months. This opportunity came to fruition through PLA’s contribution to a centralized ALA eLearning catalog, and PLA’s content constitutes almost 60% of the $41,000 total revenue coming in through this contract. These live webinars will be “encore presentations” of the following past PLA webinars:</w:t>
      </w:r>
    </w:p>
    <w:p w14:paraId="6E6F90AF" w14:textId="77777777" w:rsidR="00D425B5" w:rsidRDefault="00D425B5" w:rsidP="00D425B5">
      <w:pPr>
        <w:rPr>
          <w:rFonts w:asciiTheme="minorHAnsi" w:hAnsiTheme="minorHAnsi" w:cstheme="minorHAnsi"/>
        </w:rPr>
      </w:pPr>
    </w:p>
    <w:p w14:paraId="490E6CB4" w14:textId="77777777" w:rsidR="00D425B5" w:rsidRDefault="00D425B5" w:rsidP="00D425B5">
      <w:pPr>
        <w:pStyle w:val="ListParagraph"/>
        <w:numPr>
          <w:ilvl w:val="0"/>
          <w:numId w:val="27"/>
        </w:numPr>
        <w:rPr>
          <w:rFonts w:asciiTheme="minorHAnsi" w:hAnsiTheme="minorHAnsi" w:cstheme="minorHAnsi"/>
        </w:rPr>
      </w:pPr>
      <w:r>
        <w:rPr>
          <w:rFonts w:asciiTheme="minorHAnsi" w:hAnsiTheme="minorHAnsi" w:cstheme="minorHAnsi"/>
        </w:rPr>
        <w:t>Transition Planned In-Person Adult Programs to a Virtual Environment (January 21, 2021)</w:t>
      </w:r>
    </w:p>
    <w:p w14:paraId="496D1B38" w14:textId="77777777" w:rsidR="00D425B5" w:rsidRDefault="00D425B5" w:rsidP="00D425B5">
      <w:pPr>
        <w:pStyle w:val="ListParagraph"/>
        <w:numPr>
          <w:ilvl w:val="0"/>
          <w:numId w:val="27"/>
        </w:numPr>
        <w:rPr>
          <w:rFonts w:asciiTheme="minorHAnsi" w:hAnsiTheme="minorHAnsi" w:cstheme="minorHAnsi"/>
        </w:rPr>
      </w:pPr>
      <w:r>
        <w:rPr>
          <w:rFonts w:asciiTheme="minorHAnsi" w:hAnsiTheme="minorHAnsi" w:cstheme="minorHAnsi"/>
        </w:rPr>
        <w:t>Training Staff to Serve Patrons Experiencing Homelessness in the Suburbs (February 18, 2021)</w:t>
      </w:r>
    </w:p>
    <w:p w14:paraId="79BA0769" w14:textId="77777777" w:rsidR="00D425B5" w:rsidRDefault="00D425B5" w:rsidP="00D425B5">
      <w:pPr>
        <w:pStyle w:val="ListParagraph"/>
        <w:numPr>
          <w:ilvl w:val="0"/>
          <w:numId w:val="27"/>
        </w:numPr>
        <w:rPr>
          <w:rFonts w:asciiTheme="minorHAnsi" w:hAnsiTheme="minorHAnsi" w:cstheme="minorHAnsi"/>
        </w:rPr>
      </w:pPr>
      <w:r>
        <w:rPr>
          <w:rFonts w:asciiTheme="minorHAnsi" w:hAnsiTheme="minorHAnsi" w:cstheme="minorHAnsi"/>
        </w:rPr>
        <w:t>Intentional Inclusion: Disrupting Middle Class Bias (March 30, 2021)</w:t>
      </w:r>
    </w:p>
    <w:p w14:paraId="70BB3FB4" w14:textId="77777777" w:rsidR="00D425B5" w:rsidRDefault="00D425B5" w:rsidP="00D425B5">
      <w:pPr>
        <w:rPr>
          <w:rFonts w:asciiTheme="minorHAnsi" w:hAnsiTheme="minorHAnsi" w:cstheme="minorHAnsi"/>
        </w:rPr>
      </w:pPr>
    </w:p>
    <w:p w14:paraId="5A87C045" w14:textId="77777777" w:rsidR="00D425B5" w:rsidRDefault="00D425B5" w:rsidP="00D425B5">
      <w:pPr>
        <w:rPr>
          <w:rFonts w:asciiTheme="minorHAnsi" w:hAnsiTheme="minorHAnsi" w:cstheme="minorHAnsi"/>
          <w:b/>
          <w:bCs/>
        </w:rPr>
      </w:pPr>
      <w:r>
        <w:rPr>
          <w:rFonts w:asciiTheme="minorHAnsi" w:hAnsiTheme="minorHAnsi" w:cstheme="minorHAnsi"/>
        </w:rPr>
        <w:t xml:space="preserve">PLA’s most recent call for webinar proposals closed November 30, with 60 proposals received. PLA’s Continuing Education Advisory Board completed its review of proposals in early January. Additional </w:t>
      </w:r>
      <w:r>
        <w:rPr>
          <w:rFonts w:asciiTheme="minorHAnsi" w:hAnsiTheme="minorHAnsi" w:cstheme="minorHAnsi"/>
        </w:rPr>
        <w:lastRenderedPageBreak/>
        <w:t>accepted proposals will be scheduled as webinars for March – August 2021, and staff are also evaluating sessions for possible presentation during the spring PLA Virtual Event.</w:t>
      </w:r>
    </w:p>
    <w:p w14:paraId="6F339DF0" w14:textId="77777777" w:rsidR="00D425B5" w:rsidRDefault="00D425B5" w:rsidP="4E08267B">
      <w:pPr>
        <w:spacing w:line="276" w:lineRule="auto"/>
        <w:ind w:left="1" w:hanging="1"/>
        <w:rPr>
          <w:rFonts w:ascii="Calibri" w:hAnsi="Calibri" w:cs="Calibri"/>
          <w:color w:val="030303"/>
        </w:rPr>
      </w:pPr>
    </w:p>
    <w:p w14:paraId="2A001C6E" w14:textId="1FA53490" w:rsidR="4E08267B" w:rsidRDefault="4E08267B" w:rsidP="4E08267B">
      <w:pPr>
        <w:rPr>
          <w:rFonts w:asciiTheme="minorHAnsi" w:hAnsiTheme="minorHAnsi"/>
        </w:rPr>
      </w:pPr>
    </w:p>
    <w:sectPr w:rsidR="4E08267B" w:rsidSect="00C450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862E" w14:textId="77777777" w:rsidR="006F166F" w:rsidRDefault="006F166F" w:rsidP="00835953">
      <w:r>
        <w:separator/>
      </w:r>
    </w:p>
  </w:endnote>
  <w:endnote w:type="continuationSeparator" w:id="0">
    <w:p w14:paraId="319F5A59" w14:textId="77777777" w:rsidR="006F166F" w:rsidRDefault="006F166F"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D72C" w14:textId="1C89690F"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0F19" w14:textId="77777777" w:rsidR="006F166F" w:rsidRDefault="006F166F" w:rsidP="00835953">
      <w:r>
        <w:separator/>
      </w:r>
    </w:p>
  </w:footnote>
  <w:footnote w:type="continuationSeparator" w:id="0">
    <w:p w14:paraId="0CF1B946" w14:textId="77777777" w:rsidR="006F166F" w:rsidRDefault="006F166F"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955F" w14:textId="77777777" w:rsidR="000678CF" w:rsidRPr="000678CF" w:rsidRDefault="00DD1B11" w:rsidP="000678CF">
    <w:pPr>
      <w:pStyle w:val="Header"/>
      <w:jc w:val="right"/>
      <w:rPr>
        <w:rFonts w:asciiTheme="minorHAnsi" w:hAnsiTheme="minorHAnsi"/>
      </w:rPr>
    </w:pPr>
    <w:r>
      <w:rPr>
        <w:rFonts w:asciiTheme="minorHAnsi" w:hAnsiTheme="minorHAnsi"/>
      </w:rPr>
      <w:tab/>
    </w:r>
    <w:r>
      <w:rPr>
        <w:rFonts w:asciiTheme="minorHAnsi" w:hAnsiTheme="minorHAnsi"/>
      </w:rPr>
      <w:tab/>
    </w:r>
    <w:r w:rsidR="000678CF" w:rsidRPr="000678CF">
      <w:rPr>
        <w:rFonts w:asciiTheme="minorHAnsi" w:hAnsiTheme="minorHAnsi"/>
      </w:rPr>
      <w:t>PLA Board of Directors</w:t>
    </w:r>
  </w:p>
  <w:p w14:paraId="42A65ACB" w14:textId="77777777" w:rsidR="000678CF" w:rsidRPr="000678CF" w:rsidRDefault="000678CF" w:rsidP="000678CF">
    <w:pPr>
      <w:pStyle w:val="Header"/>
      <w:jc w:val="right"/>
      <w:rPr>
        <w:rFonts w:asciiTheme="minorHAnsi" w:hAnsiTheme="minorHAnsi"/>
      </w:rPr>
    </w:pPr>
    <w:r w:rsidRPr="000678CF">
      <w:rPr>
        <w:rFonts w:asciiTheme="minorHAnsi" w:hAnsiTheme="minorHAnsi"/>
      </w:rPr>
      <w:t>January 22, 2021 Virtual Meeting</w:t>
    </w:r>
  </w:p>
  <w:p w14:paraId="7AE7CE1D" w14:textId="4872E64C" w:rsidR="00E83506" w:rsidRDefault="000678CF" w:rsidP="000678CF">
    <w:pPr>
      <w:pStyle w:val="Header"/>
      <w:jc w:val="right"/>
      <w:rPr>
        <w:rFonts w:asciiTheme="minorHAnsi" w:hAnsiTheme="minorHAnsi"/>
      </w:rPr>
    </w:pPr>
    <w:r w:rsidRPr="000678CF">
      <w:rPr>
        <w:rFonts w:asciiTheme="minorHAnsi" w:hAnsiTheme="minorHAnsi"/>
      </w:rPr>
      <w:t>Document no.: 2021.</w:t>
    </w:r>
    <w:r w:rsidR="00453D19">
      <w:rPr>
        <w:rFonts w:asciiTheme="minorHAnsi" w:hAnsiTheme="minorHAnsi"/>
      </w:rPr>
      <w:t>37</w:t>
    </w:r>
  </w:p>
  <w:p w14:paraId="6DD8D044" w14:textId="77777777" w:rsidR="000678CF" w:rsidRPr="00DA25E3" w:rsidRDefault="000678CF" w:rsidP="000678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476DB0"/>
    <w:multiLevelType w:val="hybridMultilevel"/>
    <w:tmpl w:val="9BC4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21E4"/>
    <w:multiLevelType w:val="hybridMultilevel"/>
    <w:tmpl w:val="CB9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76006"/>
    <w:multiLevelType w:val="hybridMultilevel"/>
    <w:tmpl w:val="3472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3"/>
  </w:num>
  <w:num w:numId="6">
    <w:abstractNumId w:val="24"/>
  </w:num>
  <w:num w:numId="7">
    <w:abstractNumId w:val="22"/>
  </w:num>
  <w:num w:numId="8">
    <w:abstractNumId w:val="16"/>
  </w:num>
  <w:num w:numId="9">
    <w:abstractNumId w:val="13"/>
  </w:num>
  <w:num w:numId="10">
    <w:abstractNumId w:val="6"/>
  </w:num>
  <w:num w:numId="11">
    <w:abstractNumId w:val="17"/>
  </w:num>
  <w:num w:numId="12">
    <w:abstractNumId w:val="0"/>
  </w:num>
  <w:num w:numId="13">
    <w:abstractNumId w:val="8"/>
  </w:num>
  <w:num w:numId="14">
    <w:abstractNumId w:val="12"/>
  </w:num>
  <w:num w:numId="15">
    <w:abstractNumId w:val="1"/>
  </w:num>
  <w:num w:numId="16">
    <w:abstractNumId w:val="4"/>
  </w:num>
  <w:num w:numId="17">
    <w:abstractNumId w:val="25"/>
  </w:num>
  <w:num w:numId="18">
    <w:abstractNumId w:val="5"/>
  </w:num>
  <w:num w:numId="19">
    <w:abstractNumId w:val="3"/>
  </w:num>
  <w:num w:numId="20">
    <w:abstractNumId w:val="20"/>
  </w:num>
  <w:num w:numId="21">
    <w:abstractNumId w:val="10"/>
  </w:num>
  <w:num w:numId="22">
    <w:abstractNumId w:val="11"/>
  </w:num>
  <w:num w:numId="23">
    <w:abstractNumId w:val="19"/>
  </w:num>
  <w:num w:numId="24">
    <w:abstractNumId w:val="15"/>
  </w:num>
  <w:num w:numId="25">
    <w:abstractNumId w:val="14"/>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704A"/>
    <w:rsid w:val="0005048D"/>
    <w:rsid w:val="00050E46"/>
    <w:rsid w:val="00066E72"/>
    <w:rsid w:val="000678CF"/>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36D1"/>
    <w:rsid w:val="00164145"/>
    <w:rsid w:val="0017246B"/>
    <w:rsid w:val="001734F8"/>
    <w:rsid w:val="00173AEE"/>
    <w:rsid w:val="001A709A"/>
    <w:rsid w:val="001C1FCD"/>
    <w:rsid w:val="001D1269"/>
    <w:rsid w:val="001F52A2"/>
    <w:rsid w:val="00214B30"/>
    <w:rsid w:val="00217969"/>
    <w:rsid w:val="00226B41"/>
    <w:rsid w:val="0023120E"/>
    <w:rsid w:val="0023449D"/>
    <w:rsid w:val="002406B9"/>
    <w:rsid w:val="002427CC"/>
    <w:rsid w:val="002466C4"/>
    <w:rsid w:val="00247C0D"/>
    <w:rsid w:val="00256710"/>
    <w:rsid w:val="00270DB5"/>
    <w:rsid w:val="00273FD6"/>
    <w:rsid w:val="002B06F9"/>
    <w:rsid w:val="002B765E"/>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D02AE"/>
    <w:rsid w:val="003D196C"/>
    <w:rsid w:val="003D2C5D"/>
    <w:rsid w:val="003E5F29"/>
    <w:rsid w:val="003E7778"/>
    <w:rsid w:val="0042524D"/>
    <w:rsid w:val="00425F1F"/>
    <w:rsid w:val="00427B50"/>
    <w:rsid w:val="004351F1"/>
    <w:rsid w:val="0043774E"/>
    <w:rsid w:val="004433B2"/>
    <w:rsid w:val="0044711E"/>
    <w:rsid w:val="00453D19"/>
    <w:rsid w:val="004547C4"/>
    <w:rsid w:val="004567CA"/>
    <w:rsid w:val="0046669C"/>
    <w:rsid w:val="004C199C"/>
    <w:rsid w:val="004C70CD"/>
    <w:rsid w:val="004D3C8E"/>
    <w:rsid w:val="00500609"/>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472E1"/>
    <w:rsid w:val="00651831"/>
    <w:rsid w:val="00667DAE"/>
    <w:rsid w:val="0067319A"/>
    <w:rsid w:val="0068110B"/>
    <w:rsid w:val="00686011"/>
    <w:rsid w:val="00692F37"/>
    <w:rsid w:val="00694B07"/>
    <w:rsid w:val="006A4455"/>
    <w:rsid w:val="006B7262"/>
    <w:rsid w:val="006C7BD5"/>
    <w:rsid w:val="006D0EFC"/>
    <w:rsid w:val="006E38E2"/>
    <w:rsid w:val="006F166F"/>
    <w:rsid w:val="006F4C06"/>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B2111"/>
    <w:rsid w:val="007C51C6"/>
    <w:rsid w:val="007E059E"/>
    <w:rsid w:val="0080316C"/>
    <w:rsid w:val="008164F7"/>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24547"/>
    <w:rsid w:val="00931C4E"/>
    <w:rsid w:val="00935422"/>
    <w:rsid w:val="00944261"/>
    <w:rsid w:val="009517AA"/>
    <w:rsid w:val="00953105"/>
    <w:rsid w:val="00957BDC"/>
    <w:rsid w:val="0097672F"/>
    <w:rsid w:val="00985D4E"/>
    <w:rsid w:val="0098675F"/>
    <w:rsid w:val="00994013"/>
    <w:rsid w:val="009B76FB"/>
    <w:rsid w:val="009C4439"/>
    <w:rsid w:val="009C5517"/>
    <w:rsid w:val="00A14EF4"/>
    <w:rsid w:val="00A15DD4"/>
    <w:rsid w:val="00A16121"/>
    <w:rsid w:val="00A22CB1"/>
    <w:rsid w:val="00A25B34"/>
    <w:rsid w:val="00A269D0"/>
    <w:rsid w:val="00A37744"/>
    <w:rsid w:val="00A41365"/>
    <w:rsid w:val="00A4461B"/>
    <w:rsid w:val="00A45381"/>
    <w:rsid w:val="00A65363"/>
    <w:rsid w:val="00A70741"/>
    <w:rsid w:val="00A83CC7"/>
    <w:rsid w:val="00A85154"/>
    <w:rsid w:val="00A86E8F"/>
    <w:rsid w:val="00A911F8"/>
    <w:rsid w:val="00AA2CB5"/>
    <w:rsid w:val="00AA558B"/>
    <w:rsid w:val="00AB33A8"/>
    <w:rsid w:val="00AB49B2"/>
    <w:rsid w:val="00AC389D"/>
    <w:rsid w:val="00AC390A"/>
    <w:rsid w:val="00AC5EC3"/>
    <w:rsid w:val="00AC7670"/>
    <w:rsid w:val="00AD6A13"/>
    <w:rsid w:val="00AE7C29"/>
    <w:rsid w:val="00AF79B4"/>
    <w:rsid w:val="00B037F1"/>
    <w:rsid w:val="00B30B65"/>
    <w:rsid w:val="00B32CB5"/>
    <w:rsid w:val="00B371CD"/>
    <w:rsid w:val="00B42804"/>
    <w:rsid w:val="00B432CF"/>
    <w:rsid w:val="00B47476"/>
    <w:rsid w:val="00B66C34"/>
    <w:rsid w:val="00B76D52"/>
    <w:rsid w:val="00B86363"/>
    <w:rsid w:val="00B95697"/>
    <w:rsid w:val="00BA406A"/>
    <w:rsid w:val="00BB5BF0"/>
    <w:rsid w:val="00BB6A56"/>
    <w:rsid w:val="00BD61C0"/>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413DF"/>
    <w:rsid w:val="00D425B5"/>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83506"/>
    <w:rsid w:val="00E91AC8"/>
    <w:rsid w:val="00E9467E"/>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 w:val="4E08267B"/>
    <w:rsid w:val="7429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21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3475">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94541994">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51628670">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26520508">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44235-3D6B-4DBC-8F66-EA029919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8159D-219F-4F59-B266-8DF26C5B5A30}">
  <ds:schemaRefs>
    <ds:schemaRef ds:uri="http://schemas.openxmlformats.org/officeDocument/2006/bibliography"/>
  </ds:schemaRefs>
</ds:datastoreItem>
</file>

<file path=customXml/itemProps3.xml><?xml version="1.0" encoding="utf-8"?>
<ds:datastoreItem xmlns:ds="http://schemas.openxmlformats.org/officeDocument/2006/customXml" ds:itemID="{A883970C-6BD2-4F44-B473-18B16184B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ECC7F-FCFA-4CEE-9C60-60138EBB8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4721</Characters>
  <Application>Microsoft Office Word</Application>
  <DocSecurity>0</DocSecurity>
  <Lines>39</Lines>
  <Paragraphs>11</Paragraphs>
  <ScaleCrop>false</ScaleCrop>
  <Company>American Library Association</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7</cp:revision>
  <dcterms:created xsi:type="dcterms:W3CDTF">2020-12-29T16:18:00Z</dcterms:created>
  <dcterms:modified xsi:type="dcterms:W3CDTF">2021-01-13T18:48:00Z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