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2D9E" w14:textId="3148C2DE" w:rsidR="00EB527F" w:rsidRPr="00BE7E5D" w:rsidRDefault="00EB527F" w:rsidP="00EB527F">
      <w:pPr>
        <w:rPr>
          <w:sz w:val="24"/>
          <w:szCs w:val="24"/>
        </w:rPr>
      </w:pPr>
      <w:r w:rsidRPr="00BE7E5D">
        <w:rPr>
          <w:b/>
          <w:sz w:val="24"/>
          <w:szCs w:val="24"/>
        </w:rPr>
        <w:t xml:space="preserve">TO: </w:t>
      </w:r>
      <w:r w:rsidRPr="00BE7E5D">
        <w:rPr>
          <w:b/>
          <w:sz w:val="24"/>
          <w:szCs w:val="24"/>
        </w:rPr>
        <w:tab/>
      </w:r>
      <w:r w:rsidRPr="00BE7E5D">
        <w:rPr>
          <w:b/>
          <w:sz w:val="24"/>
          <w:szCs w:val="24"/>
        </w:rPr>
        <w:tab/>
      </w:r>
      <w:r w:rsidRPr="00BE7E5D">
        <w:rPr>
          <w:bCs/>
          <w:sz w:val="24"/>
          <w:szCs w:val="24"/>
        </w:rPr>
        <w:t>PLA Board of Directors</w:t>
      </w:r>
      <w:r>
        <w:rPr>
          <w:bCs/>
          <w:sz w:val="24"/>
          <w:szCs w:val="24"/>
        </w:rPr>
        <w:br/>
      </w:r>
      <w:r>
        <w:rPr>
          <w:b/>
          <w:sz w:val="24"/>
          <w:szCs w:val="24"/>
        </w:rPr>
        <w:t>FROM:</w:t>
      </w:r>
      <w:r>
        <w:rPr>
          <w:b/>
          <w:sz w:val="24"/>
          <w:szCs w:val="24"/>
        </w:rPr>
        <w:tab/>
      </w:r>
      <w:r>
        <w:rPr>
          <w:b/>
          <w:sz w:val="24"/>
          <w:szCs w:val="24"/>
        </w:rPr>
        <w:tab/>
      </w:r>
      <w:r>
        <w:rPr>
          <w:sz w:val="24"/>
          <w:szCs w:val="24"/>
        </w:rPr>
        <w:t xml:space="preserve">Angela Maycock, Manager of Continuing Education, </w:t>
      </w:r>
      <w:hyperlink r:id="rId7" w:history="1">
        <w:r w:rsidRPr="009624B1">
          <w:rPr>
            <w:rStyle w:val="Hyperlink"/>
            <w:sz w:val="24"/>
            <w:szCs w:val="24"/>
          </w:rPr>
          <w:t>amaycock@ala.org</w:t>
        </w:r>
      </w:hyperlink>
      <w:r>
        <w:rPr>
          <w:sz w:val="24"/>
          <w:szCs w:val="24"/>
        </w:rPr>
        <w:t xml:space="preserve"> </w:t>
      </w:r>
      <w:r>
        <w:rPr>
          <w:sz w:val="24"/>
          <w:szCs w:val="24"/>
        </w:rPr>
        <w:br/>
      </w:r>
      <w:r w:rsidRPr="00BE7E5D">
        <w:rPr>
          <w:b/>
          <w:sz w:val="24"/>
          <w:szCs w:val="24"/>
        </w:rPr>
        <w:t>RE:</w:t>
      </w:r>
      <w:r w:rsidRPr="00BE7E5D">
        <w:rPr>
          <w:sz w:val="24"/>
          <w:szCs w:val="24"/>
        </w:rPr>
        <w:tab/>
      </w:r>
      <w:r w:rsidRPr="00BE7E5D">
        <w:rPr>
          <w:sz w:val="24"/>
          <w:szCs w:val="24"/>
        </w:rPr>
        <w:tab/>
      </w:r>
      <w:r>
        <w:rPr>
          <w:sz w:val="24"/>
          <w:szCs w:val="24"/>
        </w:rPr>
        <w:t>Continuing Education</w:t>
      </w:r>
      <w:r>
        <w:rPr>
          <w:sz w:val="24"/>
          <w:szCs w:val="24"/>
        </w:rPr>
        <w:br/>
      </w:r>
      <w:r w:rsidRPr="00BE7E5D">
        <w:rPr>
          <w:b/>
          <w:sz w:val="24"/>
          <w:szCs w:val="24"/>
        </w:rPr>
        <w:t>DATE:</w:t>
      </w:r>
      <w:r w:rsidRPr="00BE7E5D">
        <w:rPr>
          <w:sz w:val="24"/>
          <w:szCs w:val="24"/>
        </w:rPr>
        <w:tab/>
      </w:r>
      <w:r w:rsidRPr="00BE7E5D">
        <w:rPr>
          <w:sz w:val="24"/>
          <w:szCs w:val="24"/>
        </w:rPr>
        <w:tab/>
      </w:r>
      <w:r w:rsidR="007A12C3">
        <w:rPr>
          <w:sz w:val="24"/>
          <w:szCs w:val="24"/>
        </w:rPr>
        <w:t>June 3, 2019</w:t>
      </w:r>
      <w:bookmarkStart w:id="0" w:name="_GoBack"/>
      <w:bookmarkEnd w:id="0"/>
    </w:p>
    <w:p w14:paraId="13C7E3B0" w14:textId="77777777" w:rsidR="00EB527F" w:rsidRPr="00BE7E5D" w:rsidRDefault="00EB527F" w:rsidP="00EB527F">
      <w:pPr>
        <w:rPr>
          <w:sz w:val="24"/>
          <w:szCs w:val="24"/>
        </w:rPr>
      </w:pPr>
      <w:r w:rsidRPr="00BE7E5D">
        <w:rPr>
          <w:b/>
          <w:sz w:val="24"/>
          <w:szCs w:val="24"/>
        </w:rPr>
        <w:t>ACTION REQUESTED/INFORMATION/REPORT:</w:t>
      </w:r>
      <w:r w:rsidRPr="00BE7E5D">
        <w:rPr>
          <w:sz w:val="24"/>
          <w:szCs w:val="24"/>
        </w:rPr>
        <w:tab/>
        <w:t>Report</w:t>
      </w:r>
      <w:r>
        <w:rPr>
          <w:i/>
          <w:szCs w:val="24"/>
        </w:rPr>
        <w:br/>
      </w:r>
      <w:r w:rsidRPr="00BE7E5D">
        <w:rPr>
          <w:rFonts w:ascii="Calibri" w:hAnsi="Calibri"/>
          <w:b/>
          <w:sz w:val="24"/>
          <w:szCs w:val="24"/>
        </w:rPr>
        <w:t>ACTION REQUESTED BY</w:t>
      </w:r>
      <w:r w:rsidRPr="00BE7E5D">
        <w:rPr>
          <w:b/>
          <w:sz w:val="24"/>
          <w:szCs w:val="24"/>
        </w:rPr>
        <w:t>:</w:t>
      </w:r>
      <w:r>
        <w:rPr>
          <w:b/>
          <w:sz w:val="24"/>
          <w:szCs w:val="24"/>
        </w:rPr>
        <w:t xml:space="preserve">  </w:t>
      </w:r>
      <w:r>
        <w:rPr>
          <w:b/>
          <w:sz w:val="24"/>
          <w:szCs w:val="24"/>
        </w:rPr>
        <w:br/>
      </w:r>
      <w:r w:rsidRPr="00BE7E5D">
        <w:rPr>
          <w:b/>
          <w:sz w:val="24"/>
          <w:szCs w:val="24"/>
        </w:rPr>
        <w:t xml:space="preserve">DRAFT OF MOTION: </w:t>
      </w:r>
      <w:r w:rsidRPr="00BE7E5D">
        <w:rPr>
          <w:sz w:val="24"/>
          <w:szCs w:val="24"/>
        </w:rPr>
        <w:tab/>
        <w:t>N/A</w:t>
      </w:r>
    </w:p>
    <w:p w14:paraId="76768FE1" w14:textId="1CE84D4F" w:rsidR="00EB527F" w:rsidRDefault="00EB527F" w:rsidP="00EB527F">
      <w:pPr>
        <w:rPr>
          <w:sz w:val="24"/>
          <w:szCs w:val="24"/>
        </w:rPr>
      </w:pPr>
      <w:r>
        <w:rPr>
          <w:b/>
          <w:sz w:val="24"/>
          <w:szCs w:val="24"/>
        </w:rPr>
        <w:t>OVERVIEW</w:t>
      </w:r>
      <w:r>
        <w:rPr>
          <w:sz w:val="24"/>
          <w:szCs w:val="24"/>
        </w:rPr>
        <w:br/>
        <w:t xml:space="preserve">This report covers </w:t>
      </w:r>
      <w:r w:rsidRPr="00C749C9">
        <w:rPr>
          <w:sz w:val="24"/>
          <w:szCs w:val="24"/>
        </w:rPr>
        <w:t xml:space="preserve">PLA educational programming at the 2019 ALA Annual Conference </w:t>
      </w:r>
      <w:r w:rsidR="009B2E7E">
        <w:rPr>
          <w:sz w:val="24"/>
          <w:szCs w:val="24"/>
        </w:rPr>
        <w:t xml:space="preserve">as well as </w:t>
      </w:r>
      <w:r>
        <w:rPr>
          <w:sz w:val="24"/>
          <w:szCs w:val="24"/>
        </w:rPr>
        <w:t>PLA o</w:t>
      </w:r>
      <w:r w:rsidRPr="00C749C9">
        <w:rPr>
          <w:sz w:val="24"/>
          <w:szCs w:val="24"/>
        </w:rPr>
        <w:t xml:space="preserve">nline </w:t>
      </w:r>
      <w:r>
        <w:rPr>
          <w:sz w:val="24"/>
          <w:szCs w:val="24"/>
        </w:rPr>
        <w:t>l</w:t>
      </w:r>
      <w:r w:rsidRPr="00C749C9">
        <w:rPr>
          <w:sz w:val="24"/>
          <w:szCs w:val="24"/>
        </w:rPr>
        <w:t>earning</w:t>
      </w:r>
      <w:r>
        <w:rPr>
          <w:sz w:val="24"/>
          <w:szCs w:val="24"/>
        </w:rPr>
        <w:t>.</w:t>
      </w:r>
    </w:p>
    <w:p w14:paraId="3D7AACBD" w14:textId="77777777" w:rsidR="00EB527F" w:rsidRPr="004846F0" w:rsidRDefault="00EB527F" w:rsidP="00EB527F">
      <w:pPr>
        <w:rPr>
          <w:b/>
          <w:sz w:val="24"/>
          <w:szCs w:val="24"/>
        </w:rPr>
      </w:pPr>
      <w:r w:rsidRPr="004846F0">
        <w:rPr>
          <w:b/>
          <w:sz w:val="24"/>
          <w:szCs w:val="24"/>
        </w:rPr>
        <w:t>KEY CURRENT ACTIVITIES</w:t>
      </w:r>
      <w:r>
        <w:rPr>
          <w:b/>
          <w:sz w:val="24"/>
          <w:szCs w:val="24"/>
        </w:rPr>
        <w:t>/METRICS</w:t>
      </w:r>
    </w:p>
    <w:p w14:paraId="201CEBA0" w14:textId="3EFC3990" w:rsidR="00E46215" w:rsidRDefault="00EB527F" w:rsidP="00E46215">
      <w:pPr>
        <w:rPr>
          <w:sz w:val="24"/>
          <w:szCs w:val="24"/>
        </w:rPr>
      </w:pPr>
      <w:r w:rsidRPr="003716BB">
        <w:rPr>
          <w:b/>
          <w:sz w:val="24"/>
          <w:szCs w:val="24"/>
        </w:rPr>
        <w:t>PLA @ ALA Annual Conference</w:t>
      </w:r>
      <w:r>
        <w:rPr>
          <w:b/>
          <w:sz w:val="24"/>
          <w:szCs w:val="24"/>
        </w:rPr>
        <w:br/>
      </w:r>
      <w:r w:rsidR="00E46215">
        <w:rPr>
          <w:sz w:val="24"/>
          <w:szCs w:val="24"/>
        </w:rPr>
        <w:t>At the 2019 ALA Annual Conference in Washington, DC, PLA will offer a half-day preconference titled, “</w:t>
      </w:r>
      <w:r w:rsidR="00E46215" w:rsidRPr="004805AD">
        <w:rPr>
          <w:sz w:val="24"/>
          <w:szCs w:val="24"/>
        </w:rPr>
        <w:t>Librarians and Social Workers: Partnerships that Work for Connecting People in Need”</w:t>
      </w:r>
      <w:r w:rsidR="00E46215">
        <w:rPr>
          <w:sz w:val="24"/>
          <w:szCs w:val="24"/>
        </w:rPr>
        <w:t xml:space="preserve"> on Friday, June 21, 2019. This preconference</w:t>
      </w:r>
      <w:r w:rsidR="00C67282">
        <w:rPr>
          <w:sz w:val="24"/>
          <w:szCs w:val="24"/>
        </w:rPr>
        <w:t>, which had 66 registered attendees as of June 3,</w:t>
      </w:r>
      <w:r w:rsidR="00E46215">
        <w:rPr>
          <w:sz w:val="24"/>
          <w:szCs w:val="24"/>
        </w:rPr>
        <w:t xml:space="preserve"> will be led by members of the PLA Social Work Task Force in collaboration with ODLOS and YALSA, both of whom are cosponsoring this preconference in name only, with YALSA receiving one complimentary registration.</w:t>
      </w:r>
    </w:p>
    <w:p w14:paraId="6808F428" w14:textId="32E8A089" w:rsidR="00E46215" w:rsidRPr="00EB527F" w:rsidRDefault="00EB527F" w:rsidP="00EB527F">
      <w:pPr>
        <w:rPr>
          <w:b/>
          <w:sz w:val="24"/>
          <w:szCs w:val="24"/>
        </w:rPr>
      </w:pPr>
      <w:r>
        <w:rPr>
          <w:sz w:val="24"/>
          <w:szCs w:val="24"/>
        </w:rPr>
        <w:t>The PLA Annual Conference Program Subcommittee selected 14 programs to present</w:t>
      </w:r>
      <w:r w:rsidR="00E46215">
        <w:rPr>
          <w:sz w:val="24"/>
          <w:szCs w:val="24"/>
        </w:rPr>
        <w:t xml:space="preserve"> at the 2019 ALA Annual Conference, and 3 additional </w:t>
      </w:r>
      <w:r w:rsidR="00F51794">
        <w:rPr>
          <w:sz w:val="24"/>
          <w:szCs w:val="24"/>
        </w:rPr>
        <w:t xml:space="preserve">PLA priority </w:t>
      </w:r>
      <w:r w:rsidR="00E46215">
        <w:rPr>
          <w:sz w:val="24"/>
          <w:szCs w:val="24"/>
        </w:rPr>
        <w:t>programs were subsequently added</w:t>
      </w:r>
      <w:r>
        <w:rPr>
          <w:sz w:val="24"/>
          <w:szCs w:val="24"/>
        </w:rPr>
        <w:t xml:space="preserve">. </w:t>
      </w:r>
      <w:r w:rsidR="00F51794">
        <w:rPr>
          <w:sz w:val="24"/>
          <w:szCs w:val="24"/>
        </w:rPr>
        <w:t>PLA’s 17 programs</w:t>
      </w:r>
      <w:r>
        <w:rPr>
          <w:sz w:val="24"/>
          <w:szCs w:val="24"/>
        </w:rPr>
        <w:t xml:space="preserve"> are listed below with dates</w:t>
      </w:r>
      <w:r w:rsidR="00E46215">
        <w:rPr>
          <w:sz w:val="24"/>
          <w:szCs w:val="24"/>
        </w:rPr>
        <w:t xml:space="preserve">, </w:t>
      </w:r>
      <w:r>
        <w:rPr>
          <w:sz w:val="24"/>
          <w:szCs w:val="24"/>
        </w:rPr>
        <w:t>times</w:t>
      </w:r>
      <w:r w:rsidR="00E46215">
        <w:rPr>
          <w:sz w:val="24"/>
          <w:szCs w:val="24"/>
        </w:rPr>
        <w:t>, and locations</w:t>
      </w:r>
      <w:r w:rsidR="00AE77E8">
        <w:rPr>
          <w:sz w:val="24"/>
          <w:szCs w:val="24"/>
        </w:rPr>
        <w:t xml:space="preserve"> (all programs will take place in the </w:t>
      </w:r>
      <w:r w:rsidR="00AE77E8" w:rsidRPr="00AE77E8">
        <w:rPr>
          <w:sz w:val="24"/>
          <w:szCs w:val="24"/>
        </w:rPr>
        <w:t>Walter E. Washington Convention Center</w:t>
      </w:r>
      <w:r w:rsidR="00AE77E8">
        <w:rPr>
          <w:sz w:val="24"/>
          <w:szCs w:val="24"/>
        </w:rPr>
        <w:t>)</w:t>
      </w:r>
      <w:r>
        <w:rPr>
          <w:sz w:val="24"/>
          <w:szCs w:val="24"/>
        </w:rPr>
        <w:t>:</w:t>
      </w:r>
      <w:r>
        <w:rPr>
          <w:b/>
          <w:sz w:val="24"/>
          <w:szCs w:val="24"/>
        </w:rPr>
        <w:br/>
      </w:r>
    </w:p>
    <w:tbl>
      <w:tblPr>
        <w:tblW w:w="9175" w:type="dxa"/>
        <w:tblLook w:val="04A0" w:firstRow="1" w:lastRow="0" w:firstColumn="1" w:lastColumn="0" w:noHBand="0" w:noVBand="1"/>
      </w:tblPr>
      <w:tblGrid>
        <w:gridCol w:w="4315"/>
        <w:gridCol w:w="1170"/>
        <w:gridCol w:w="1260"/>
        <w:gridCol w:w="1260"/>
        <w:gridCol w:w="1170"/>
      </w:tblGrid>
      <w:tr w:rsidR="00E46215" w:rsidRPr="00E46215" w14:paraId="01A20A54" w14:textId="77777777" w:rsidTr="00E46215">
        <w:trPr>
          <w:trHeight w:val="290"/>
        </w:trPr>
        <w:tc>
          <w:tcPr>
            <w:tcW w:w="4315" w:type="dxa"/>
            <w:tcBorders>
              <w:top w:val="single" w:sz="4" w:space="0" w:color="auto"/>
              <w:left w:val="single" w:sz="4" w:space="0" w:color="auto"/>
              <w:bottom w:val="single" w:sz="4" w:space="0" w:color="auto"/>
              <w:right w:val="single" w:sz="4" w:space="0" w:color="auto"/>
            </w:tcBorders>
            <w:shd w:val="clear" w:color="000000" w:fill="B4C6E7"/>
            <w:hideMark/>
          </w:tcPr>
          <w:p w14:paraId="3A8B964C" w14:textId="77777777" w:rsidR="00E46215" w:rsidRPr="00E46215" w:rsidRDefault="00E46215" w:rsidP="00E46215">
            <w:pPr>
              <w:spacing w:before="0" w:beforeAutospacing="0"/>
              <w:rPr>
                <w:rFonts w:ascii="Arial" w:eastAsia="Times New Roman" w:hAnsi="Arial" w:cs="Arial"/>
                <w:b/>
                <w:bCs/>
                <w:color w:val="000000"/>
                <w:sz w:val="20"/>
                <w:szCs w:val="20"/>
              </w:rPr>
            </w:pPr>
            <w:r w:rsidRPr="00E46215">
              <w:rPr>
                <w:rFonts w:ascii="Arial" w:eastAsia="Times New Roman" w:hAnsi="Arial" w:cs="Arial"/>
                <w:b/>
                <w:bCs/>
                <w:color w:val="000000"/>
                <w:sz w:val="20"/>
                <w:szCs w:val="20"/>
              </w:rPr>
              <w:t>Title</w:t>
            </w:r>
          </w:p>
        </w:tc>
        <w:tc>
          <w:tcPr>
            <w:tcW w:w="1170" w:type="dxa"/>
            <w:tcBorders>
              <w:top w:val="single" w:sz="4" w:space="0" w:color="auto"/>
              <w:left w:val="nil"/>
              <w:bottom w:val="single" w:sz="4" w:space="0" w:color="auto"/>
              <w:right w:val="single" w:sz="4" w:space="0" w:color="auto"/>
            </w:tcBorders>
            <w:shd w:val="clear" w:color="000000" w:fill="B4C6E7"/>
            <w:noWrap/>
            <w:hideMark/>
          </w:tcPr>
          <w:p w14:paraId="1811AD71" w14:textId="77777777" w:rsidR="00E46215" w:rsidRPr="00E46215" w:rsidRDefault="00E46215" w:rsidP="00E46215">
            <w:pPr>
              <w:spacing w:before="0" w:beforeAutospacing="0"/>
              <w:rPr>
                <w:rFonts w:ascii="Arial" w:eastAsia="Times New Roman" w:hAnsi="Arial" w:cs="Arial"/>
                <w:b/>
                <w:bCs/>
                <w:color w:val="000000"/>
                <w:sz w:val="20"/>
                <w:szCs w:val="20"/>
              </w:rPr>
            </w:pPr>
            <w:r w:rsidRPr="00E46215">
              <w:rPr>
                <w:rFonts w:ascii="Arial" w:eastAsia="Times New Roman" w:hAnsi="Arial" w:cs="Arial"/>
                <w:b/>
                <w:bCs/>
                <w:color w:val="000000"/>
                <w:sz w:val="20"/>
                <w:szCs w:val="20"/>
              </w:rPr>
              <w:t>Date</w:t>
            </w:r>
          </w:p>
        </w:tc>
        <w:tc>
          <w:tcPr>
            <w:tcW w:w="1260" w:type="dxa"/>
            <w:tcBorders>
              <w:top w:val="single" w:sz="4" w:space="0" w:color="auto"/>
              <w:left w:val="nil"/>
              <w:bottom w:val="single" w:sz="4" w:space="0" w:color="auto"/>
              <w:right w:val="single" w:sz="4" w:space="0" w:color="auto"/>
            </w:tcBorders>
            <w:shd w:val="clear" w:color="000000" w:fill="B4C6E7"/>
            <w:noWrap/>
            <w:hideMark/>
          </w:tcPr>
          <w:p w14:paraId="793774A1" w14:textId="77777777" w:rsidR="00E46215" w:rsidRPr="00E46215" w:rsidRDefault="00E46215" w:rsidP="00E46215">
            <w:pPr>
              <w:spacing w:before="0" w:beforeAutospacing="0"/>
              <w:rPr>
                <w:rFonts w:ascii="Arial" w:eastAsia="Times New Roman" w:hAnsi="Arial" w:cs="Arial"/>
                <w:b/>
                <w:bCs/>
                <w:color w:val="000000"/>
                <w:sz w:val="20"/>
                <w:szCs w:val="20"/>
              </w:rPr>
            </w:pPr>
            <w:r w:rsidRPr="00E46215">
              <w:rPr>
                <w:rFonts w:ascii="Arial" w:eastAsia="Times New Roman" w:hAnsi="Arial" w:cs="Arial"/>
                <w:b/>
                <w:bCs/>
                <w:color w:val="000000"/>
                <w:sz w:val="20"/>
                <w:szCs w:val="20"/>
              </w:rPr>
              <w:t>Start Time</w:t>
            </w:r>
          </w:p>
        </w:tc>
        <w:tc>
          <w:tcPr>
            <w:tcW w:w="1260" w:type="dxa"/>
            <w:tcBorders>
              <w:top w:val="single" w:sz="4" w:space="0" w:color="auto"/>
              <w:left w:val="nil"/>
              <w:bottom w:val="single" w:sz="4" w:space="0" w:color="auto"/>
              <w:right w:val="single" w:sz="4" w:space="0" w:color="auto"/>
            </w:tcBorders>
            <w:shd w:val="clear" w:color="000000" w:fill="B4C6E7"/>
            <w:noWrap/>
            <w:hideMark/>
          </w:tcPr>
          <w:p w14:paraId="5F82479C" w14:textId="77777777" w:rsidR="00E46215" w:rsidRPr="00E46215" w:rsidRDefault="00E46215" w:rsidP="00E46215">
            <w:pPr>
              <w:spacing w:before="0" w:beforeAutospacing="0"/>
              <w:rPr>
                <w:rFonts w:ascii="Arial" w:eastAsia="Times New Roman" w:hAnsi="Arial" w:cs="Arial"/>
                <w:b/>
                <w:bCs/>
                <w:color w:val="000000"/>
                <w:sz w:val="20"/>
                <w:szCs w:val="20"/>
              </w:rPr>
            </w:pPr>
            <w:r w:rsidRPr="00E46215">
              <w:rPr>
                <w:rFonts w:ascii="Arial" w:eastAsia="Times New Roman" w:hAnsi="Arial" w:cs="Arial"/>
                <w:b/>
                <w:bCs/>
                <w:color w:val="000000"/>
                <w:sz w:val="20"/>
                <w:szCs w:val="20"/>
              </w:rPr>
              <w:t>End Time</w:t>
            </w:r>
          </w:p>
        </w:tc>
        <w:tc>
          <w:tcPr>
            <w:tcW w:w="1170" w:type="dxa"/>
            <w:tcBorders>
              <w:top w:val="single" w:sz="4" w:space="0" w:color="auto"/>
              <w:left w:val="nil"/>
              <w:bottom w:val="single" w:sz="4" w:space="0" w:color="auto"/>
              <w:right w:val="single" w:sz="4" w:space="0" w:color="auto"/>
            </w:tcBorders>
            <w:shd w:val="clear" w:color="000000" w:fill="B4C6E7"/>
            <w:hideMark/>
          </w:tcPr>
          <w:p w14:paraId="24022715" w14:textId="77777777" w:rsidR="00E46215" w:rsidRPr="00E46215" w:rsidRDefault="00E46215" w:rsidP="00E46215">
            <w:pPr>
              <w:spacing w:before="0" w:beforeAutospacing="0"/>
              <w:rPr>
                <w:rFonts w:ascii="Arial" w:eastAsia="Times New Roman" w:hAnsi="Arial" w:cs="Arial"/>
                <w:b/>
                <w:bCs/>
                <w:color w:val="000000"/>
                <w:sz w:val="20"/>
                <w:szCs w:val="20"/>
              </w:rPr>
            </w:pPr>
            <w:r w:rsidRPr="00E46215">
              <w:rPr>
                <w:rFonts w:ascii="Arial" w:eastAsia="Times New Roman" w:hAnsi="Arial" w:cs="Arial"/>
                <w:b/>
                <w:bCs/>
                <w:color w:val="000000"/>
                <w:sz w:val="20"/>
                <w:szCs w:val="20"/>
              </w:rPr>
              <w:t>Room</w:t>
            </w:r>
          </w:p>
        </w:tc>
      </w:tr>
      <w:tr w:rsidR="00E46215" w:rsidRPr="00E46215" w14:paraId="7E589AB9"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4072E6BF"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Food for Thought: Nourishing the Mind and Body at Public Libraries</w:t>
            </w:r>
          </w:p>
        </w:tc>
        <w:tc>
          <w:tcPr>
            <w:tcW w:w="1170" w:type="dxa"/>
            <w:tcBorders>
              <w:top w:val="nil"/>
              <w:left w:val="nil"/>
              <w:bottom w:val="single" w:sz="4" w:space="0" w:color="auto"/>
              <w:right w:val="single" w:sz="4" w:space="0" w:color="auto"/>
            </w:tcBorders>
            <w:shd w:val="clear" w:color="auto" w:fill="auto"/>
            <w:noWrap/>
            <w:hideMark/>
          </w:tcPr>
          <w:p w14:paraId="130B0A0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6/22/2019</w:t>
            </w:r>
          </w:p>
        </w:tc>
        <w:tc>
          <w:tcPr>
            <w:tcW w:w="1260" w:type="dxa"/>
            <w:tcBorders>
              <w:top w:val="nil"/>
              <w:left w:val="nil"/>
              <w:bottom w:val="single" w:sz="4" w:space="0" w:color="auto"/>
              <w:right w:val="single" w:sz="4" w:space="0" w:color="auto"/>
            </w:tcBorders>
            <w:shd w:val="clear" w:color="auto" w:fill="auto"/>
            <w:noWrap/>
            <w:hideMark/>
          </w:tcPr>
          <w:p w14:paraId="298B746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10:30 AM</w:t>
            </w:r>
          </w:p>
        </w:tc>
        <w:tc>
          <w:tcPr>
            <w:tcW w:w="1260" w:type="dxa"/>
            <w:tcBorders>
              <w:top w:val="nil"/>
              <w:left w:val="nil"/>
              <w:bottom w:val="single" w:sz="4" w:space="0" w:color="auto"/>
              <w:right w:val="single" w:sz="4" w:space="0" w:color="auto"/>
            </w:tcBorders>
            <w:shd w:val="clear" w:color="auto" w:fill="auto"/>
            <w:noWrap/>
            <w:hideMark/>
          </w:tcPr>
          <w:p w14:paraId="65FE259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11:30 AM</w:t>
            </w:r>
          </w:p>
        </w:tc>
        <w:tc>
          <w:tcPr>
            <w:tcW w:w="1170" w:type="dxa"/>
            <w:tcBorders>
              <w:top w:val="nil"/>
              <w:left w:val="nil"/>
              <w:bottom w:val="single" w:sz="4" w:space="0" w:color="auto"/>
              <w:right w:val="single" w:sz="4" w:space="0" w:color="auto"/>
            </w:tcBorders>
            <w:shd w:val="clear" w:color="auto" w:fill="auto"/>
            <w:hideMark/>
          </w:tcPr>
          <w:p w14:paraId="61F4908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145B </w:t>
            </w:r>
          </w:p>
        </w:tc>
      </w:tr>
      <w:tr w:rsidR="00E46215" w:rsidRPr="00E46215" w14:paraId="7D3E6196"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2834A0B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Empowering Digital Citizens: Public Programming to Fight Fake News</w:t>
            </w:r>
          </w:p>
        </w:tc>
        <w:tc>
          <w:tcPr>
            <w:tcW w:w="1170" w:type="dxa"/>
            <w:tcBorders>
              <w:top w:val="nil"/>
              <w:left w:val="nil"/>
              <w:bottom w:val="single" w:sz="4" w:space="0" w:color="auto"/>
              <w:right w:val="single" w:sz="4" w:space="0" w:color="auto"/>
            </w:tcBorders>
            <w:shd w:val="clear" w:color="auto" w:fill="auto"/>
            <w:noWrap/>
            <w:hideMark/>
          </w:tcPr>
          <w:p w14:paraId="06059F5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6/22/2019</w:t>
            </w:r>
          </w:p>
        </w:tc>
        <w:tc>
          <w:tcPr>
            <w:tcW w:w="1260" w:type="dxa"/>
            <w:tcBorders>
              <w:top w:val="nil"/>
              <w:left w:val="nil"/>
              <w:bottom w:val="single" w:sz="4" w:space="0" w:color="auto"/>
              <w:right w:val="single" w:sz="4" w:space="0" w:color="auto"/>
            </w:tcBorders>
            <w:shd w:val="clear" w:color="auto" w:fill="auto"/>
            <w:noWrap/>
            <w:hideMark/>
          </w:tcPr>
          <w:p w14:paraId="20BD80F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1:00 PM</w:t>
            </w:r>
          </w:p>
        </w:tc>
        <w:tc>
          <w:tcPr>
            <w:tcW w:w="1260" w:type="dxa"/>
            <w:tcBorders>
              <w:top w:val="nil"/>
              <w:left w:val="nil"/>
              <w:bottom w:val="single" w:sz="4" w:space="0" w:color="auto"/>
              <w:right w:val="single" w:sz="4" w:space="0" w:color="auto"/>
            </w:tcBorders>
            <w:shd w:val="clear" w:color="auto" w:fill="auto"/>
            <w:noWrap/>
            <w:hideMark/>
          </w:tcPr>
          <w:p w14:paraId="2108CFA8"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2:00 PM</w:t>
            </w:r>
          </w:p>
        </w:tc>
        <w:tc>
          <w:tcPr>
            <w:tcW w:w="1170" w:type="dxa"/>
            <w:tcBorders>
              <w:top w:val="nil"/>
              <w:left w:val="nil"/>
              <w:bottom w:val="single" w:sz="4" w:space="0" w:color="auto"/>
              <w:right w:val="single" w:sz="4" w:space="0" w:color="auto"/>
            </w:tcBorders>
            <w:shd w:val="clear" w:color="auto" w:fill="auto"/>
            <w:hideMark/>
          </w:tcPr>
          <w:p w14:paraId="6A1330A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144B-C</w:t>
            </w:r>
          </w:p>
        </w:tc>
      </w:tr>
      <w:tr w:rsidR="00E46215" w:rsidRPr="00E46215" w14:paraId="7C262AAC"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5D32BF69"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Confidently Negotiating Political and Financial Support for your Library</w:t>
            </w:r>
          </w:p>
        </w:tc>
        <w:tc>
          <w:tcPr>
            <w:tcW w:w="1170" w:type="dxa"/>
            <w:tcBorders>
              <w:top w:val="nil"/>
              <w:left w:val="nil"/>
              <w:bottom w:val="single" w:sz="4" w:space="0" w:color="auto"/>
              <w:right w:val="single" w:sz="4" w:space="0" w:color="auto"/>
            </w:tcBorders>
            <w:shd w:val="clear" w:color="auto" w:fill="auto"/>
            <w:noWrap/>
            <w:hideMark/>
          </w:tcPr>
          <w:p w14:paraId="7EE60C29"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6/22/2019</w:t>
            </w:r>
          </w:p>
        </w:tc>
        <w:tc>
          <w:tcPr>
            <w:tcW w:w="1260" w:type="dxa"/>
            <w:tcBorders>
              <w:top w:val="nil"/>
              <w:left w:val="nil"/>
              <w:bottom w:val="single" w:sz="4" w:space="0" w:color="auto"/>
              <w:right w:val="single" w:sz="4" w:space="0" w:color="auto"/>
            </w:tcBorders>
            <w:shd w:val="clear" w:color="auto" w:fill="auto"/>
            <w:noWrap/>
            <w:hideMark/>
          </w:tcPr>
          <w:p w14:paraId="5A6D8C1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2:30 PM</w:t>
            </w:r>
          </w:p>
        </w:tc>
        <w:tc>
          <w:tcPr>
            <w:tcW w:w="1260" w:type="dxa"/>
            <w:tcBorders>
              <w:top w:val="nil"/>
              <w:left w:val="nil"/>
              <w:bottom w:val="single" w:sz="4" w:space="0" w:color="auto"/>
              <w:right w:val="single" w:sz="4" w:space="0" w:color="auto"/>
            </w:tcBorders>
            <w:shd w:val="clear" w:color="auto" w:fill="auto"/>
            <w:noWrap/>
            <w:hideMark/>
          </w:tcPr>
          <w:p w14:paraId="37A4FAE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3:30 PM</w:t>
            </w:r>
          </w:p>
        </w:tc>
        <w:tc>
          <w:tcPr>
            <w:tcW w:w="1170" w:type="dxa"/>
            <w:tcBorders>
              <w:top w:val="nil"/>
              <w:left w:val="nil"/>
              <w:bottom w:val="single" w:sz="4" w:space="0" w:color="auto"/>
              <w:right w:val="single" w:sz="4" w:space="0" w:color="auto"/>
            </w:tcBorders>
            <w:shd w:val="clear" w:color="auto" w:fill="auto"/>
            <w:hideMark/>
          </w:tcPr>
          <w:p w14:paraId="4F39EC2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152A </w:t>
            </w:r>
          </w:p>
        </w:tc>
      </w:tr>
      <w:tr w:rsidR="00E46215" w:rsidRPr="00E46215" w14:paraId="12006B5E" w14:textId="77777777" w:rsidTr="00E46215">
        <w:trPr>
          <w:trHeight w:val="870"/>
        </w:trPr>
        <w:tc>
          <w:tcPr>
            <w:tcW w:w="4315" w:type="dxa"/>
            <w:tcBorders>
              <w:top w:val="nil"/>
              <w:left w:val="single" w:sz="4" w:space="0" w:color="auto"/>
              <w:bottom w:val="single" w:sz="4" w:space="0" w:color="auto"/>
              <w:right w:val="single" w:sz="4" w:space="0" w:color="auto"/>
            </w:tcBorders>
            <w:shd w:val="clear" w:color="auto" w:fill="auto"/>
            <w:hideMark/>
          </w:tcPr>
          <w:p w14:paraId="5F400EC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Code for America and Your Public Library: How to Harness the Awesome Power of the Collective Will</w:t>
            </w:r>
          </w:p>
        </w:tc>
        <w:tc>
          <w:tcPr>
            <w:tcW w:w="1170" w:type="dxa"/>
            <w:tcBorders>
              <w:top w:val="nil"/>
              <w:left w:val="nil"/>
              <w:bottom w:val="single" w:sz="4" w:space="0" w:color="auto"/>
              <w:right w:val="single" w:sz="4" w:space="0" w:color="auto"/>
            </w:tcBorders>
            <w:shd w:val="clear" w:color="auto" w:fill="auto"/>
            <w:noWrap/>
            <w:hideMark/>
          </w:tcPr>
          <w:p w14:paraId="3782EF2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6/22/2019</w:t>
            </w:r>
          </w:p>
        </w:tc>
        <w:tc>
          <w:tcPr>
            <w:tcW w:w="1260" w:type="dxa"/>
            <w:tcBorders>
              <w:top w:val="nil"/>
              <w:left w:val="nil"/>
              <w:bottom w:val="single" w:sz="4" w:space="0" w:color="auto"/>
              <w:right w:val="single" w:sz="4" w:space="0" w:color="auto"/>
            </w:tcBorders>
            <w:shd w:val="clear" w:color="auto" w:fill="auto"/>
            <w:noWrap/>
            <w:hideMark/>
          </w:tcPr>
          <w:p w14:paraId="351CD03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4:00 PM</w:t>
            </w:r>
          </w:p>
        </w:tc>
        <w:tc>
          <w:tcPr>
            <w:tcW w:w="1260" w:type="dxa"/>
            <w:tcBorders>
              <w:top w:val="nil"/>
              <w:left w:val="nil"/>
              <w:bottom w:val="single" w:sz="4" w:space="0" w:color="auto"/>
              <w:right w:val="single" w:sz="4" w:space="0" w:color="auto"/>
            </w:tcBorders>
            <w:shd w:val="clear" w:color="auto" w:fill="auto"/>
            <w:noWrap/>
            <w:hideMark/>
          </w:tcPr>
          <w:p w14:paraId="2D6C477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5:00 PM</w:t>
            </w:r>
          </w:p>
        </w:tc>
        <w:tc>
          <w:tcPr>
            <w:tcW w:w="1170" w:type="dxa"/>
            <w:tcBorders>
              <w:top w:val="nil"/>
              <w:left w:val="nil"/>
              <w:bottom w:val="single" w:sz="4" w:space="0" w:color="auto"/>
              <w:right w:val="single" w:sz="4" w:space="0" w:color="auto"/>
            </w:tcBorders>
            <w:shd w:val="clear" w:color="auto" w:fill="auto"/>
            <w:hideMark/>
          </w:tcPr>
          <w:p w14:paraId="2DFE5B4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144B-C</w:t>
            </w:r>
          </w:p>
        </w:tc>
      </w:tr>
      <w:tr w:rsidR="00E46215" w:rsidRPr="00E46215" w14:paraId="10511F7D" w14:textId="77777777" w:rsidTr="00E46215">
        <w:trPr>
          <w:trHeight w:val="590"/>
        </w:trPr>
        <w:tc>
          <w:tcPr>
            <w:tcW w:w="4315" w:type="dxa"/>
            <w:tcBorders>
              <w:top w:val="nil"/>
              <w:left w:val="single" w:sz="4" w:space="0" w:color="auto"/>
              <w:bottom w:val="single" w:sz="8" w:space="0" w:color="auto"/>
              <w:right w:val="single" w:sz="4" w:space="0" w:color="auto"/>
            </w:tcBorders>
            <w:shd w:val="clear" w:color="auto" w:fill="auto"/>
            <w:hideMark/>
          </w:tcPr>
          <w:p w14:paraId="3523ADF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Establishing a Culture of Civility in the Library Workplace</w:t>
            </w:r>
          </w:p>
        </w:tc>
        <w:tc>
          <w:tcPr>
            <w:tcW w:w="1170" w:type="dxa"/>
            <w:tcBorders>
              <w:top w:val="nil"/>
              <w:left w:val="nil"/>
              <w:bottom w:val="single" w:sz="8" w:space="0" w:color="auto"/>
              <w:right w:val="single" w:sz="4" w:space="0" w:color="auto"/>
            </w:tcBorders>
            <w:shd w:val="clear" w:color="auto" w:fill="auto"/>
            <w:noWrap/>
            <w:hideMark/>
          </w:tcPr>
          <w:p w14:paraId="34D4EA9E"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6/22/2019</w:t>
            </w:r>
          </w:p>
        </w:tc>
        <w:tc>
          <w:tcPr>
            <w:tcW w:w="1260" w:type="dxa"/>
            <w:tcBorders>
              <w:top w:val="nil"/>
              <w:left w:val="nil"/>
              <w:bottom w:val="single" w:sz="8" w:space="0" w:color="auto"/>
              <w:right w:val="single" w:sz="4" w:space="0" w:color="auto"/>
            </w:tcBorders>
            <w:shd w:val="clear" w:color="auto" w:fill="auto"/>
            <w:noWrap/>
            <w:hideMark/>
          </w:tcPr>
          <w:p w14:paraId="673970B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4:00 PM</w:t>
            </w:r>
          </w:p>
        </w:tc>
        <w:tc>
          <w:tcPr>
            <w:tcW w:w="1260" w:type="dxa"/>
            <w:tcBorders>
              <w:top w:val="nil"/>
              <w:left w:val="nil"/>
              <w:bottom w:val="single" w:sz="8" w:space="0" w:color="auto"/>
              <w:right w:val="single" w:sz="4" w:space="0" w:color="auto"/>
            </w:tcBorders>
            <w:shd w:val="clear" w:color="auto" w:fill="auto"/>
            <w:noWrap/>
            <w:hideMark/>
          </w:tcPr>
          <w:p w14:paraId="21A6C52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5:00 PM</w:t>
            </w:r>
          </w:p>
        </w:tc>
        <w:tc>
          <w:tcPr>
            <w:tcW w:w="1170" w:type="dxa"/>
            <w:tcBorders>
              <w:top w:val="nil"/>
              <w:left w:val="nil"/>
              <w:bottom w:val="single" w:sz="8" w:space="0" w:color="auto"/>
              <w:right w:val="single" w:sz="4" w:space="0" w:color="auto"/>
            </w:tcBorders>
            <w:shd w:val="clear" w:color="auto" w:fill="auto"/>
            <w:hideMark/>
          </w:tcPr>
          <w:p w14:paraId="15E51486"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146A </w:t>
            </w:r>
          </w:p>
        </w:tc>
      </w:tr>
      <w:tr w:rsidR="00E46215" w:rsidRPr="00E46215" w14:paraId="35DC33C9"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1331CAD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Ensuring Everyone Counts (and is Counted) in the 2020 Census</w:t>
            </w:r>
          </w:p>
        </w:tc>
        <w:tc>
          <w:tcPr>
            <w:tcW w:w="1170" w:type="dxa"/>
            <w:tcBorders>
              <w:top w:val="nil"/>
              <w:left w:val="nil"/>
              <w:bottom w:val="single" w:sz="4" w:space="0" w:color="auto"/>
              <w:right w:val="single" w:sz="4" w:space="0" w:color="auto"/>
            </w:tcBorders>
            <w:shd w:val="clear" w:color="auto" w:fill="auto"/>
            <w:noWrap/>
            <w:hideMark/>
          </w:tcPr>
          <w:p w14:paraId="783F581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31228CB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9:00 AM</w:t>
            </w:r>
          </w:p>
        </w:tc>
        <w:tc>
          <w:tcPr>
            <w:tcW w:w="1260" w:type="dxa"/>
            <w:tcBorders>
              <w:top w:val="nil"/>
              <w:left w:val="nil"/>
              <w:bottom w:val="single" w:sz="4" w:space="0" w:color="auto"/>
              <w:right w:val="single" w:sz="4" w:space="0" w:color="auto"/>
            </w:tcBorders>
            <w:shd w:val="clear" w:color="auto" w:fill="auto"/>
            <w:noWrap/>
            <w:hideMark/>
          </w:tcPr>
          <w:p w14:paraId="157C60B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10:00 AM</w:t>
            </w:r>
          </w:p>
        </w:tc>
        <w:tc>
          <w:tcPr>
            <w:tcW w:w="1170" w:type="dxa"/>
            <w:tcBorders>
              <w:top w:val="nil"/>
              <w:left w:val="nil"/>
              <w:bottom w:val="single" w:sz="4" w:space="0" w:color="auto"/>
              <w:right w:val="single" w:sz="4" w:space="0" w:color="auto"/>
            </w:tcBorders>
            <w:shd w:val="clear" w:color="auto" w:fill="auto"/>
            <w:hideMark/>
          </w:tcPr>
          <w:p w14:paraId="5F96C3A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145B </w:t>
            </w:r>
          </w:p>
        </w:tc>
      </w:tr>
      <w:tr w:rsidR="00E46215" w:rsidRPr="00E46215" w14:paraId="79850467" w14:textId="77777777" w:rsidTr="00E46215">
        <w:trPr>
          <w:trHeight w:val="870"/>
        </w:trPr>
        <w:tc>
          <w:tcPr>
            <w:tcW w:w="4315" w:type="dxa"/>
            <w:tcBorders>
              <w:top w:val="nil"/>
              <w:left w:val="single" w:sz="4" w:space="0" w:color="auto"/>
              <w:bottom w:val="single" w:sz="4" w:space="0" w:color="auto"/>
              <w:right w:val="single" w:sz="4" w:space="0" w:color="auto"/>
            </w:tcBorders>
            <w:shd w:val="clear" w:color="auto" w:fill="auto"/>
            <w:hideMark/>
          </w:tcPr>
          <w:p w14:paraId="5BBB6B4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lastRenderedPageBreak/>
              <w:t>Performance Acceleration: A 21st Century Evidence-Based Approach to Managing Employees</w:t>
            </w:r>
          </w:p>
        </w:tc>
        <w:tc>
          <w:tcPr>
            <w:tcW w:w="1170" w:type="dxa"/>
            <w:tcBorders>
              <w:top w:val="nil"/>
              <w:left w:val="nil"/>
              <w:bottom w:val="single" w:sz="4" w:space="0" w:color="auto"/>
              <w:right w:val="single" w:sz="4" w:space="0" w:color="auto"/>
            </w:tcBorders>
            <w:shd w:val="clear" w:color="auto" w:fill="auto"/>
            <w:noWrap/>
            <w:hideMark/>
          </w:tcPr>
          <w:p w14:paraId="400E7029"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04F19CAE"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9:00 AM</w:t>
            </w:r>
          </w:p>
        </w:tc>
        <w:tc>
          <w:tcPr>
            <w:tcW w:w="1260" w:type="dxa"/>
            <w:tcBorders>
              <w:top w:val="nil"/>
              <w:left w:val="nil"/>
              <w:bottom w:val="single" w:sz="4" w:space="0" w:color="auto"/>
              <w:right w:val="single" w:sz="4" w:space="0" w:color="auto"/>
            </w:tcBorders>
            <w:shd w:val="clear" w:color="auto" w:fill="auto"/>
            <w:noWrap/>
            <w:hideMark/>
          </w:tcPr>
          <w:p w14:paraId="4414732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10:00 AM</w:t>
            </w:r>
          </w:p>
        </w:tc>
        <w:tc>
          <w:tcPr>
            <w:tcW w:w="1170" w:type="dxa"/>
            <w:tcBorders>
              <w:top w:val="nil"/>
              <w:left w:val="nil"/>
              <w:bottom w:val="single" w:sz="4" w:space="0" w:color="auto"/>
              <w:right w:val="single" w:sz="4" w:space="0" w:color="auto"/>
            </w:tcBorders>
            <w:shd w:val="clear" w:color="auto" w:fill="auto"/>
            <w:hideMark/>
          </w:tcPr>
          <w:p w14:paraId="5F91DAD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144B-C</w:t>
            </w:r>
          </w:p>
        </w:tc>
      </w:tr>
      <w:tr w:rsidR="00E46215" w:rsidRPr="00E46215" w14:paraId="5196C6D7" w14:textId="77777777" w:rsidTr="00E46215">
        <w:trPr>
          <w:trHeight w:val="290"/>
        </w:trPr>
        <w:tc>
          <w:tcPr>
            <w:tcW w:w="4315" w:type="dxa"/>
            <w:tcBorders>
              <w:top w:val="nil"/>
              <w:left w:val="single" w:sz="4" w:space="0" w:color="auto"/>
              <w:bottom w:val="single" w:sz="4" w:space="0" w:color="auto"/>
              <w:right w:val="single" w:sz="4" w:space="0" w:color="auto"/>
            </w:tcBorders>
            <w:shd w:val="clear" w:color="auto" w:fill="auto"/>
            <w:hideMark/>
          </w:tcPr>
          <w:p w14:paraId="7F06DA4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Ready, Set, Bank @ Your Public Library</w:t>
            </w:r>
          </w:p>
        </w:tc>
        <w:tc>
          <w:tcPr>
            <w:tcW w:w="1170" w:type="dxa"/>
            <w:tcBorders>
              <w:top w:val="nil"/>
              <w:left w:val="nil"/>
              <w:bottom w:val="single" w:sz="4" w:space="0" w:color="auto"/>
              <w:right w:val="single" w:sz="4" w:space="0" w:color="auto"/>
            </w:tcBorders>
            <w:shd w:val="clear" w:color="auto" w:fill="auto"/>
            <w:noWrap/>
            <w:hideMark/>
          </w:tcPr>
          <w:p w14:paraId="44EFCCC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3E8EB33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10:30 AM</w:t>
            </w:r>
          </w:p>
        </w:tc>
        <w:tc>
          <w:tcPr>
            <w:tcW w:w="1260" w:type="dxa"/>
            <w:tcBorders>
              <w:top w:val="nil"/>
              <w:left w:val="nil"/>
              <w:bottom w:val="single" w:sz="4" w:space="0" w:color="auto"/>
              <w:right w:val="single" w:sz="4" w:space="0" w:color="auto"/>
            </w:tcBorders>
            <w:shd w:val="clear" w:color="auto" w:fill="auto"/>
            <w:noWrap/>
            <w:hideMark/>
          </w:tcPr>
          <w:p w14:paraId="037D700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11:30 AM</w:t>
            </w:r>
          </w:p>
        </w:tc>
        <w:tc>
          <w:tcPr>
            <w:tcW w:w="1170" w:type="dxa"/>
            <w:tcBorders>
              <w:top w:val="nil"/>
              <w:left w:val="nil"/>
              <w:bottom w:val="single" w:sz="4" w:space="0" w:color="auto"/>
              <w:right w:val="single" w:sz="4" w:space="0" w:color="auto"/>
            </w:tcBorders>
            <w:shd w:val="clear" w:color="auto" w:fill="auto"/>
            <w:hideMark/>
          </w:tcPr>
          <w:p w14:paraId="7E3EFDAD"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152B</w:t>
            </w:r>
          </w:p>
        </w:tc>
      </w:tr>
      <w:tr w:rsidR="00E46215" w:rsidRPr="00E46215" w14:paraId="28C52029" w14:textId="77777777" w:rsidTr="00E46215">
        <w:trPr>
          <w:trHeight w:val="620"/>
        </w:trPr>
        <w:tc>
          <w:tcPr>
            <w:tcW w:w="4315" w:type="dxa"/>
            <w:tcBorders>
              <w:top w:val="nil"/>
              <w:left w:val="single" w:sz="4" w:space="0" w:color="auto"/>
              <w:bottom w:val="single" w:sz="4" w:space="0" w:color="auto"/>
              <w:right w:val="single" w:sz="4" w:space="0" w:color="auto"/>
            </w:tcBorders>
            <w:shd w:val="clear" w:color="auto" w:fill="auto"/>
            <w:hideMark/>
          </w:tcPr>
          <w:p w14:paraId="2056FCA6"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Co-Creating Library/Social Services Partnerships:  A Statewide Collaboration</w:t>
            </w:r>
          </w:p>
        </w:tc>
        <w:tc>
          <w:tcPr>
            <w:tcW w:w="1170" w:type="dxa"/>
            <w:tcBorders>
              <w:top w:val="nil"/>
              <w:left w:val="nil"/>
              <w:bottom w:val="single" w:sz="4" w:space="0" w:color="auto"/>
              <w:right w:val="single" w:sz="4" w:space="0" w:color="auto"/>
            </w:tcBorders>
            <w:shd w:val="clear" w:color="auto" w:fill="auto"/>
            <w:noWrap/>
            <w:hideMark/>
          </w:tcPr>
          <w:p w14:paraId="44273E4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308CF8B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10:30 AM</w:t>
            </w:r>
          </w:p>
        </w:tc>
        <w:tc>
          <w:tcPr>
            <w:tcW w:w="1260" w:type="dxa"/>
            <w:tcBorders>
              <w:top w:val="nil"/>
              <w:left w:val="nil"/>
              <w:bottom w:val="single" w:sz="4" w:space="0" w:color="auto"/>
              <w:right w:val="single" w:sz="4" w:space="0" w:color="auto"/>
            </w:tcBorders>
            <w:shd w:val="clear" w:color="auto" w:fill="auto"/>
            <w:noWrap/>
            <w:hideMark/>
          </w:tcPr>
          <w:p w14:paraId="2B2D8268"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11:30 AM</w:t>
            </w:r>
          </w:p>
        </w:tc>
        <w:tc>
          <w:tcPr>
            <w:tcW w:w="1170" w:type="dxa"/>
            <w:tcBorders>
              <w:top w:val="nil"/>
              <w:left w:val="nil"/>
              <w:bottom w:val="single" w:sz="4" w:space="0" w:color="auto"/>
              <w:right w:val="single" w:sz="4" w:space="0" w:color="auto"/>
            </w:tcBorders>
            <w:shd w:val="clear" w:color="auto" w:fill="auto"/>
            <w:hideMark/>
          </w:tcPr>
          <w:p w14:paraId="0BF09D09"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149A-B</w:t>
            </w:r>
          </w:p>
        </w:tc>
      </w:tr>
      <w:tr w:rsidR="00E46215" w:rsidRPr="00E46215" w14:paraId="1D3CAD5F" w14:textId="77777777" w:rsidTr="00E46215">
        <w:trPr>
          <w:trHeight w:val="290"/>
        </w:trPr>
        <w:tc>
          <w:tcPr>
            <w:tcW w:w="4315" w:type="dxa"/>
            <w:tcBorders>
              <w:top w:val="nil"/>
              <w:left w:val="single" w:sz="4" w:space="0" w:color="auto"/>
              <w:bottom w:val="single" w:sz="4" w:space="0" w:color="auto"/>
              <w:right w:val="single" w:sz="4" w:space="0" w:color="auto"/>
            </w:tcBorders>
            <w:shd w:val="clear" w:color="auto" w:fill="auto"/>
            <w:hideMark/>
          </w:tcPr>
          <w:p w14:paraId="2D6FA01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Building Equity From the Ground Up</w:t>
            </w:r>
          </w:p>
        </w:tc>
        <w:tc>
          <w:tcPr>
            <w:tcW w:w="1170" w:type="dxa"/>
            <w:tcBorders>
              <w:top w:val="nil"/>
              <w:left w:val="nil"/>
              <w:bottom w:val="single" w:sz="4" w:space="0" w:color="auto"/>
              <w:right w:val="single" w:sz="4" w:space="0" w:color="auto"/>
            </w:tcBorders>
            <w:shd w:val="clear" w:color="auto" w:fill="auto"/>
            <w:noWrap/>
            <w:hideMark/>
          </w:tcPr>
          <w:p w14:paraId="2E5D21A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45E06C8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1:00 PM</w:t>
            </w:r>
          </w:p>
        </w:tc>
        <w:tc>
          <w:tcPr>
            <w:tcW w:w="1260" w:type="dxa"/>
            <w:tcBorders>
              <w:top w:val="nil"/>
              <w:left w:val="nil"/>
              <w:bottom w:val="single" w:sz="4" w:space="0" w:color="auto"/>
              <w:right w:val="single" w:sz="4" w:space="0" w:color="auto"/>
            </w:tcBorders>
            <w:shd w:val="clear" w:color="auto" w:fill="auto"/>
            <w:noWrap/>
            <w:hideMark/>
          </w:tcPr>
          <w:p w14:paraId="4DAFD8E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2:00 PM</w:t>
            </w:r>
          </w:p>
        </w:tc>
        <w:tc>
          <w:tcPr>
            <w:tcW w:w="1170" w:type="dxa"/>
            <w:tcBorders>
              <w:top w:val="nil"/>
              <w:left w:val="nil"/>
              <w:bottom w:val="single" w:sz="4" w:space="0" w:color="auto"/>
              <w:right w:val="single" w:sz="4" w:space="0" w:color="auto"/>
            </w:tcBorders>
            <w:shd w:val="clear" w:color="auto" w:fill="auto"/>
            <w:hideMark/>
          </w:tcPr>
          <w:p w14:paraId="6E21AED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144B-C</w:t>
            </w:r>
          </w:p>
        </w:tc>
      </w:tr>
      <w:tr w:rsidR="00E46215" w:rsidRPr="00E46215" w14:paraId="2DC5303C"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3BD3CB6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Social Workers in Public Libraries: Lessons Learned</w:t>
            </w:r>
          </w:p>
        </w:tc>
        <w:tc>
          <w:tcPr>
            <w:tcW w:w="1170" w:type="dxa"/>
            <w:tcBorders>
              <w:top w:val="nil"/>
              <w:left w:val="nil"/>
              <w:bottom w:val="single" w:sz="4" w:space="0" w:color="auto"/>
              <w:right w:val="single" w:sz="4" w:space="0" w:color="auto"/>
            </w:tcBorders>
            <w:shd w:val="clear" w:color="auto" w:fill="auto"/>
            <w:noWrap/>
            <w:hideMark/>
          </w:tcPr>
          <w:p w14:paraId="472E5F7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5910610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1:00 PM</w:t>
            </w:r>
          </w:p>
        </w:tc>
        <w:tc>
          <w:tcPr>
            <w:tcW w:w="1260" w:type="dxa"/>
            <w:tcBorders>
              <w:top w:val="nil"/>
              <w:left w:val="nil"/>
              <w:bottom w:val="single" w:sz="4" w:space="0" w:color="auto"/>
              <w:right w:val="single" w:sz="4" w:space="0" w:color="auto"/>
            </w:tcBorders>
            <w:shd w:val="clear" w:color="auto" w:fill="auto"/>
            <w:noWrap/>
            <w:hideMark/>
          </w:tcPr>
          <w:p w14:paraId="6466D70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2:00 PM</w:t>
            </w:r>
          </w:p>
        </w:tc>
        <w:tc>
          <w:tcPr>
            <w:tcW w:w="1170" w:type="dxa"/>
            <w:tcBorders>
              <w:top w:val="nil"/>
              <w:left w:val="nil"/>
              <w:bottom w:val="single" w:sz="4" w:space="0" w:color="auto"/>
              <w:right w:val="single" w:sz="4" w:space="0" w:color="auto"/>
            </w:tcBorders>
            <w:shd w:val="clear" w:color="auto" w:fill="auto"/>
            <w:hideMark/>
          </w:tcPr>
          <w:p w14:paraId="58541C0E"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152B </w:t>
            </w:r>
          </w:p>
        </w:tc>
      </w:tr>
      <w:tr w:rsidR="00E46215" w:rsidRPr="00E46215" w14:paraId="65D576EC"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00D83DE6"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Going Deskless: Moving from Fort Reference to Point-of-Need Service</w:t>
            </w:r>
          </w:p>
        </w:tc>
        <w:tc>
          <w:tcPr>
            <w:tcW w:w="1170" w:type="dxa"/>
            <w:tcBorders>
              <w:top w:val="nil"/>
              <w:left w:val="nil"/>
              <w:bottom w:val="single" w:sz="4" w:space="0" w:color="auto"/>
              <w:right w:val="single" w:sz="4" w:space="0" w:color="auto"/>
            </w:tcBorders>
            <w:shd w:val="clear" w:color="auto" w:fill="auto"/>
            <w:noWrap/>
            <w:hideMark/>
          </w:tcPr>
          <w:p w14:paraId="02CB5AB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4E635D12"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2:30 PM</w:t>
            </w:r>
          </w:p>
        </w:tc>
        <w:tc>
          <w:tcPr>
            <w:tcW w:w="1260" w:type="dxa"/>
            <w:tcBorders>
              <w:top w:val="nil"/>
              <w:left w:val="nil"/>
              <w:bottom w:val="single" w:sz="4" w:space="0" w:color="auto"/>
              <w:right w:val="single" w:sz="4" w:space="0" w:color="auto"/>
            </w:tcBorders>
            <w:shd w:val="clear" w:color="auto" w:fill="auto"/>
            <w:noWrap/>
            <w:hideMark/>
          </w:tcPr>
          <w:p w14:paraId="54F64AE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3:30 PM</w:t>
            </w:r>
          </w:p>
        </w:tc>
        <w:tc>
          <w:tcPr>
            <w:tcW w:w="1170" w:type="dxa"/>
            <w:tcBorders>
              <w:top w:val="nil"/>
              <w:left w:val="nil"/>
              <w:bottom w:val="single" w:sz="4" w:space="0" w:color="auto"/>
              <w:right w:val="single" w:sz="4" w:space="0" w:color="auto"/>
            </w:tcBorders>
            <w:shd w:val="clear" w:color="auto" w:fill="auto"/>
            <w:hideMark/>
          </w:tcPr>
          <w:p w14:paraId="07A526FD"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150A </w:t>
            </w:r>
          </w:p>
        </w:tc>
      </w:tr>
      <w:tr w:rsidR="00E46215" w:rsidRPr="00E46215" w14:paraId="3DD58CB3" w14:textId="77777777" w:rsidTr="00E46215">
        <w:trPr>
          <w:trHeight w:val="575"/>
        </w:trPr>
        <w:tc>
          <w:tcPr>
            <w:tcW w:w="4315" w:type="dxa"/>
            <w:tcBorders>
              <w:top w:val="nil"/>
              <w:left w:val="single" w:sz="4" w:space="0" w:color="auto"/>
              <w:bottom w:val="single" w:sz="4" w:space="0" w:color="auto"/>
              <w:right w:val="single" w:sz="4" w:space="0" w:color="auto"/>
            </w:tcBorders>
            <w:shd w:val="clear" w:color="auto" w:fill="auto"/>
            <w:hideMark/>
          </w:tcPr>
          <w:p w14:paraId="494032B8"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Creating a Community Profile to Learn More about Your Current and Potential Patrons</w:t>
            </w:r>
          </w:p>
        </w:tc>
        <w:tc>
          <w:tcPr>
            <w:tcW w:w="1170" w:type="dxa"/>
            <w:tcBorders>
              <w:top w:val="nil"/>
              <w:left w:val="nil"/>
              <w:bottom w:val="single" w:sz="4" w:space="0" w:color="auto"/>
              <w:right w:val="single" w:sz="4" w:space="0" w:color="auto"/>
            </w:tcBorders>
            <w:shd w:val="clear" w:color="auto" w:fill="auto"/>
            <w:noWrap/>
            <w:hideMark/>
          </w:tcPr>
          <w:p w14:paraId="3EE6A7C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4" w:space="0" w:color="auto"/>
              <w:right w:val="single" w:sz="4" w:space="0" w:color="auto"/>
            </w:tcBorders>
            <w:shd w:val="clear" w:color="auto" w:fill="auto"/>
            <w:noWrap/>
            <w:hideMark/>
          </w:tcPr>
          <w:p w14:paraId="31BEEBC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4:00 PM</w:t>
            </w:r>
          </w:p>
        </w:tc>
        <w:tc>
          <w:tcPr>
            <w:tcW w:w="1260" w:type="dxa"/>
            <w:tcBorders>
              <w:top w:val="nil"/>
              <w:left w:val="nil"/>
              <w:bottom w:val="single" w:sz="4" w:space="0" w:color="auto"/>
              <w:right w:val="single" w:sz="4" w:space="0" w:color="auto"/>
            </w:tcBorders>
            <w:shd w:val="clear" w:color="auto" w:fill="auto"/>
            <w:noWrap/>
            <w:hideMark/>
          </w:tcPr>
          <w:p w14:paraId="04675E5A"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5:00 PM</w:t>
            </w:r>
          </w:p>
        </w:tc>
        <w:tc>
          <w:tcPr>
            <w:tcW w:w="1170" w:type="dxa"/>
            <w:tcBorders>
              <w:top w:val="nil"/>
              <w:left w:val="nil"/>
              <w:bottom w:val="single" w:sz="4" w:space="0" w:color="auto"/>
              <w:right w:val="single" w:sz="4" w:space="0" w:color="auto"/>
            </w:tcBorders>
            <w:shd w:val="clear" w:color="auto" w:fill="auto"/>
            <w:hideMark/>
          </w:tcPr>
          <w:p w14:paraId="0C9B534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150A </w:t>
            </w:r>
          </w:p>
        </w:tc>
      </w:tr>
      <w:tr w:rsidR="00E46215" w:rsidRPr="00E46215" w14:paraId="04E27B05" w14:textId="77777777" w:rsidTr="00E46215">
        <w:trPr>
          <w:trHeight w:val="590"/>
        </w:trPr>
        <w:tc>
          <w:tcPr>
            <w:tcW w:w="4315" w:type="dxa"/>
            <w:tcBorders>
              <w:top w:val="nil"/>
              <w:left w:val="single" w:sz="4" w:space="0" w:color="auto"/>
              <w:bottom w:val="single" w:sz="8" w:space="0" w:color="auto"/>
              <w:right w:val="single" w:sz="4" w:space="0" w:color="auto"/>
            </w:tcBorders>
            <w:shd w:val="clear" w:color="auto" w:fill="auto"/>
            <w:hideMark/>
          </w:tcPr>
          <w:p w14:paraId="44838FAF"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What Makes a Successful Conference Proposal? Tips from PLA Experts</w:t>
            </w:r>
          </w:p>
        </w:tc>
        <w:tc>
          <w:tcPr>
            <w:tcW w:w="1170" w:type="dxa"/>
            <w:tcBorders>
              <w:top w:val="nil"/>
              <w:left w:val="nil"/>
              <w:bottom w:val="single" w:sz="8" w:space="0" w:color="auto"/>
              <w:right w:val="single" w:sz="4" w:space="0" w:color="auto"/>
            </w:tcBorders>
            <w:shd w:val="clear" w:color="auto" w:fill="auto"/>
            <w:noWrap/>
            <w:hideMark/>
          </w:tcPr>
          <w:p w14:paraId="062C128E"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6/23/2019</w:t>
            </w:r>
          </w:p>
        </w:tc>
        <w:tc>
          <w:tcPr>
            <w:tcW w:w="1260" w:type="dxa"/>
            <w:tcBorders>
              <w:top w:val="nil"/>
              <w:left w:val="nil"/>
              <w:bottom w:val="single" w:sz="8" w:space="0" w:color="auto"/>
              <w:right w:val="single" w:sz="4" w:space="0" w:color="auto"/>
            </w:tcBorders>
            <w:shd w:val="clear" w:color="auto" w:fill="auto"/>
            <w:noWrap/>
            <w:hideMark/>
          </w:tcPr>
          <w:p w14:paraId="63D08D3A"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4:00 PM</w:t>
            </w:r>
          </w:p>
        </w:tc>
        <w:tc>
          <w:tcPr>
            <w:tcW w:w="1260" w:type="dxa"/>
            <w:tcBorders>
              <w:top w:val="nil"/>
              <w:left w:val="nil"/>
              <w:bottom w:val="single" w:sz="8" w:space="0" w:color="auto"/>
              <w:right w:val="single" w:sz="4" w:space="0" w:color="auto"/>
            </w:tcBorders>
            <w:shd w:val="clear" w:color="auto" w:fill="auto"/>
            <w:noWrap/>
            <w:hideMark/>
          </w:tcPr>
          <w:p w14:paraId="52C6DA63"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5:00 PM</w:t>
            </w:r>
          </w:p>
        </w:tc>
        <w:tc>
          <w:tcPr>
            <w:tcW w:w="1170" w:type="dxa"/>
            <w:tcBorders>
              <w:top w:val="nil"/>
              <w:left w:val="nil"/>
              <w:bottom w:val="single" w:sz="8" w:space="0" w:color="auto"/>
              <w:right w:val="single" w:sz="4" w:space="0" w:color="auto"/>
            </w:tcBorders>
            <w:shd w:val="clear" w:color="auto" w:fill="auto"/>
            <w:hideMark/>
          </w:tcPr>
          <w:p w14:paraId="31B4EC8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152B </w:t>
            </w:r>
          </w:p>
        </w:tc>
      </w:tr>
      <w:tr w:rsidR="00E46215" w:rsidRPr="00E46215" w14:paraId="15832D97"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7F9613FA"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Safer Libraries: Building Staff Resiliency and Library Safety Branch by Branch</w:t>
            </w:r>
          </w:p>
        </w:tc>
        <w:tc>
          <w:tcPr>
            <w:tcW w:w="1170" w:type="dxa"/>
            <w:tcBorders>
              <w:top w:val="nil"/>
              <w:left w:val="nil"/>
              <w:bottom w:val="single" w:sz="4" w:space="0" w:color="auto"/>
              <w:right w:val="single" w:sz="4" w:space="0" w:color="auto"/>
            </w:tcBorders>
            <w:shd w:val="clear" w:color="auto" w:fill="auto"/>
            <w:noWrap/>
            <w:hideMark/>
          </w:tcPr>
          <w:p w14:paraId="3B89619F"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6/24/2019</w:t>
            </w:r>
          </w:p>
        </w:tc>
        <w:tc>
          <w:tcPr>
            <w:tcW w:w="1260" w:type="dxa"/>
            <w:tcBorders>
              <w:top w:val="nil"/>
              <w:left w:val="nil"/>
              <w:bottom w:val="single" w:sz="4" w:space="0" w:color="auto"/>
              <w:right w:val="single" w:sz="4" w:space="0" w:color="auto"/>
            </w:tcBorders>
            <w:shd w:val="clear" w:color="auto" w:fill="auto"/>
            <w:noWrap/>
            <w:hideMark/>
          </w:tcPr>
          <w:p w14:paraId="2072D7B9"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10:30 AM</w:t>
            </w:r>
          </w:p>
        </w:tc>
        <w:tc>
          <w:tcPr>
            <w:tcW w:w="1260" w:type="dxa"/>
            <w:tcBorders>
              <w:top w:val="nil"/>
              <w:left w:val="nil"/>
              <w:bottom w:val="single" w:sz="4" w:space="0" w:color="auto"/>
              <w:right w:val="single" w:sz="4" w:space="0" w:color="auto"/>
            </w:tcBorders>
            <w:shd w:val="clear" w:color="auto" w:fill="auto"/>
            <w:noWrap/>
            <w:hideMark/>
          </w:tcPr>
          <w:p w14:paraId="70CA8834"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11:30 AM</w:t>
            </w:r>
          </w:p>
        </w:tc>
        <w:tc>
          <w:tcPr>
            <w:tcW w:w="1170" w:type="dxa"/>
            <w:tcBorders>
              <w:top w:val="nil"/>
              <w:left w:val="nil"/>
              <w:bottom w:val="single" w:sz="4" w:space="0" w:color="auto"/>
              <w:right w:val="single" w:sz="4" w:space="0" w:color="auto"/>
            </w:tcBorders>
            <w:shd w:val="clear" w:color="auto" w:fill="auto"/>
            <w:hideMark/>
          </w:tcPr>
          <w:p w14:paraId="24D83558"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149A-B</w:t>
            </w:r>
          </w:p>
        </w:tc>
      </w:tr>
      <w:tr w:rsidR="00E46215" w:rsidRPr="00E46215" w14:paraId="425BCA39"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6478AB4E"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Libraries and the Opioid Epidemic: Community-based Responses</w:t>
            </w:r>
          </w:p>
        </w:tc>
        <w:tc>
          <w:tcPr>
            <w:tcW w:w="1170" w:type="dxa"/>
            <w:tcBorders>
              <w:top w:val="nil"/>
              <w:left w:val="nil"/>
              <w:bottom w:val="single" w:sz="4" w:space="0" w:color="auto"/>
              <w:right w:val="single" w:sz="4" w:space="0" w:color="auto"/>
            </w:tcBorders>
            <w:shd w:val="clear" w:color="auto" w:fill="auto"/>
            <w:noWrap/>
            <w:hideMark/>
          </w:tcPr>
          <w:p w14:paraId="0450CB0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6/24/2019</w:t>
            </w:r>
          </w:p>
        </w:tc>
        <w:tc>
          <w:tcPr>
            <w:tcW w:w="1260" w:type="dxa"/>
            <w:tcBorders>
              <w:top w:val="nil"/>
              <w:left w:val="nil"/>
              <w:bottom w:val="single" w:sz="4" w:space="0" w:color="auto"/>
              <w:right w:val="single" w:sz="4" w:space="0" w:color="auto"/>
            </w:tcBorders>
            <w:shd w:val="clear" w:color="auto" w:fill="auto"/>
            <w:noWrap/>
            <w:hideMark/>
          </w:tcPr>
          <w:p w14:paraId="2A8A3A9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2:30 PM</w:t>
            </w:r>
          </w:p>
        </w:tc>
        <w:tc>
          <w:tcPr>
            <w:tcW w:w="1260" w:type="dxa"/>
            <w:tcBorders>
              <w:top w:val="nil"/>
              <w:left w:val="nil"/>
              <w:bottom w:val="single" w:sz="4" w:space="0" w:color="auto"/>
              <w:right w:val="single" w:sz="4" w:space="0" w:color="auto"/>
            </w:tcBorders>
            <w:shd w:val="clear" w:color="auto" w:fill="auto"/>
            <w:noWrap/>
            <w:hideMark/>
          </w:tcPr>
          <w:p w14:paraId="13F590CA"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3:30 PM</w:t>
            </w:r>
          </w:p>
        </w:tc>
        <w:tc>
          <w:tcPr>
            <w:tcW w:w="1170" w:type="dxa"/>
            <w:tcBorders>
              <w:top w:val="nil"/>
              <w:left w:val="nil"/>
              <w:bottom w:val="single" w:sz="4" w:space="0" w:color="auto"/>
              <w:right w:val="single" w:sz="4" w:space="0" w:color="auto"/>
            </w:tcBorders>
            <w:shd w:val="clear" w:color="auto" w:fill="auto"/>
            <w:hideMark/>
          </w:tcPr>
          <w:p w14:paraId="4EC04D21"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149A-B</w:t>
            </w:r>
          </w:p>
        </w:tc>
      </w:tr>
      <w:tr w:rsidR="00E46215" w:rsidRPr="00E46215" w14:paraId="06B26C05" w14:textId="77777777" w:rsidTr="00E46215">
        <w:trPr>
          <w:trHeight w:val="580"/>
        </w:trPr>
        <w:tc>
          <w:tcPr>
            <w:tcW w:w="4315" w:type="dxa"/>
            <w:tcBorders>
              <w:top w:val="nil"/>
              <w:left w:val="single" w:sz="4" w:space="0" w:color="auto"/>
              <w:bottom w:val="single" w:sz="4" w:space="0" w:color="auto"/>
              <w:right w:val="single" w:sz="4" w:space="0" w:color="auto"/>
            </w:tcBorders>
            <w:shd w:val="clear" w:color="auto" w:fill="auto"/>
            <w:hideMark/>
          </w:tcPr>
          <w:p w14:paraId="5669C160"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XR (Augmented, Mixed and Virtual Reality)  Programming in Libraries</w:t>
            </w:r>
          </w:p>
        </w:tc>
        <w:tc>
          <w:tcPr>
            <w:tcW w:w="1170" w:type="dxa"/>
            <w:tcBorders>
              <w:top w:val="nil"/>
              <w:left w:val="nil"/>
              <w:bottom w:val="single" w:sz="4" w:space="0" w:color="auto"/>
              <w:right w:val="single" w:sz="4" w:space="0" w:color="auto"/>
            </w:tcBorders>
            <w:shd w:val="clear" w:color="auto" w:fill="auto"/>
            <w:noWrap/>
            <w:hideMark/>
          </w:tcPr>
          <w:p w14:paraId="322C6375"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6/24/2019</w:t>
            </w:r>
          </w:p>
        </w:tc>
        <w:tc>
          <w:tcPr>
            <w:tcW w:w="1260" w:type="dxa"/>
            <w:tcBorders>
              <w:top w:val="nil"/>
              <w:left w:val="nil"/>
              <w:bottom w:val="single" w:sz="4" w:space="0" w:color="auto"/>
              <w:right w:val="single" w:sz="4" w:space="0" w:color="auto"/>
            </w:tcBorders>
            <w:shd w:val="clear" w:color="auto" w:fill="auto"/>
            <w:noWrap/>
            <w:hideMark/>
          </w:tcPr>
          <w:p w14:paraId="6BF04256"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4:00 PM</w:t>
            </w:r>
          </w:p>
        </w:tc>
        <w:tc>
          <w:tcPr>
            <w:tcW w:w="1260" w:type="dxa"/>
            <w:tcBorders>
              <w:top w:val="nil"/>
              <w:left w:val="nil"/>
              <w:bottom w:val="single" w:sz="4" w:space="0" w:color="auto"/>
              <w:right w:val="single" w:sz="4" w:space="0" w:color="auto"/>
            </w:tcBorders>
            <w:shd w:val="clear" w:color="auto" w:fill="auto"/>
            <w:noWrap/>
            <w:hideMark/>
          </w:tcPr>
          <w:p w14:paraId="7B2DDE57"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5:00 PM</w:t>
            </w:r>
          </w:p>
        </w:tc>
        <w:tc>
          <w:tcPr>
            <w:tcW w:w="1170" w:type="dxa"/>
            <w:tcBorders>
              <w:top w:val="nil"/>
              <w:left w:val="nil"/>
              <w:bottom w:val="single" w:sz="4" w:space="0" w:color="auto"/>
              <w:right w:val="single" w:sz="4" w:space="0" w:color="auto"/>
            </w:tcBorders>
            <w:shd w:val="clear" w:color="auto" w:fill="auto"/>
            <w:hideMark/>
          </w:tcPr>
          <w:p w14:paraId="29B7AE9C" w14:textId="77777777" w:rsidR="00E46215" w:rsidRPr="00E46215" w:rsidRDefault="00E46215" w:rsidP="00E46215">
            <w:pPr>
              <w:spacing w:before="0" w:beforeAutospacing="0"/>
              <w:rPr>
                <w:rFonts w:ascii="Calibri" w:eastAsia="Times New Roman" w:hAnsi="Calibri" w:cs="Calibri"/>
                <w:color w:val="000000"/>
              </w:rPr>
            </w:pPr>
            <w:r w:rsidRPr="00E46215">
              <w:rPr>
                <w:rFonts w:ascii="Calibri" w:eastAsia="Times New Roman" w:hAnsi="Calibri" w:cs="Calibri"/>
                <w:color w:val="000000"/>
              </w:rPr>
              <w:t xml:space="preserve">145B </w:t>
            </w:r>
          </w:p>
        </w:tc>
      </w:tr>
    </w:tbl>
    <w:p w14:paraId="555EE6FE" w14:textId="15D7C731" w:rsidR="00A45610" w:rsidRDefault="00C06BE3" w:rsidP="008B36DD">
      <w:pPr>
        <w:rPr>
          <w:sz w:val="24"/>
          <w:szCs w:val="24"/>
        </w:rPr>
      </w:pPr>
      <w:r w:rsidRPr="003716BB">
        <w:rPr>
          <w:b/>
          <w:sz w:val="24"/>
          <w:szCs w:val="24"/>
        </w:rPr>
        <w:t>PLA 2020 Conference</w:t>
      </w:r>
      <w:r w:rsidR="00EB527F">
        <w:rPr>
          <w:b/>
          <w:sz w:val="24"/>
          <w:szCs w:val="24"/>
        </w:rPr>
        <w:br/>
      </w:r>
      <w:r w:rsidR="0038538D">
        <w:rPr>
          <w:sz w:val="24"/>
          <w:szCs w:val="24"/>
        </w:rPr>
        <w:t>See PLA 2020 Report for update on programming</w:t>
      </w:r>
      <w:r w:rsidR="00C62971">
        <w:rPr>
          <w:sz w:val="24"/>
          <w:szCs w:val="24"/>
        </w:rPr>
        <w:t xml:space="preserve"> for the PLA 2020 Conference in Nashville.</w:t>
      </w:r>
    </w:p>
    <w:p w14:paraId="23E32CE4" w14:textId="42F0D62A" w:rsidR="00C06BE3" w:rsidRPr="00D435A9" w:rsidRDefault="00C06BE3" w:rsidP="008B36DD">
      <w:pPr>
        <w:rPr>
          <w:sz w:val="24"/>
          <w:szCs w:val="24"/>
        </w:rPr>
      </w:pPr>
      <w:r>
        <w:rPr>
          <w:b/>
          <w:sz w:val="24"/>
          <w:szCs w:val="24"/>
        </w:rPr>
        <w:t xml:space="preserve">PLA </w:t>
      </w:r>
      <w:r w:rsidRPr="003716BB">
        <w:rPr>
          <w:b/>
          <w:sz w:val="24"/>
          <w:szCs w:val="24"/>
        </w:rPr>
        <w:t>Online Learning</w:t>
      </w:r>
      <w:r w:rsidR="00EB527F">
        <w:rPr>
          <w:b/>
          <w:sz w:val="24"/>
          <w:szCs w:val="24"/>
        </w:rPr>
        <w:br/>
      </w:r>
      <w:r w:rsidRPr="00D435A9">
        <w:rPr>
          <w:sz w:val="24"/>
          <w:szCs w:val="24"/>
        </w:rPr>
        <w:t xml:space="preserve">Since our last update to the Board in </w:t>
      </w:r>
      <w:r w:rsidR="006E2505">
        <w:rPr>
          <w:sz w:val="24"/>
          <w:szCs w:val="24"/>
        </w:rPr>
        <w:t>March</w:t>
      </w:r>
      <w:r>
        <w:rPr>
          <w:sz w:val="24"/>
          <w:szCs w:val="24"/>
        </w:rPr>
        <w:t xml:space="preserve"> 2019</w:t>
      </w:r>
      <w:r w:rsidRPr="00D435A9">
        <w:rPr>
          <w:sz w:val="24"/>
          <w:szCs w:val="24"/>
        </w:rPr>
        <w:t>, PLA has offered the following free webinars:</w:t>
      </w:r>
      <w:r>
        <w:rPr>
          <w:sz w:val="24"/>
          <w:szCs w:val="24"/>
        </w:rPr>
        <w:br/>
      </w:r>
    </w:p>
    <w:tbl>
      <w:tblPr>
        <w:tblStyle w:val="TableGrid"/>
        <w:tblW w:w="0" w:type="auto"/>
        <w:tblLook w:val="04A0" w:firstRow="1" w:lastRow="0" w:firstColumn="1" w:lastColumn="0" w:noHBand="0" w:noVBand="1"/>
      </w:tblPr>
      <w:tblGrid>
        <w:gridCol w:w="1525"/>
        <w:gridCol w:w="6232"/>
        <w:gridCol w:w="1593"/>
      </w:tblGrid>
      <w:tr w:rsidR="00C06BE3" w:rsidRPr="002C0A21" w14:paraId="4A8B3263" w14:textId="77777777" w:rsidTr="00F51794">
        <w:tc>
          <w:tcPr>
            <w:tcW w:w="1525" w:type="dxa"/>
          </w:tcPr>
          <w:p w14:paraId="5D3DE16C" w14:textId="77777777" w:rsidR="00C06BE3" w:rsidRPr="002C0A21" w:rsidRDefault="00C06BE3" w:rsidP="003922AC">
            <w:pPr>
              <w:rPr>
                <w:rFonts w:cstheme="minorHAnsi"/>
                <w:b/>
                <w:sz w:val="24"/>
                <w:szCs w:val="24"/>
              </w:rPr>
            </w:pPr>
            <w:r w:rsidRPr="002C0A21">
              <w:rPr>
                <w:rFonts w:cstheme="minorHAnsi"/>
                <w:b/>
                <w:sz w:val="24"/>
                <w:szCs w:val="24"/>
              </w:rPr>
              <w:t>Date</w:t>
            </w:r>
          </w:p>
        </w:tc>
        <w:tc>
          <w:tcPr>
            <w:tcW w:w="6232" w:type="dxa"/>
          </w:tcPr>
          <w:p w14:paraId="29FDC7B9" w14:textId="77777777" w:rsidR="00C06BE3" w:rsidRPr="002C0A21" w:rsidRDefault="00C06BE3" w:rsidP="003922AC">
            <w:pPr>
              <w:rPr>
                <w:rFonts w:cstheme="minorHAnsi"/>
                <w:b/>
                <w:sz w:val="24"/>
                <w:szCs w:val="24"/>
              </w:rPr>
            </w:pPr>
            <w:r w:rsidRPr="002C0A21">
              <w:rPr>
                <w:rFonts w:cstheme="minorHAnsi"/>
                <w:b/>
                <w:sz w:val="24"/>
                <w:szCs w:val="24"/>
              </w:rPr>
              <w:t>Title</w:t>
            </w:r>
          </w:p>
        </w:tc>
        <w:tc>
          <w:tcPr>
            <w:tcW w:w="1593" w:type="dxa"/>
          </w:tcPr>
          <w:p w14:paraId="07E3D5BC" w14:textId="77777777" w:rsidR="00C06BE3" w:rsidRPr="002C0A21" w:rsidRDefault="00C06BE3" w:rsidP="003922AC">
            <w:pPr>
              <w:rPr>
                <w:rFonts w:cstheme="minorHAnsi"/>
                <w:b/>
                <w:sz w:val="24"/>
                <w:szCs w:val="24"/>
              </w:rPr>
            </w:pPr>
            <w:r w:rsidRPr="002C0A21">
              <w:rPr>
                <w:rFonts w:cstheme="minorHAnsi"/>
                <w:b/>
                <w:sz w:val="24"/>
                <w:szCs w:val="24"/>
              </w:rPr>
              <w:t>Registration</w:t>
            </w:r>
          </w:p>
        </w:tc>
      </w:tr>
      <w:tr w:rsidR="00C06BE3" w:rsidRPr="002C0A21" w14:paraId="16325381" w14:textId="77777777" w:rsidTr="00F51794">
        <w:tc>
          <w:tcPr>
            <w:tcW w:w="1525" w:type="dxa"/>
          </w:tcPr>
          <w:p w14:paraId="5918D66E" w14:textId="50F6A521" w:rsidR="00C06BE3" w:rsidRPr="002C0A21" w:rsidRDefault="001F3290" w:rsidP="003922AC">
            <w:pPr>
              <w:rPr>
                <w:rFonts w:cstheme="minorHAnsi"/>
                <w:sz w:val="24"/>
                <w:szCs w:val="24"/>
              </w:rPr>
            </w:pPr>
            <w:r>
              <w:rPr>
                <w:rFonts w:cstheme="minorHAnsi"/>
                <w:sz w:val="24"/>
                <w:szCs w:val="24"/>
              </w:rPr>
              <w:t>May 2</w:t>
            </w:r>
          </w:p>
        </w:tc>
        <w:tc>
          <w:tcPr>
            <w:tcW w:w="6232" w:type="dxa"/>
          </w:tcPr>
          <w:p w14:paraId="28E72B54" w14:textId="404C592E" w:rsidR="00C06BE3" w:rsidRPr="002C0A21" w:rsidRDefault="001F3290" w:rsidP="003922AC">
            <w:pPr>
              <w:rPr>
                <w:rFonts w:cstheme="minorHAnsi"/>
                <w:sz w:val="24"/>
                <w:szCs w:val="24"/>
              </w:rPr>
            </w:pPr>
            <w:r w:rsidRPr="001F3290">
              <w:rPr>
                <w:rFonts w:cstheme="minorHAnsi"/>
                <w:sz w:val="24"/>
                <w:szCs w:val="24"/>
              </w:rPr>
              <w:t>Improving the Quality of Youth Programs</w:t>
            </w:r>
          </w:p>
        </w:tc>
        <w:tc>
          <w:tcPr>
            <w:tcW w:w="1593" w:type="dxa"/>
          </w:tcPr>
          <w:p w14:paraId="47760889" w14:textId="05B33D12" w:rsidR="00C06BE3" w:rsidRPr="002C0A21" w:rsidRDefault="001F3290" w:rsidP="003922AC">
            <w:pPr>
              <w:rPr>
                <w:rFonts w:cstheme="minorHAnsi"/>
                <w:sz w:val="24"/>
                <w:szCs w:val="24"/>
              </w:rPr>
            </w:pPr>
            <w:r>
              <w:rPr>
                <w:rFonts w:cstheme="minorHAnsi"/>
                <w:sz w:val="24"/>
                <w:szCs w:val="24"/>
              </w:rPr>
              <w:t>454</w:t>
            </w:r>
          </w:p>
        </w:tc>
      </w:tr>
      <w:tr w:rsidR="00C06BE3" w:rsidRPr="002C0A21" w14:paraId="076F37C5" w14:textId="77777777" w:rsidTr="00F51794">
        <w:tc>
          <w:tcPr>
            <w:tcW w:w="1525" w:type="dxa"/>
          </w:tcPr>
          <w:p w14:paraId="23BA2646" w14:textId="7CA5EDC8" w:rsidR="00C06BE3" w:rsidRPr="002C0A21" w:rsidRDefault="005742EE" w:rsidP="003922AC">
            <w:pPr>
              <w:rPr>
                <w:rFonts w:cstheme="minorHAnsi"/>
                <w:sz w:val="24"/>
                <w:szCs w:val="24"/>
              </w:rPr>
            </w:pPr>
            <w:r>
              <w:rPr>
                <w:rFonts w:cstheme="minorHAnsi"/>
                <w:sz w:val="24"/>
                <w:szCs w:val="24"/>
              </w:rPr>
              <w:t>May 7</w:t>
            </w:r>
          </w:p>
        </w:tc>
        <w:tc>
          <w:tcPr>
            <w:tcW w:w="6232" w:type="dxa"/>
          </w:tcPr>
          <w:p w14:paraId="375B1DED" w14:textId="22B8C4A5" w:rsidR="00C06BE3" w:rsidRPr="002C0A21" w:rsidRDefault="005742EE" w:rsidP="003922AC">
            <w:pPr>
              <w:rPr>
                <w:rFonts w:cstheme="minorHAnsi"/>
                <w:sz w:val="24"/>
                <w:szCs w:val="24"/>
              </w:rPr>
            </w:pPr>
            <w:r w:rsidRPr="005742EE">
              <w:rPr>
                <w:rFonts w:cstheme="minorHAnsi"/>
                <w:sz w:val="24"/>
                <w:szCs w:val="24"/>
              </w:rPr>
              <w:t>Libraries Connecting You to Coverage: Health Literacy</w:t>
            </w:r>
          </w:p>
        </w:tc>
        <w:tc>
          <w:tcPr>
            <w:tcW w:w="1593" w:type="dxa"/>
          </w:tcPr>
          <w:p w14:paraId="3D97E66A" w14:textId="0D5AE361" w:rsidR="00C06BE3" w:rsidRPr="002C0A21" w:rsidRDefault="005742EE" w:rsidP="003922AC">
            <w:pPr>
              <w:rPr>
                <w:rFonts w:cstheme="minorHAnsi"/>
                <w:sz w:val="24"/>
                <w:szCs w:val="24"/>
              </w:rPr>
            </w:pPr>
            <w:r>
              <w:rPr>
                <w:rFonts w:cstheme="minorHAnsi"/>
                <w:sz w:val="24"/>
                <w:szCs w:val="24"/>
              </w:rPr>
              <w:t>26</w:t>
            </w:r>
            <w:r w:rsidR="00B25368">
              <w:rPr>
                <w:rFonts w:cstheme="minorHAnsi"/>
                <w:sz w:val="24"/>
                <w:szCs w:val="24"/>
              </w:rPr>
              <w:t>8</w:t>
            </w:r>
          </w:p>
        </w:tc>
      </w:tr>
    </w:tbl>
    <w:p w14:paraId="78767142" w14:textId="76C24364" w:rsidR="00F51794" w:rsidRDefault="00F51794" w:rsidP="00E27134">
      <w:pPr>
        <w:rPr>
          <w:sz w:val="24"/>
          <w:szCs w:val="24"/>
        </w:rPr>
      </w:pPr>
      <w:r>
        <w:rPr>
          <w:sz w:val="24"/>
          <w:szCs w:val="24"/>
        </w:rPr>
        <w:t>Two additional free webinars are planned for this summer. “</w:t>
      </w:r>
      <w:r w:rsidRPr="00AF3C6C">
        <w:rPr>
          <w:sz w:val="24"/>
          <w:szCs w:val="24"/>
        </w:rPr>
        <w:t>The Public Library</w:t>
      </w:r>
      <w:r>
        <w:rPr>
          <w:sz w:val="24"/>
          <w:szCs w:val="24"/>
        </w:rPr>
        <w:t>’</w:t>
      </w:r>
      <w:r w:rsidRPr="00AF3C6C">
        <w:rPr>
          <w:sz w:val="24"/>
          <w:szCs w:val="24"/>
        </w:rPr>
        <w:t>s Role during Elections: Voter Education in the Age of Misinformation</w:t>
      </w:r>
      <w:r>
        <w:rPr>
          <w:sz w:val="24"/>
          <w:szCs w:val="24"/>
        </w:rPr>
        <w:t>”</w:t>
      </w:r>
      <w:r w:rsidRPr="00AF3C6C">
        <w:rPr>
          <w:sz w:val="24"/>
          <w:szCs w:val="24"/>
        </w:rPr>
        <w:t xml:space="preserve"> </w:t>
      </w:r>
      <w:r>
        <w:rPr>
          <w:sz w:val="24"/>
          <w:szCs w:val="24"/>
        </w:rPr>
        <w:t xml:space="preserve">will be offered </w:t>
      </w:r>
      <w:r w:rsidRPr="00AF3C6C">
        <w:rPr>
          <w:sz w:val="24"/>
          <w:szCs w:val="24"/>
        </w:rPr>
        <w:t xml:space="preserve">on June 4 and </w:t>
      </w:r>
      <w:r>
        <w:rPr>
          <w:sz w:val="24"/>
          <w:szCs w:val="24"/>
        </w:rPr>
        <w:t>“</w:t>
      </w:r>
      <w:r w:rsidRPr="00AF3C6C">
        <w:rPr>
          <w:sz w:val="24"/>
          <w:szCs w:val="24"/>
        </w:rPr>
        <w:t>It's All in the Data: Unreturned Materials as Barriers to Access</w:t>
      </w:r>
      <w:r>
        <w:rPr>
          <w:sz w:val="24"/>
          <w:szCs w:val="24"/>
        </w:rPr>
        <w:t>”</w:t>
      </w:r>
      <w:r w:rsidRPr="00AF3C6C">
        <w:rPr>
          <w:sz w:val="24"/>
          <w:szCs w:val="24"/>
        </w:rPr>
        <w:t xml:space="preserve"> </w:t>
      </w:r>
      <w:r>
        <w:rPr>
          <w:sz w:val="24"/>
          <w:szCs w:val="24"/>
        </w:rPr>
        <w:t xml:space="preserve">will be offered </w:t>
      </w:r>
      <w:r w:rsidRPr="00AF3C6C">
        <w:rPr>
          <w:sz w:val="24"/>
          <w:szCs w:val="24"/>
        </w:rPr>
        <w:t>on July 11</w:t>
      </w:r>
      <w:r>
        <w:rPr>
          <w:sz w:val="24"/>
          <w:szCs w:val="24"/>
        </w:rPr>
        <w:t>.</w:t>
      </w:r>
    </w:p>
    <w:p w14:paraId="18AF90DA" w14:textId="28C18EF4" w:rsidR="00F51794" w:rsidRPr="00396BCE" w:rsidRDefault="005712A4" w:rsidP="00F51794">
      <w:pPr>
        <w:rPr>
          <w:sz w:val="24"/>
          <w:szCs w:val="24"/>
        </w:rPr>
      </w:pPr>
      <w:r w:rsidRPr="005712A4">
        <w:rPr>
          <w:sz w:val="24"/>
          <w:szCs w:val="24"/>
        </w:rPr>
        <w:t xml:space="preserve">In April 2019, PLA offered a series of two 60-minute paid webinars on cultural intelligence, presented by Marla Ehlers. </w:t>
      </w:r>
      <w:r>
        <w:rPr>
          <w:sz w:val="24"/>
          <w:szCs w:val="24"/>
        </w:rPr>
        <w:t>“</w:t>
      </w:r>
      <w:r w:rsidRPr="005712A4">
        <w:rPr>
          <w:sz w:val="24"/>
          <w:szCs w:val="24"/>
        </w:rPr>
        <w:t>Building CQ: Fostering Our Cultural Intelligence</w:t>
      </w:r>
      <w:r>
        <w:rPr>
          <w:sz w:val="24"/>
          <w:szCs w:val="24"/>
        </w:rPr>
        <w:t>”</w:t>
      </w:r>
      <w:r w:rsidRPr="005712A4">
        <w:rPr>
          <w:sz w:val="24"/>
          <w:szCs w:val="24"/>
        </w:rPr>
        <w:t xml:space="preserve"> was presented on April 4 and </w:t>
      </w:r>
      <w:r>
        <w:rPr>
          <w:sz w:val="24"/>
          <w:szCs w:val="24"/>
        </w:rPr>
        <w:t>“</w:t>
      </w:r>
      <w:r w:rsidRPr="005712A4">
        <w:rPr>
          <w:sz w:val="24"/>
          <w:szCs w:val="24"/>
        </w:rPr>
        <w:t>Applying CQ: Shaping Culturally Intelligent Libraries</w:t>
      </w:r>
      <w:r>
        <w:rPr>
          <w:sz w:val="24"/>
          <w:szCs w:val="24"/>
        </w:rPr>
        <w:t>”</w:t>
      </w:r>
      <w:r w:rsidRPr="005712A4">
        <w:rPr>
          <w:sz w:val="24"/>
          <w:szCs w:val="24"/>
        </w:rPr>
        <w:t xml:space="preserve"> was presented on April 11. Registration was </w:t>
      </w:r>
      <w:r w:rsidR="00902A05">
        <w:rPr>
          <w:sz w:val="24"/>
          <w:szCs w:val="24"/>
        </w:rPr>
        <w:t xml:space="preserve">overwhelmingly </w:t>
      </w:r>
      <w:r w:rsidRPr="005712A4">
        <w:rPr>
          <w:sz w:val="24"/>
          <w:szCs w:val="24"/>
        </w:rPr>
        <w:t xml:space="preserve">stronger for the series than for </w:t>
      </w:r>
      <w:r w:rsidR="00F51794">
        <w:rPr>
          <w:sz w:val="24"/>
          <w:szCs w:val="24"/>
        </w:rPr>
        <w:t xml:space="preserve">the </w:t>
      </w:r>
      <w:r w:rsidRPr="005712A4">
        <w:rPr>
          <w:sz w:val="24"/>
          <w:szCs w:val="24"/>
        </w:rPr>
        <w:t>individual webinars</w:t>
      </w:r>
      <w:r w:rsidR="005742EE">
        <w:rPr>
          <w:sz w:val="24"/>
          <w:szCs w:val="24"/>
        </w:rPr>
        <w:t xml:space="preserve">: </w:t>
      </w:r>
      <w:r w:rsidR="005742EE" w:rsidRPr="005742EE">
        <w:rPr>
          <w:sz w:val="24"/>
          <w:szCs w:val="24"/>
        </w:rPr>
        <w:t>5 individuals registered for Building CQ, 2 individuals registered for Applying CQ, 35 individuals registered for the series, and 30 groups registered for the series</w:t>
      </w:r>
      <w:r w:rsidRPr="005712A4">
        <w:rPr>
          <w:sz w:val="24"/>
          <w:szCs w:val="24"/>
        </w:rPr>
        <w:t xml:space="preserve">. Overall positive evaluation </w:t>
      </w:r>
      <w:r w:rsidRPr="005712A4">
        <w:rPr>
          <w:sz w:val="24"/>
          <w:szCs w:val="24"/>
        </w:rPr>
        <w:lastRenderedPageBreak/>
        <w:t>results also indicated that attendees felt t</w:t>
      </w:r>
      <w:r w:rsidR="00C42B88">
        <w:rPr>
          <w:sz w:val="24"/>
          <w:szCs w:val="24"/>
        </w:rPr>
        <w:t>wo 60-minute</w:t>
      </w:r>
      <w:r w:rsidRPr="005712A4">
        <w:rPr>
          <w:sz w:val="24"/>
          <w:szCs w:val="24"/>
        </w:rPr>
        <w:t xml:space="preserve"> </w:t>
      </w:r>
      <w:r>
        <w:rPr>
          <w:sz w:val="24"/>
          <w:szCs w:val="24"/>
        </w:rPr>
        <w:t xml:space="preserve">webinars did not provide adequate time to cover the </w:t>
      </w:r>
      <w:r w:rsidRPr="005712A4">
        <w:rPr>
          <w:sz w:val="24"/>
          <w:szCs w:val="24"/>
        </w:rPr>
        <w:t>content</w:t>
      </w:r>
      <w:r>
        <w:rPr>
          <w:sz w:val="24"/>
          <w:szCs w:val="24"/>
        </w:rPr>
        <w:t xml:space="preserve">, </w:t>
      </w:r>
      <w:r w:rsidRPr="005712A4">
        <w:rPr>
          <w:sz w:val="24"/>
          <w:szCs w:val="24"/>
        </w:rPr>
        <w:t>and that PLA should consider additional programming on cultural intelligence as more guidance</w:t>
      </w:r>
      <w:r w:rsidR="00E30167">
        <w:rPr>
          <w:sz w:val="24"/>
          <w:szCs w:val="24"/>
        </w:rPr>
        <w:t xml:space="preserve"> </w:t>
      </w:r>
      <w:r w:rsidRPr="005712A4">
        <w:rPr>
          <w:sz w:val="24"/>
          <w:szCs w:val="24"/>
        </w:rPr>
        <w:t>and practice is needed.</w:t>
      </w:r>
      <w:r w:rsidR="00F51794">
        <w:rPr>
          <w:sz w:val="24"/>
          <w:szCs w:val="24"/>
        </w:rPr>
        <w:t xml:space="preserve"> The success of th</w:t>
      </w:r>
      <w:r w:rsidR="00481598">
        <w:rPr>
          <w:sz w:val="24"/>
          <w:szCs w:val="24"/>
        </w:rPr>
        <w:t xml:space="preserve">is series </w:t>
      </w:r>
      <w:r w:rsidR="00F51794">
        <w:rPr>
          <w:sz w:val="24"/>
          <w:szCs w:val="24"/>
        </w:rPr>
        <w:t>indicates a significant audience for paid webinars that will be incorporated into planning for future PLA online learning efforts.</w:t>
      </w:r>
    </w:p>
    <w:p w14:paraId="13389CC0" w14:textId="04BD5A0E" w:rsidR="00DD7317" w:rsidRDefault="005712A4" w:rsidP="00E27134">
      <w:pPr>
        <w:rPr>
          <w:sz w:val="24"/>
          <w:szCs w:val="24"/>
        </w:rPr>
      </w:pPr>
      <w:r>
        <w:rPr>
          <w:sz w:val="24"/>
          <w:szCs w:val="24"/>
        </w:rPr>
        <w:t>Finally, PLA closed its biannual call for webinar proposals on May 31, receiving 10 total proposals that will be reviewed by the Continuing Education Advisory Group for possible presentation in the second half of 2019.</w:t>
      </w:r>
    </w:p>
    <w:p w14:paraId="081BB36E" w14:textId="56F724DC" w:rsidR="00C3048C" w:rsidRDefault="00E27134" w:rsidP="00E27134">
      <w:pPr>
        <w:rPr>
          <w:sz w:val="24"/>
          <w:szCs w:val="24"/>
        </w:rPr>
      </w:pPr>
      <w:r w:rsidRPr="004846F0">
        <w:rPr>
          <w:b/>
          <w:sz w:val="24"/>
          <w:szCs w:val="24"/>
        </w:rPr>
        <w:t xml:space="preserve">BUDGET </w:t>
      </w:r>
      <w:r>
        <w:rPr>
          <w:b/>
          <w:sz w:val="24"/>
          <w:szCs w:val="24"/>
        </w:rPr>
        <w:br/>
      </w:r>
      <w:r w:rsidR="00C3048C">
        <w:rPr>
          <w:sz w:val="24"/>
          <w:szCs w:val="24"/>
        </w:rPr>
        <w:t xml:space="preserve">PLA’s total revenue on the </w:t>
      </w:r>
      <w:r w:rsidR="00DD7317">
        <w:rPr>
          <w:sz w:val="24"/>
          <w:szCs w:val="24"/>
        </w:rPr>
        <w:t xml:space="preserve">cultural intelligence (CQ) </w:t>
      </w:r>
      <w:r w:rsidR="00C3048C">
        <w:rPr>
          <w:sz w:val="24"/>
          <w:szCs w:val="24"/>
        </w:rPr>
        <w:t xml:space="preserve">series </w:t>
      </w:r>
      <w:r w:rsidR="00DD7317">
        <w:rPr>
          <w:sz w:val="24"/>
          <w:szCs w:val="24"/>
        </w:rPr>
        <w:t xml:space="preserve">of two webinars </w:t>
      </w:r>
      <w:r w:rsidR="00C3048C">
        <w:rPr>
          <w:sz w:val="24"/>
          <w:szCs w:val="24"/>
        </w:rPr>
        <w:t>in April 2019 was $9,194</w:t>
      </w:r>
      <w:r w:rsidR="00AE77E8">
        <w:rPr>
          <w:sz w:val="24"/>
          <w:szCs w:val="24"/>
        </w:rPr>
        <w:t xml:space="preserve"> – with a breakdown as follows: </w:t>
      </w:r>
      <w:r w:rsidR="00AE77E8" w:rsidRPr="00AE77E8">
        <w:rPr>
          <w:sz w:val="24"/>
          <w:szCs w:val="24"/>
        </w:rPr>
        <w:t>$263 for Building CQ</w:t>
      </w:r>
      <w:r w:rsidR="00AE77E8">
        <w:rPr>
          <w:sz w:val="24"/>
          <w:szCs w:val="24"/>
        </w:rPr>
        <w:t xml:space="preserve"> registration</w:t>
      </w:r>
      <w:r w:rsidR="00AE77E8" w:rsidRPr="00AE77E8">
        <w:rPr>
          <w:sz w:val="24"/>
          <w:szCs w:val="24"/>
        </w:rPr>
        <w:t>, $102 for Applying CQ</w:t>
      </w:r>
      <w:r w:rsidR="00AE77E8">
        <w:rPr>
          <w:sz w:val="24"/>
          <w:szCs w:val="24"/>
        </w:rPr>
        <w:t xml:space="preserve"> registration</w:t>
      </w:r>
      <w:r w:rsidR="00AE77E8" w:rsidRPr="00AE77E8">
        <w:rPr>
          <w:sz w:val="24"/>
          <w:szCs w:val="24"/>
        </w:rPr>
        <w:t>, and $8,829 for series</w:t>
      </w:r>
      <w:r w:rsidR="00AE77E8">
        <w:rPr>
          <w:sz w:val="24"/>
          <w:szCs w:val="24"/>
        </w:rPr>
        <w:t xml:space="preserve"> registration.</w:t>
      </w:r>
    </w:p>
    <w:p w14:paraId="15C3C8BB" w14:textId="274E3F8A" w:rsidR="005A1739" w:rsidRDefault="005A1739" w:rsidP="00E27134">
      <w:pPr>
        <w:rPr>
          <w:sz w:val="24"/>
          <w:szCs w:val="24"/>
        </w:rPr>
      </w:pPr>
      <w:r w:rsidRPr="005A1739">
        <w:rPr>
          <w:sz w:val="24"/>
          <w:szCs w:val="24"/>
        </w:rPr>
        <w:t xml:space="preserve">As of </w:t>
      </w:r>
      <w:r w:rsidR="00717DD4">
        <w:rPr>
          <w:sz w:val="24"/>
          <w:szCs w:val="24"/>
        </w:rPr>
        <w:t>June 3</w:t>
      </w:r>
      <w:r w:rsidRPr="005A1739">
        <w:rPr>
          <w:sz w:val="24"/>
          <w:szCs w:val="24"/>
        </w:rPr>
        <w:t>, PLA</w:t>
      </w:r>
      <w:r>
        <w:rPr>
          <w:sz w:val="24"/>
          <w:szCs w:val="24"/>
        </w:rPr>
        <w:t>’</w:t>
      </w:r>
      <w:r w:rsidRPr="005A1739">
        <w:rPr>
          <w:sz w:val="24"/>
          <w:szCs w:val="24"/>
        </w:rPr>
        <w:t>s half-day preconference at ALA Annual Conference</w:t>
      </w:r>
      <w:r w:rsidR="005B5337">
        <w:rPr>
          <w:sz w:val="24"/>
          <w:szCs w:val="24"/>
        </w:rPr>
        <w:t>, “</w:t>
      </w:r>
      <w:r w:rsidR="005B5337" w:rsidRPr="005B5337">
        <w:rPr>
          <w:sz w:val="24"/>
          <w:szCs w:val="24"/>
        </w:rPr>
        <w:t>Librarians and Social Workers: Partnerships that Work for Connecting People in Need</w:t>
      </w:r>
      <w:r w:rsidR="005B5337">
        <w:rPr>
          <w:sz w:val="24"/>
          <w:szCs w:val="24"/>
        </w:rPr>
        <w:t xml:space="preserve">,” </w:t>
      </w:r>
      <w:r w:rsidRPr="005A1739">
        <w:rPr>
          <w:sz w:val="24"/>
          <w:szCs w:val="24"/>
        </w:rPr>
        <w:t xml:space="preserve">had </w:t>
      </w:r>
      <w:r w:rsidR="00A45610">
        <w:rPr>
          <w:sz w:val="24"/>
          <w:szCs w:val="24"/>
        </w:rPr>
        <w:t>6</w:t>
      </w:r>
      <w:r w:rsidR="00E35050">
        <w:rPr>
          <w:sz w:val="24"/>
          <w:szCs w:val="24"/>
        </w:rPr>
        <w:t>6</w:t>
      </w:r>
      <w:r w:rsidR="00A45610">
        <w:rPr>
          <w:sz w:val="24"/>
          <w:szCs w:val="24"/>
        </w:rPr>
        <w:t xml:space="preserve"> </w:t>
      </w:r>
      <w:r w:rsidRPr="005A1739">
        <w:rPr>
          <w:sz w:val="24"/>
          <w:szCs w:val="24"/>
        </w:rPr>
        <w:t>regist</w:t>
      </w:r>
      <w:r w:rsidR="00A45610">
        <w:rPr>
          <w:sz w:val="24"/>
          <w:szCs w:val="24"/>
        </w:rPr>
        <w:t>ered attendees</w:t>
      </w:r>
      <w:r w:rsidRPr="005A1739">
        <w:rPr>
          <w:sz w:val="24"/>
          <w:szCs w:val="24"/>
        </w:rPr>
        <w:t xml:space="preserve"> for a total of $</w:t>
      </w:r>
      <w:r w:rsidR="00A45610">
        <w:rPr>
          <w:sz w:val="24"/>
          <w:szCs w:val="24"/>
        </w:rPr>
        <w:t>6,</w:t>
      </w:r>
      <w:r w:rsidR="00E35050">
        <w:rPr>
          <w:sz w:val="24"/>
          <w:szCs w:val="24"/>
        </w:rPr>
        <w:t>68</w:t>
      </w:r>
      <w:r w:rsidR="00A45610">
        <w:rPr>
          <w:sz w:val="24"/>
          <w:szCs w:val="24"/>
        </w:rPr>
        <w:t xml:space="preserve">0 </w:t>
      </w:r>
      <w:r w:rsidRPr="005A1739">
        <w:rPr>
          <w:sz w:val="24"/>
          <w:szCs w:val="24"/>
        </w:rPr>
        <w:t>in revenue.</w:t>
      </w:r>
      <w:r w:rsidR="00022CFE">
        <w:rPr>
          <w:sz w:val="24"/>
          <w:szCs w:val="24"/>
        </w:rPr>
        <w:t xml:space="preserve"> </w:t>
      </w:r>
      <w:r w:rsidR="00A45610">
        <w:rPr>
          <w:sz w:val="24"/>
          <w:szCs w:val="24"/>
        </w:rPr>
        <w:t>Thanks in part to promotional support from our cosponsors ODLOS and YALSA, this event has greatly exceeded o</w:t>
      </w:r>
      <w:r w:rsidR="00022CFE">
        <w:rPr>
          <w:sz w:val="24"/>
          <w:szCs w:val="24"/>
        </w:rPr>
        <w:t xml:space="preserve">ur break-even </w:t>
      </w:r>
      <w:r w:rsidR="00394BA7">
        <w:rPr>
          <w:sz w:val="24"/>
          <w:szCs w:val="24"/>
        </w:rPr>
        <w:t xml:space="preserve">registration </w:t>
      </w:r>
      <w:r w:rsidR="00022CFE">
        <w:rPr>
          <w:sz w:val="24"/>
          <w:szCs w:val="24"/>
        </w:rPr>
        <w:t xml:space="preserve">point </w:t>
      </w:r>
      <w:r w:rsidR="00A45610">
        <w:rPr>
          <w:sz w:val="24"/>
          <w:szCs w:val="24"/>
        </w:rPr>
        <w:t xml:space="preserve">of </w:t>
      </w:r>
      <w:r w:rsidR="00022CFE">
        <w:rPr>
          <w:sz w:val="24"/>
          <w:szCs w:val="24"/>
        </w:rPr>
        <w:t xml:space="preserve">35 and our registration goal </w:t>
      </w:r>
      <w:r w:rsidR="00A45610">
        <w:rPr>
          <w:sz w:val="24"/>
          <w:szCs w:val="24"/>
        </w:rPr>
        <w:t xml:space="preserve">of </w:t>
      </w:r>
      <w:r w:rsidR="00022CFE">
        <w:rPr>
          <w:sz w:val="24"/>
          <w:szCs w:val="24"/>
        </w:rPr>
        <w:t>50</w:t>
      </w:r>
      <w:r w:rsidR="00A45610">
        <w:rPr>
          <w:sz w:val="24"/>
          <w:szCs w:val="24"/>
        </w:rPr>
        <w:t xml:space="preserve"> attendees</w:t>
      </w:r>
      <w:r w:rsidR="00022CFE">
        <w:rPr>
          <w:sz w:val="24"/>
          <w:szCs w:val="24"/>
        </w:rPr>
        <w:t>.</w:t>
      </w:r>
    </w:p>
    <w:p w14:paraId="0140E299" w14:textId="628A2CDF" w:rsidR="00394BA7" w:rsidRPr="00394BA7" w:rsidRDefault="00E27134" w:rsidP="00394BA7">
      <w:pPr>
        <w:rPr>
          <w:sz w:val="24"/>
          <w:szCs w:val="24"/>
        </w:rPr>
      </w:pPr>
      <w:r w:rsidRPr="006B491B">
        <w:rPr>
          <w:b/>
          <w:sz w:val="24"/>
          <w:szCs w:val="24"/>
        </w:rPr>
        <w:t>ASSESSMENT</w:t>
      </w:r>
      <w:r>
        <w:rPr>
          <w:b/>
          <w:sz w:val="24"/>
          <w:szCs w:val="24"/>
        </w:rPr>
        <w:br/>
      </w:r>
      <w:r w:rsidR="002E30C7">
        <w:rPr>
          <w:sz w:val="24"/>
          <w:szCs w:val="24"/>
        </w:rPr>
        <w:t xml:space="preserve">Due to a disappointing </w:t>
      </w:r>
      <w:r w:rsidR="00394BA7">
        <w:rPr>
          <w:sz w:val="24"/>
          <w:szCs w:val="24"/>
        </w:rPr>
        <w:t xml:space="preserve">response rate </w:t>
      </w:r>
      <w:r w:rsidR="002E30C7">
        <w:rPr>
          <w:sz w:val="24"/>
          <w:szCs w:val="24"/>
        </w:rPr>
        <w:t xml:space="preserve">of just over 20% to the evaluation </w:t>
      </w:r>
      <w:r w:rsidR="00394BA7">
        <w:rPr>
          <w:sz w:val="24"/>
          <w:szCs w:val="24"/>
        </w:rPr>
        <w:t>for PLA’s Midwinter Institute</w:t>
      </w:r>
      <w:r w:rsidR="002E30C7">
        <w:rPr>
          <w:sz w:val="24"/>
          <w:szCs w:val="24"/>
        </w:rPr>
        <w:t>, which was distributed electronically immediately following the event, we plan to instead use paper evaluations for PLA’s Annual Conference half-day preconference</w:t>
      </w:r>
      <w:r w:rsidR="00394BA7" w:rsidRPr="00394BA7">
        <w:rPr>
          <w:sz w:val="24"/>
          <w:szCs w:val="24"/>
        </w:rPr>
        <w:t>.</w:t>
      </w:r>
      <w:r w:rsidR="002E30C7">
        <w:rPr>
          <w:sz w:val="24"/>
          <w:szCs w:val="24"/>
        </w:rPr>
        <w:t xml:space="preserve"> This aligns with PLA’s use of paper evaluation forms for all PLA programs at Annual Conference as well.</w:t>
      </w:r>
    </w:p>
    <w:p w14:paraId="28CC9A7B" w14:textId="1BE2211E" w:rsidR="00E27134" w:rsidRPr="00E27134" w:rsidRDefault="00E27134" w:rsidP="00E27134">
      <w:pPr>
        <w:rPr>
          <w:b/>
          <w:sz w:val="24"/>
          <w:szCs w:val="24"/>
        </w:rPr>
      </w:pPr>
      <w:r w:rsidRPr="00E12825">
        <w:rPr>
          <w:sz w:val="24"/>
          <w:szCs w:val="24"/>
        </w:rPr>
        <w:t>PLA collects evaluation data on each of its continuing education offerings, using Project Outcome-approved questions to measure</w:t>
      </w:r>
      <w:r>
        <w:rPr>
          <w:sz w:val="24"/>
          <w:szCs w:val="24"/>
        </w:rPr>
        <w:t xml:space="preserve"> attendees’</w:t>
      </w:r>
      <w:r w:rsidRPr="00E12825">
        <w:rPr>
          <w:sz w:val="24"/>
          <w:szCs w:val="24"/>
        </w:rPr>
        <w:t xml:space="preserve"> learning and confidence</w:t>
      </w:r>
      <w:r w:rsidR="00397FE7">
        <w:rPr>
          <w:sz w:val="24"/>
          <w:szCs w:val="24"/>
        </w:rPr>
        <w:t xml:space="preserve">. PLA’s paid intern, Carly Lawrence, </w:t>
      </w:r>
      <w:r w:rsidR="0002715F">
        <w:rPr>
          <w:sz w:val="24"/>
          <w:szCs w:val="24"/>
        </w:rPr>
        <w:t xml:space="preserve">has </w:t>
      </w:r>
      <w:r w:rsidR="00397FE7">
        <w:rPr>
          <w:sz w:val="24"/>
          <w:szCs w:val="24"/>
        </w:rPr>
        <w:t>work</w:t>
      </w:r>
      <w:r w:rsidR="0002715F">
        <w:rPr>
          <w:sz w:val="24"/>
          <w:szCs w:val="24"/>
        </w:rPr>
        <w:t xml:space="preserve">ed </w:t>
      </w:r>
      <w:r>
        <w:rPr>
          <w:sz w:val="24"/>
          <w:szCs w:val="24"/>
        </w:rPr>
        <w:t>to aggregate evaluation data</w:t>
      </w:r>
      <w:r w:rsidRPr="00E12825">
        <w:rPr>
          <w:sz w:val="24"/>
          <w:szCs w:val="24"/>
        </w:rPr>
        <w:t xml:space="preserve"> </w:t>
      </w:r>
      <w:r w:rsidR="00397FE7">
        <w:rPr>
          <w:sz w:val="24"/>
          <w:szCs w:val="24"/>
        </w:rPr>
        <w:t xml:space="preserve">across continuing education offerings, which will help PLA better use past evaluation data </w:t>
      </w:r>
      <w:r w:rsidRPr="00E12825">
        <w:rPr>
          <w:sz w:val="24"/>
          <w:szCs w:val="24"/>
        </w:rPr>
        <w:t>to make decisions</w:t>
      </w:r>
      <w:r w:rsidR="00397FE7">
        <w:rPr>
          <w:sz w:val="24"/>
          <w:szCs w:val="24"/>
        </w:rPr>
        <w:t xml:space="preserve"> about future offerings</w:t>
      </w:r>
      <w:r>
        <w:rPr>
          <w:sz w:val="24"/>
          <w:szCs w:val="24"/>
        </w:rPr>
        <w:t>.</w:t>
      </w:r>
    </w:p>
    <w:p w14:paraId="66375F89" w14:textId="77777777" w:rsidR="00C64FF4" w:rsidRPr="004846F0" w:rsidRDefault="00C64FF4" w:rsidP="00C64FF4">
      <w:pPr>
        <w:rPr>
          <w:b/>
          <w:sz w:val="24"/>
          <w:szCs w:val="24"/>
        </w:rPr>
      </w:pPr>
      <w:r w:rsidRPr="004846F0">
        <w:rPr>
          <w:b/>
          <w:sz w:val="24"/>
          <w:szCs w:val="24"/>
        </w:rPr>
        <w:t>PLA STRATEGIC GOAL</w:t>
      </w:r>
      <w:r>
        <w:rPr>
          <w:b/>
          <w:sz w:val="24"/>
          <w:szCs w:val="24"/>
        </w:rPr>
        <w:t xml:space="preserve"> LINK (check all that apply)</w:t>
      </w:r>
    </w:p>
    <w:p w14:paraId="7558F23E" w14:textId="77777777" w:rsidR="00C64FF4" w:rsidRPr="007638FA" w:rsidRDefault="00C64FF4" w:rsidP="00C64FF4">
      <w:pPr>
        <w:pStyle w:val="ListParagraph"/>
        <w:autoSpaceDE w:val="0"/>
        <w:autoSpaceDN w:val="0"/>
        <w:adjustRightInd w:val="0"/>
        <w:ind w:left="0"/>
        <w:rPr>
          <w:rFonts w:cs="Arial"/>
          <w:sz w:val="20"/>
        </w:rPr>
      </w:pPr>
      <w:r w:rsidRPr="007638FA">
        <w:rPr>
          <w:rFonts w:cs="Arial"/>
          <w:sz w:val="20"/>
        </w:rPr>
        <w:fldChar w:fldCharType="begin">
          <w:ffData>
            <w:name w:val=""/>
            <w:enabled/>
            <w:calcOnExit w:val="0"/>
            <w:checkBox>
              <w:sizeAuto/>
              <w:default w:val="0"/>
            </w:checkBox>
          </w:ffData>
        </w:fldChar>
      </w:r>
      <w:r w:rsidRPr="007638FA">
        <w:rPr>
          <w:rFonts w:cs="Arial"/>
          <w:sz w:val="20"/>
        </w:rPr>
        <w:instrText xml:space="preserve"> FORMCHECKBOX </w:instrText>
      </w:r>
      <w:r w:rsidR="002A58E1">
        <w:rPr>
          <w:rFonts w:cs="Arial"/>
          <w:sz w:val="20"/>
        </w:rPr>
      </w:r>
      <w:r w:rsidR="002A58E1">
        <w:rPr>
          <w:rFonts w:cs="Arial"/>
          <w:sz w:val="20"/>
        </w:rPr>
        <w:fldChar w:fldCharType="separate"/>
      </w:r>
      <w:r w:rsidRPr="007638FA">
        <w:rPr>
          <w:rFonts w:cs="Arial"/>
          <w:sz w:val="20"/>
        </w:rPr>
        <w:fldChar w:fldCharType="end"/>
      </w:r>
      <w:r w:rsidRPr="007638FA">
        <w:rPr>
          <w:rFonts w:cs="Arial"/>
          <w:sz w:val="20"/>
        </w:rPr>
        <w:t xml:space="preserve"> TRANSFORMATION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A58E1">
        <w:rPr>
          <w:rFonts w:cs="Arial"/>
          <w:sz w:val="20"/>
        </w:rPr>
      </w:r>
      <w:r w:rsidR="002A58E1">
        <w:rPr>
          <w:rFonts w:cs="Arial"/>
          <w:sz w:val="20"/>
        </w:rPr>
        <w:fldChar w:fldCharType="separate"/>
      </w:r>
      <w:r>
        <w:rPr>
          <w:rFonts w:cs="Arial"/>
          <w:sz w:val="20"/>
        </w:rPr>
        <w:fldChar w:fldCharType="end"/>
      </w:r>
      <w:r w:rsidRPr="007638FA">
        <w:rPr>
          <w:rFonts w:cs="Arial"/>
          <w:sz w:val="20"/>
        </w:rPr>
        <w:t xml:space="preserve"> LEADERSHIP   </w:t>
      </w:r>
      <w:r w:rsidRPr="007638FA">
        <w:rPr>
          <w:rFonts w:cs="Arial"/>
          <w:sz w:val="20"/>
        </w:rPr>
        <w:fldChar w:fldCharType="begin">
          <w:ffData>
            <w:name w:val="Check1"/>
            <w:enabled/>
            <w:calcOnExit w:val="0"/>
            <w:checkBox>
              <w:sizeAuto/>
              <w:default w:val="0"/>
            </w:checkBox>
          </w:ffData>
        </w:fldChar>
      </w:r>
      <w:r w:rsidRPr="007638FA">
        <w:rPr>
          <w:rFonts w:cs="Arial"/>
          <w:sz w:val="20"/>
        </w:rPr>
        <w:instrText xml:space="preserve"> FORMCHECKBOX </w:instrText>
      </w:r>
      <w:r w:rsidR="002A58E1">
        <w:rPr>
          <w:rFonts w:cs="Arial"/>
          <w:sz w:val="20"/>
        </w:rPr>
      </w:r>
      <w:r w:rsidR="002A58E1">
        <w:rPr>
          <w:rFonts w:cs="Arial"/>
          <w:sz w:val="20"/>
        </w:rPr>
        <w:fldChar w:fldCharType="separate"/>
      </w:r>
      <w:r w:rsidRPr="007638FA">
        <w:rPr>
          <w:rFonts w:cs="Arial"/>
          <w:sz w:val="20"/>
        </w:rPr>
        <w:fldChar w:fldCharType="end"/>
      </w:r>
      <w:r w:rsidRPr="007638FA">
        <w:rPr>
          <w:rFonts w:cs="Arial"/>
          <w:sz w:val="20"/>
        </w:rPr>
        <w:t xml:space="preserve"> ADV. &amp; AWARENESS   </w:t>
      </w:r>
      <w:r w:rsidRPr="007638FA">
        <w:rPr>
          <w:rFonts w:cs="Arial"/>
          <w:sz w:val="20"/>
        </w:rPr>
        <w:fldChar w:fldCharType="begin">
          <w:ffData>
            <w:name w:val="Check1"/>
            <w:enabled/>
            <w:calcOnExit w:val="0"/>
            <w:checkBox>
              <w:sizeAuto/>
              <w:default w:val="0"/>
            </w:checkBox>
          </w:ffData>
        </w:fldChar>
      </w:r>
      <w:r w:rsidRPr="007638FA">
        <w:rPr>
          <w:rFonts w:cs="Arial"/>
          <w:sz w:val="20"/>
        </w:rPr>
        <w:instrText xml:space="preserve"> FORMCHECKBOX </w:instrText>
      </w:r>
      <w:r w:rsidR="002A58E1">
        <w:rPr>
          <w:rFonts w:cs="Arial"/>
          <w:sz w:val="20"/>
        </w:rPr>
      </w:r>
      <w:r w:rsidR="002A58E1">
        <w:rPr>
          <w:rFonts w:cs="Arial"/>
          <w:sz w:val="20"/>
        </w:rPr>
        <w:fldChar w:fldCharType="separate"/>
      </w:r>
      <w:r w:rsidRPr="007638FA">
        <w:rPr>
          <w:rFonts w:cs="Arial"/>
          <w:sz w:val="20"/>
        </w:rPr>
        <w:fldChar w:fldCharType="end"/>
      </w:r>
      <w:r w:rsidRPr="007638FA">
        <w:rPr>
          <w:rFonts w:cs="Arial"/>
          <w:sz w:val="20"/>
        </w:rPr>
        <w:t xml:space="preserve"> E.D.I.S.J.   </w:t>
      </w:r>
      <w:r>
        <w:rPr>
          <w:rFonts w:cs="Arial"/>
          <w:sz w:val="20"/>
        </w:rPr>
        <w:fldChar w:fldCharType="begin">
          <w:ffData>
            <w:name w:val="Check1"/>
            <w:enabled/>
            <w:calcOnExit w:val="0"/>
            <w:checkBox>
              <w:sizeAuto/>
              <w:default w:val="0"/>
            </w:checkBox>
          </w:ffData>
        </w:fldChar>
      </w:r>
      <w:bookmarkStart w:id="1" w:name="Check1"/>
      <w:r>
        <w:rPr>
          <w:rFonts w:cs="Arial"/>
          <w:sz w:val="20"/>
        </w:rPr>
        <w:instrText xml:space="preserve"> FORMCHECKBOX </w:instrText>
      </w:r>
      <w:r w:rsidR="002A58E1">
        <w:rPr>
          <w:rFonts w:cs="Arial"/>
          <w:sz w:val="20"/>
        </w:rPr>
      </w:r>
      <w:r w:rsidR="002A58E1">
        <w:rPr>
          <w:rFonts w:cs="Arial"/>
          <w:sz w:val="20"/>
        </w:rPr>
        <w:fldChar w:fldCharType="separate"/>
      </w:r>
      <w:r>
        <w:rPr>
          <w:rFonts w:cs="Arial"/>
          <w:sz w:val="20"/>
        </w:rPr>
        <w:fldChar w:fldCharType="end"/>
      </w:r>
      <w:bookmarkEnd w:id="1"/>
      <w:r w:rsidRPr="007638FA">
        <w:rPr>
          <w:rFonts w:cs="Arial"/>
          <w:sz w:val="20"/>
        </w:rPr>
        <w:t xml:space="preserve"> ORG. EXCELLENCE</w:t>
      </w:r>
    </w:p>
    <w:p w14:paraId="70522ECE" w14:textId="77777777" w:rsidR="00C64FF4" w:rsidRPr="007638FA" w:rsidRDefault="00C64FF4" w:rsidP="00C64FF4">
      <w:pPr>
        <w:pStyle w:val="ListParagraph"/>
        <w:autoSpaceDE w:val="0"/>
        <w:autoSpaceDN w:val="0"/>
        <w:adjustRightInd w:val="0"/>
        <w:ind w:left="0"/>
        <w:rPr>
          <w:rFonts w:cs="Arial"/>
        </w:rPr>
      </w:pPr>
    </w:p>
    <w:p w14:paraId="1BDA7F76" w14:textId="77777777" w:rsidR="00C64FF4" w:rsidRPr="00BE7E5D" w:rsidRDefault="00C64FF4" w:rsidP="00C64FF4">
      <w:pPr>
        <w:rPr>
          <w:sz w:val="24"/>
          <w:szCs w:val="24"/>
        </w:rPr>
      </w:pPr>
    </w:p>
    <w:p w14:paraId="223C74A2" w14:textId="4B61AAD8" w:rsidR="001B710A" w:rsidRPr="00793EAE" w:rsidRDefault="001B710A" w:rsidP="00BD036A"/>
    <w:sectPr w:rsidR="001B710A" w:rsidRPr="00793EAE" w:rsidSect="00BD036A">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2417" w14:textId="77777777" w:rsidR="00DB5DE7" w:rsidRDefault="00DB5DE7" w:rsidP="008F6E68">
      <w:pPr>
        <w:spacing w:before="0"/>
      </w:pPr>
      <w:r>
        <w:separator/>
      </w:r>
    </w:p>
  </w:endnote>
  <w:endnote w:type="continuationSeparator" w:id="0">
    <w:p w14:paraId="243BC309" w14:textId="77777777" w:rsidR="00DB5DE7" w:rsidRDefault="00DB5DE7" w:rsidP="008F6E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36293"/>
      <w:docPartObj>
        <w:docPartGallery w:val="Page Numbers (Bottom of Page)"/>
        <w:docPartUnique/>
      </w:docPartObj>
    </w:sdtPr>
    <w:sdtEndPr>
      <w:rPr>
        <w:noProof/>
      </w:rPr>
    </w:sdtEndPr>
    <w:sdtContent>
      <w:p w14:paraId="4385A1CD" w14:textId="1AD5A4E1" w:rsidR="008F6E68" w:rsidRDefault="00FD2681">
        <w:pPr>
          <w:pStyle w:val="Footer"/>
          <w:jc w:val="right"/>
        </w:pPr>
        <w:r>
          <w:fldChar w:fldCharType="begin"/>
        </w:r>
        <w:r w:rsidR="008F6E68">
          <w:instrText xml:space="preserve"> PAGE   \* MERGEFORMAT </w:instrText>
        </w:r>
        <w:r>
          <w:fldChar w:fldCharType="separate"/>
        </w:r>
        <w:r w:rsidR="00A42DB0">
          <w:rPr>
            <w:noProof/>
          </w:rPr>
          <w:t>8</w:t>
        </w:r>
        <w:r>
          <w:rPr>
            <w:noProof/>
          </w:rPr>
          <w:fldChar w:fldCharType="end"/>
        </w:r>
      </w:p>
    </w:sdtContent>
  </w:sdt>
  <w:p w14:paraId="789D1202" w14:textId="77777777" w:rsidR="008F6E68" w:rsidRDefault="008F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532D" w14:textId="77777777" w:rsidR="00DB5DE7" w:rsidRDefault="00DB5DE7" w:rsidP="008F6E68">
      <w:pPr>
        <w:spacing w:before="0"/>
      </w:pPr>
      <w:r>
        <w:separator/>
      </w:r>
    </w:p>
  </w:footnote>
  <w:footnote w:type="continuationSeparator" w:id="0">
    <w:p w14:paraId="4CD4884F" w14:textId="77777777" w:rsidR="00DB5DE7" w:rsidRDefault="00DB5DE7" w:rsidP="008F6E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1086" w14:textId="77777777" w:rsidR="008F6E68" w:rsidRDefault="008F6E68" w:rsidP="008F6E68">
    <w:pPr>
      <w:pStyle w:val="Header"/>
      <w:spacing w:beforeAutospacing="0"/>
      <w:jc w:val="right"/>
    </w:pPr>
    <w:r>
      <w:t>PLA Board of Directors</w:t>
    </w:r>
  </w:p>
  <w:p w14:paraId="3558A8F1" w14:textId="52CE7C99" w:rsidR="008F6E68" w:rsidRDefault="007A12C3" w:rsidP="008F6E68">
    <w:pPr>
      <w:pStyle w:val="Header"/>
      <w:spacing w:beforeAutospacing="0"/>
      <w:jc w:val="right"/>
    </w:pPr>
    <w:r>
      <w:t>Annual Conference</w:t>
    </w:r>
    <w:r w:rsidR="00EA5362">
      <w:t xml:space="preserve"> 201</w:t>
    </w:r>
    <w:r w:rsidR="00F728D1">
      <w:t>9</w:t>
    </w:r>
  </w:p>
  <w:p w14:paraId="2555EB3C" w14:textId="7CADA99B" w:rsidR="008F6E68" w:rsidRDefault="00E26024" w:rsidP="008F6E68">
    <w:pPr>
      <w:pStyle w:val="Header"/>
      <w:spacing w:beforeAutospacing="0"/>
      <w:jc w:val="right"/>
    </w:pPr>
    <w:r>
      <w:t xml:space="preserve">Document no.: </w:t>
    </w:r>
    <w:r w:rsidR="00EA5362">
      <w:t>201</w:t>
    </w:r>
    <w:r w:rsidR="00F728D1">
      <w:t>9</w:t>
    </w:r>
    <w:r w:rsidR="009D3A2D">
      <w:t>.</w:t>
    </w:r>
    <w:r w:rsidR="00CA723C">
      <w:t>8</w:t>
    </w:r>
    <w:r w:rsidR="002A58E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478"/>
    <w:multiLevelType w:val="hybridMultilevel"/>
    <w:tmpl w:val="960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155C2"/>
    <w:multiLevelType w:val="hybridMultilevel"/>
    <w:tmpl w:val="6B4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2569B"/>
    <w:multiLevelType w:val="hybridMultilevel"/>
    <w:tmpl w:val="A39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6F62"/>
    <w:multiLevelType w:val="multilevel"/>
    <w:tmpl w:val="C6B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55097"/>
    <w:multiLevelType w:val="hybridMultilevel"/>
    <w:tmpl w:val="E72C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B1FA1"/>
    <w:multiLevelType w:val="hybridMultilevel"/>
    <w:tmpl w:val="1F7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C4"/>
    <w:rsid w:val="00021B3F"/>
    <w:rsid w:val="00022CFE"/>
    <w:rsid w:val="0002715F"/>
    <w:rsid w:val="00087123"/>
    <w:rsid w:val="000923EB"/>
    <w:rsid w:val="000B7E3E"/>
    <w:rsid w:val="000D5460"/>
    <w:rsid w:val="000F5670"/>
    <w:rsid w:val="001000CD"/>
    <w:rsid w:val="001067D9"/>
    <w:rsid w:val="00106EAD"/>
    <w:rsid w:val="001143A5"/>
    <w:rsid w:val="00132F7A"/>
    <w:rsid w:val="00140FE3"/>
    <w:rsid w:val="0015196F"/>
    <w:rsid w:val="001B679D"/>
    <w:rsid w:val="001B710A"/>
    <w:rsid w:val="001C6E09"/>
    <w:rsid w:val="001D117F"/>
    <w:rsid w:val="001F3290"/>
    <w:rsid w:val="0021693F"/>
    <w:rsid w:val="002320A3"/>
    <w:rsid w:val="00234AE7"/>
    <w:rsid w:val="00236FDB"/>
    <w:rsid w:val="002513D4"/>
    <w:rsid w:val="00292DFD"/>
    <w:rsid w:val="002A58E1"/>
    <w:rsid w:val="002A5A6E"/>
    <w:rsid w:val="002E30C7"/>
    <w:rsid w:val="00306D6A"/>
    <w:rsid w:val="00315C76"/>
    <w:rsid w:val="00317CE9"/>
    <w:rsid w:val="003526CF"/>
    <w:rsid w:val="003607DF"/>
    <w:rsid w:val="0038538D"/>
    <w:rsid w:val="00394BA7"/>
    <w:rsid w:val="00396BCE"/>
    <w:rsid w:val="00397FE7"/>
    <w:rsid w:val="003A3AF4"/>
    <w:rsid w:val="003B50BF"/>
    <w:rsid w:val="003E03B4"/>
    <w:rsid w:val="003F7DFE"/>
    <w:rsid w:val="004101DA"/>
    <w:rsid w:val="004216E7"/>
    <w:rsid w:val="00433626"/>
    <w:rsid w:val="00441AEB"/>
    <w:rsid w:val="00471D0F"/>
    <w:rsid w:val="00481598"/>
    <w:rsid w:val="0048297F"/>
    <w:rsid w:val="0049080F"/>
    <w:rsid w:val="004A571D"/>
    <w:rsid w:val="004A6CD2"/>
    <w:rsid w:val="004A71E4"/>
    <w:rsid w:val="004B7636"/>
    <w:rsid w:val="004C131D"/>
    <w:rsid w:val="004D4D80"/>
    <w:rsid w:val="004D6C28"/>
    <w:rsid w:val="004E3962"/>
    <w:rsid w:val="004F7468"/>
    <w:rsid w:val="00505A26"/>
    <w:rsid w:val="00505B07"/>
    <w:rsid w:val="00524040"/>
    <w:rsid w:val="0052571C"/>
    <w:rsid w:val="00547908"/>
    <w:rsid w:val="0056676E"/>
    <w:rsid w:val="005712A4"/>
    <w:rsid w:val="005742EE"/>
    <w:rsid w:val="00585E5D"/>
    <w:rsid w:val="00591A63"/>
    <w:rsid w:val="005A1739"/>
    <w:rsid w:val="005B5337"/>
    <w:rsid w:val="005C203C"/>
    <w:rsid w:val="005D2543"/>
    <w:rsid w:val="005F1209"/>
    <w:rsid w:val="00613B0A"/>
    <w:rsid w:val="006175A7"/>
    <w:rsid w:val="006736CB"/>
    <w:rsid w:val="006A72C1"/>
    <w:rsid w:val="006E2505"/>
    <w:rsid w:val="006F0176"/>
    <w:rsid w:val="00707FEB"/>
    <w:rsid w:val="007163B1"/>
    <w:rsid w:val="00717DD4"/>
    <w:rsid w:val="00760080"/>
    <w:rsid w:val="00762B5D"/>
    <w:rsid w:val="00793EAE"/>
    <w:rsid w:val="007A12C3"/>
    <w:rsid w:val="007A47C1"/>
    <w:rsid w:val="007A6CEE"/>
    <w:rsid w:val="007B12D9"/>
    <w:rsid w:val="007C2D18"/>
    <w:rsid w:val="007E186C"/>
    <w:rsid w:val="007E71EF"/>
    <w:rsid w:val="0081792D"/>
    <w:rsid w:val="00832098"/>
    <w:rsid w:val="0084491D"/>
    <w:rsid w:val="00856960"/>
    <w:rsid w:val="00896B12"/>
    <w:rsid w:val="008B36DD"/>
    <w:rsid w:val="008F6E68"/>
    <w:rsid w:val="00902A05"/>
    <w:rsid w:val="00921265"/>
    <w:rsid w:val="0092350F"/>
    <w:rsid w:val="009336F2"/>
    <w:rsid w:val="00945190"/>
    <w:rsid w:val="009461BE"/>
    <w:rsid w:val="00966538"/>
    <w:rsid w:val="0098441D"/>
    <w:rsid w:val="0099045C"/>
    <w:rsid w:val="009919FC"/>
    <w:rsid w:val="00997071"/>
    <w:rsid w:val="009B2E7E"/>
    <w:rsid w:val="009B4750"/>
    <w:rsid w:val="009B5E41"/>
    <w:rsid w:val="009C03B2"/>
    <w:rsid w:val="009D3A2D"/>
    <w:rsid w:val="009F4509"/>
    <w:rsid w:val="00A01C68"/>
    <w:rsid w:val="00A42DB0"/>
    <w:rsid w:val="00A433BA"/>
    <w:rsid w:val="00A45610"/>
    <w:rsid w:val="00A53B25"/>
    <w:rsid w:val="00A621DF"/>
    <w:rsid w:val="00A70AC4"/>
    <w:rsid w:val="00A71710"/>
    <w:rsid w:val="00A8599C"/>
    <w:rsid w:val="00A9273A"/>
    <w:rsid w:val="00A92A2E"/>
    <w:rsid w:val="00AC7209"/>
    <w:rsid w:val="00AE77E8"/>
    <w:rsid w:val="00AF2DC1"/>
    <w:rsid w:val="00AF3C6C"/>
    <w:rsid w:val="00B001C9"/>
    <w:rsid w:val="00B25368"/>
    <w:rsid w:val="00B71ED9"/>
    <w:rsid w:val="00BB23B8"/>
    <w:rsid w:val="00BD036A"/>
    <w:rsid w:val="00BD1352"/>
    <w:rsid w:val="00BD5A3B"/>
    <w:rsid w:val="00BD6CA2"/>
    <w:rsid w:val="00C06156"/>
    <w:rsid w:val="00C06BE3"/>
    <w:rsid w:val="00C30480"/>
    <w:rsid w:val="00C3048C"/>
    <w:rsid w:val="00C42B88"/>
    <w:rsid w:val="00C473C1"/>
    <w:rsid w:val="00C62971"/>
    <w:rsid w:val="00C64FF4"/>
    <w:rsid w:val="00C67282"/>
    <w:rsid w:val="00C8202A"/>
    <w:rsid w:val="00CA2A16"/>
    <w:rsid w:val="00CA6FBE"/>
    <w:rsid w:val="00CA6FF4"/>
    <w:rsid w:val="00CA723C"/>
    <w:rsid w:val="00CD4947"/>
    <w:rsid w:val="00CD53B9"/>
    <w:rsid w:val="00CE5C73"/>
    <w:rsid w:val="00D06D0B"/>
    <w:rsid w:val="00D4202E"/>
    <w:rsid w:val="00D4260A"/>
    <w:rsid w:val="00D54E4A"/>
    <w:rsid w:val="00D54F4A"/>
    <w:rsid w:val="00D561D4"/>
    <w:rsid w:val="00DA3FB0"/>
    <w:rsid w:val="00DB5DE7"/>
    <w:rsid w:val="00DD15BC"/>
    <w:rsid w:val="00DD7317"/>
    <w:rsid w:val="00DE632E"/>
    <w:rsid w:val="00E01863"/>
    <w:rsid w:val="00E26024"/>
    <w:rsid w:val="00E27134"/>
    <w:rsid w:val="00E30167"/>
    <w:rsid w:val="00E35050"/>
    <w:rsid w:val="00E46215"/>
    <w:rsid w:val="00E47F12"/>
    <w:rsid w:val="00E5556F"/>
    <w:rsid w:val="00E71768"/>
    <w:rsid w:val="00E726BA"/>
    <w:rsid w:val="00E760E9"/>
    <w:rsid w:val="00EA23CF"/>
    <w:rsid w:val="00EA5362"/>
    <w:rsid w:val="00EA5409"/>
    <w:rsid w:val="00EB527F"/>
    <w:rsid w:val="00EC245F"/>
    <w:rsid w:val="00EC2D1F"/>
    <w:rsid w:val="00EC5945"/>
    <w:rsid w:val="00ED0BEE"/>
    <w:rsid w:val="00ED5446"/>
    <w:rsid w:val="00EE7C47"/>
    <w:rsid w:val="00F32610"/>
    <w:rsid w:val="00F34064"/>
    <w:rsid w:val="00F51794"/>
    <w:rsid w:val="00F56B90"/>
    <w:rsid w:val="00F679E0"/>
    <w:rsid w:val="00F728D1"/>
    <w:rsid w:val="00F918BE"/>
    <w:rsid w:val="00F951F5"/>
    <w:rsid w:val="00F96E85"/>
    <w:rsid w:val="00FD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E21C3A"/>
  <w15:docId w15:val="{2C03B468-7DCC-4A74-AA67-5491B815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73A"/>
    <w:pPr>
      <w:spacing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73A"/>
    <w:rPr>
      <w:color w:val="0000FF"/>
      <w:u w:val="single"/>
    </w:rPr>
  </w:style>
  <w:style w:type="paragraph" w:styleId="Header">
    <w:name w:val="header"/>
    <w:basedOn w:val="Normal"/>
    <w:link w:val="HeaderChar"/>
    <w:uiPriority w:val="99"/>
    <w:unhideWhenUsed/>
    <w:rsid w:val="008F6E68"/>
    <w:pPr>
      <w:tabs>
        <w:tab w:val="center" w:pos="4680"/>
        <w:tab w:val="right" w:pos="9360"/>
      </w:tabs>
      <w:spacing w:before="0"/>
    </w:pPr>
  </w:style>
  <w:style w:type="character" w:customStyle="1" w:styleId="HeaderChar">
    <w:name w:val="Header Char"/>
    <w:basedOn w:val="DefaultParagraphFont"/>
    <w:link w:val="Header"/>
    <w:uiPriority w:val="99"/>
    <w:rsid w:val="008F6E68"/>
  </w:style>
  <w:style w:type="paragraph" w:styleId="Footer">
    <w:name w:val="footer"/>
    <w:basedOn w:val="Normal"/>
    <w:link w:val="FooterChar"/>
    <w:uiPriority w:val="99"/>
    <w:unhideWhenUsed/>
    <w:rsid w:val="008F6E68"/>
    <w:pPr>
      <w:tabs>
        <w:tab w:val="center" w:pos="4680"/>
        <w:tab w:val="right" w:pos="9360"/>
      </w:tabs>
      <w:spacing w:before="0"/>
    </w:pPr>
  </w:style>
  <w:style w:type="character" w:customStyle="1" w:styleId="FooterChar">
    <w:name w:val="Footer Char"/>
    <w:basedOn w:val="DefaultParagraphFont"/>
    <w:link w:val="Footer"/>
    <w:uiPriority w:val="99"/>
    <w:rsid w:val="008F6E68"/>
  </w:style>
  <w:style w:type="character" w:styleId="CommentReference">
    <w:name w:val="annotation reference"/>
    <w:basedOn w:val="DefaultParagraphFont"/>
    <w:uiPriority w:val="99"/>
    <w:semiHidden/>
    <w:unhideWhenUsed/>
    <w:rsid w:val="00591A63"/>
    <w:rPr>
      <w:sz w:val="16"/>
      <w:szCs w:val="16"/>
    </w:rPr>
  </w:style>
  <w:style w:type="paragraph" w:styleId="CommentText">
    <w:name w:val="annotation text"/>
    <w:basedOn w:val="Normal"/>
    <w:link w:val="CommentTextChar"/>
    <w:uiPriority w:val="99"/>
    <w:semiHidden/>
    <w:unhideWhenUsed/>
    <w:rsid w:val="00591A63"/>
    <w:rPr>
      <w:sz w:val="20"/>
      <w:szCs w:val="20"/>
    </w:rPr>
  </w:style>
  <w:style w:type="character" w:customStyle="1" w:styleId="CommentTextChar">
    <w:name w:val="Comment Text Char"/>
    <w:basedOn w:val="DefaultParagraphFont"/>
    <w:link w:val="CommentText"/>
    <w:uiPriority w:val="99"/>
    <w:semiHidden/>
    <w:rsid w:val="00591A63"/>
    <w:rPr>
      <w:sz w:val="20"/>
      <w:szCs w:val="20"/>
    </w:rPr>
  </w:style>
  <w:style w:type="paragraph" w:styleId="CommentSubject">
    <w:name w:val="annotation subject"/>
    <w:basedOn w:val="CommentText"/>
    <w:next w:val="CommentText"/>
    <w:link w:val="CommentSubjectChar"/>
    <w:uiPriority w:val="99"/>
    <w:semiHidden/>
    <w:unhideWhenUsed/>
    <w:rsid w:val="00591A63"/>
    <w:rPr>
      <w:b/>
      <w:bCs/>
    </w:rPr>
  </w:style>
  <w:style w:type="character" w:customStyle="1" w:styleId="CommentSubjectChar">
    <w:name w:val="Comment Subject Char"/>
    <w:basedOn w:val="CommentTextChar"/>
    <w:link w:val="CommentSubject"/>
    <w:uiPriority w:val="99"/>
    <w:semiHidden/>
    <w:rsid w:val="00591A63"/>
    <w:rPr>
      <w:b/>
      <w:bCs/>
      <w:sz w:val="20"/>
      <w:szCs w:val="20"/>
    </w:rPr>
  </w:style>
  <w:style w:type="paragraph" w:styleId="BalloonText">
    <w:name w:val="Balloon Text"/>
    <w:basedOn w:val="Normal"/>
    <w:link w:val="BalloonTextChar"/>
    <w:uiPriority w:val="99"/>
    <w:semiHidden/>
    <w:unhideWhenUsed/>
    <w:rsid w:val="00591A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3"/>
    <w:rPr>
      <w:rFonts w:ascii="Tahoma" w:hAnsi="Tahoma" w:cs="Tahoma"/>
      <w:sz w:val="16"/>
      <w:szCs w:val="16"/>
    </w:rPr>
  </w:style>
  <w:style w:type="paragraph" w:styleId="ListParagraph">
    <w:name w:val="List Paragraph"/>
    <w:basedOn w:val="Normal"/>
    <w:link w:val="ListParagraphChar"/>
    <w:uiPriority w:val="34"/>
    <w:qFormat/>
    <w:rsid w:val="00021B3F"/>
    <w:pPr>
      <w:ind w:left="720"/>
      <w:contextualSpacing/>
    </w:pPr>
  </w:style>
  <w:style w:type="paragraph" w:styleId="PlainText">
    <w:name w:val="Plain Text"/>
    <w:basedOn w:val="Normal"/>
    <w:link w:val="PlainTextChar"/>
    <w:uiPriority w:val="99"/>
    <w:unhideWhenUsed/>
    <w:rsid w:val="00021B3F"/>
    <w:pPr>
      <w:spacing w:before="0" w:beforeAutospacing="0"/>
    </w:pPr>
    <w:rPr>
      <w:rFonts w:ascii="Calibri" w:hAnsi="Calibri" w:cs="Consolas"/>
      <w:szCs w:val="21"/>
    </w:rPr>
  </w:style>
  <w:style w:type="character" w:customStyle="1" w:styleId="PlainTextChar">
    <w:name w:val="Plain Text Char"/>
    <w:basedOn w:val="DefaultParagraphFont"/>
    <w:link w:val="PlainText"/>
    <w:uiPriority w:val="99"/>
    <w:rsid w:val="00021B3F"/>
    <w:rPr>
      <w:rFonts w:ascii="Calibri" w:hAnsi="Calibri" w:cs="Consolas"/>
      <w:szCs w:val="21"/>
    </w:rPr>
  </w:style>
  <w:style w:type="character" w:styleId="Mention">
    <w:name w:val="Mention"/>
    <w:basedOn w:val="DefaultParagraphFont"/>
    <w:uiPriority w:val="99"/>
    <w:semiHidden/>
    <w:unhideWhenUsed/>
    <w:rsid w:val="009D3A2D"/>
    <w:rPr>
      <w:color w:val="2B579A"/>
      <w:shd w:val="clear" w:color="auto" w:fill="E6E6E6"/>
    </w:rPr>
  </w:style>
  <w:style w:type="table" w:styleId="TableGrid">
    <w:name w:val="Table Grid"/>
    <w:basedOn w:val="TableNormal"/>
    <w:uiPriority w:val="59"/>
    <w:unhideWhenUsed/>
    <w:rsid w:val="00C06BE3"/>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6937">
      <w:bodyDiv w:val="1"/>
      <w:marLeft w:val="0"/>
      <w:marRight w:val="0"/>
      <w:marTop w:val="0"/>
      <w:marBottom w:val="0"/>
      <w:divBdr>
        <w:top w:val="none" w:sz="0" w:space="0" w:color="auto"/>
        <w:left w:val="none" w:sz="0" w:space="0" w:color="auto"/>
        <w:bottom w:val="none" w:sz="0" w:space="0" w:color="auto"/>
        <w:right w:val="none" w:sz="0" w:space="0" w:color="auto"/>
      </w:divBdr>
    </w:div>
    <w:div w:id="329330273">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
    <w:div w:id="949514243">
      <w:bodyDiv w:val="1"/>
      <w:marLeft w:val="0"/>
      <w:marRight w:val="0"/>
      <w:marTop w:val="0"/>
      <w:marBottom w:val="0"/>
      <w:divBdr>
        <w:top w:val="none" w:sz="0" w:space="0" w:color="auto"/>
        <w:left w:val="none" w:sz="0" w:space="0" w:color="auto"/>
        <w:bottom w:val="none" w:sz="0" w:space="0" w:color="auto"/>
        <w:right w:val="none" w:sz="0" w:space="0" w:color="auto"/>
      </w:divBdr>
    </w:div>
    <w:div w:id="13134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ycock@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lbostrom</dc:creator>
  <cp:lastModifiedBy>Megan Stewart</cp:lastModifiedBy>
  <cp:revision>26</cp:revision>
  <cp:lastPrinted>2015-12-11T16:13:00Z</cp:lastPrinted>
  <dcterms:created xsi:type="dcterms:W3CDTF">2019-05-30T20:21:00Z</dcterms:created>
  <dcterms:modified xsi:type="dcterms:W3CDTF">2019-06-13T17:22:00Z</dcterms:modified>
</cp:coreProperties>
</file>