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7DDFB" w14:textId="77777777" w:rsidR="00066FDA" w:rsidRPr="00B561F1" w:rsidRDefault="00066FDA" w:rsidP="00066FDA">
      <w:pPr>
        <w:pStyle w:val="Heading1"/>
        <w:spacing w:before="0"/>
        <w:rPr>
          <w:rFonts w:asciiTheme="minorHAnsi" w:hAnsiTheme="minorHAnsi" w:cstheme="minorHAnsi"/>
          <w:sz w:val="24"/>
          <w:szCs w:val="24"/>
        </w:rPr>
      </w:pPr>
    </w:p>
    <w:p w14:paraId="0EFBABF2" w14:textId="77777777" w:rsidR="00066FDA" w:rsidRPr="00B561F1" w:rsidRDefault="00066FDA" w:rsidP="00066FDA">
      <w:pPr>
        <w:rPr>
          <w:rFonts w:asciiTheme="minorHAnsi" w:hAnsiTheme="minorHAnsi" w:cstheme="minorHAnsi"/>
          <w:bCs/>
        </w:rPr>
      </w:pPr>
      <w:r w:rsidRPr="00B561F1">
        <w:rPr>
          <w:rFonts w:asciiTheme="minorHAnsi" w:hAnsiTheme="minorHAnsi" w:cstheme="minorHAnsi"/>
          <w:b/>
        </w:rPr>
        <w:t xml:space="preserve">TO: </w:t>
      </w:r>
      <w:r w:rsidRPr="00B561F1">
        <w:rPr>
          <w:rFonts w:asciiTheme="minorHAnsi" w:hAnsiTheme="minorHAnsi" w:cstheme="minorHAnsi"/>
          <w:b/>
        </w:rPr>
        <w:tab/>
      </w:r>
      <w:r w:rsidRPr="00B561F1">
        <w:rPr>
          <w:rFonts w:asciiTheme="minorHAnsi" w:hAnsiTheme="minorHAnsi" w:cstheme="minorHAnsi"/>
          <w:b/>
        </w:rPr>
        <w:tab/>
      </w:r>
      <w:r w:rsidRPr="00B561F1">
        <w:rPr>
          <w:rFonts w:asciiTheme="minorHAnsi" w:hAnsiTheme="minorHAnsi" w:cstheme="minorHAnsi"/>
          <w:bCs/>
        </w:rPr>
        <w:t>PLA Board of Directors</w:t>
      </w:r>
    </w:p>
    <w:p w14:paraId="68001A82" w14:textId="5E10D5D9" w:rsidR="00066FDA" w:rsidRPr="00B561F1" w:rsidRDefault="00066FDA" w:rsidP="00066FDA">
      <w:pPr>
        <w:tabs>
          <w:tab w:val="left" w:pos="720"/>
          <w:tab w:val="left" w:pos="1440"/>
          <w:tab w:val="left" w:pos="2160"/>
          <w:tab w:val="left" w:pos="3120"/>
        </w:tabs>
        <w:rPr>
          <w:rFonts w:asciiTheme="minorHAnsi" w:hAnsiTheme="minorHAnsi" w:cstheme="minorHAnsi"/>
        </w:rPr>
      </w:pPr>
      <w:r w:rsidRPr="00B561F1">
        <w:rPr>
          <w:rFonts w:asciiTheme="minorHAnsi" w:hAnsiTheme="minorHAnsi" w:cstheme="minorHAnsi"/>
          <w:b/>
        </w:rPr>
        <w:t>FROM:</w:t>
      </w:r>
      <w:r w:rsidRPr="00B561F1">
        <w:rPr>
          <w:rFonts w:asciiTheme="minorHAnsi" w:hAnsiTheme="minorHAnsi" w:cstheme="minorHAnsi"/>
          <w:b/>
        </w:rPr>
        <w:tab/>
      </w:r>
      <w:r w:rsidRPr="00B561F1">
        <w:rPr>
          <w:rFonts w:asciiTheme="minorHAnsi" w:hAnsiTheme="minorHAnsi" w:cstheme="minorHAnsi"/>
          <w:b/>
        </w:rPr>
        <w:tab/>
      </w:r>
      <w:r w:rsidRPr="00B561F1">
        <w:rPr>
          <w:rFonts w:asciiTheme="minorHAnsi" w:hAnsiTheme="minorHAnsi" w:cstheme="minorHAnsi"/>
        </w:rPr>
        <w:t xml:space="preserve">Barb Macikas, Executive Director and Scott Allen, Deputy Director </w:t>
      </w:r>
    </w:p>
    <w:p w14:paraId="6705E4E3" w14:textId="77777777" w:rsidR="00066FDA" w:rsidRPr="00B561F1" w:rsidRDefault="00066FDA" w:rsidP="00066FDA">
      <w:pPr>
        <w:tabs>
          <w:tab w:val="left" w:pos="720"/>
          <w:tab w:val="left" w:pos="1440"/>
          <w:tab w:val="left" w:pos="2160"/>
          <w:tab w:val="left" w:pos="3120"/>
        </w:tabs>
        <w:rPr>
          <w:rFonts w:asciiTheme="minorHAnsi" w:hAnsiTheme="minorHAnsi" w:cstheme="minorHAnsi"/>
        </w:rPr>
      </w:pPr>
      <w:r w:rsidRPr="00B561F1">
        <w:rPr>
          <w:rFonts w:asciiTheme="minorHAnsi" w:hAnsiTheme="minorHAnsi" w:cstheme="minorHAnsi"/>
          <w:b/>
        </w:rPr>
        <w:t>RE:</w:t>
      </w:r>
      <w:r w:rsidRPr="00B561F1">
        <w:rPr>
          <w:rFonts w:asciiTheme="minorHAnsi" w:hAnsiTheme="minorHAnsi" w:cstheme="minorHAnsi"/>
        </w:rPr>
        <w:tab/>
      </w:r>
      <w:r w:rsidRPr="00B561F1">
        <w:rPr>
          <w:rFonts w:asciiTheme="minorHAnsi" w:hAnsiTheme="minorHAnsi" w:cstheme="minorHAnsi"/>
        </w:rPr>
        <w:tab/>
        <w:t>FY19 Financial Report, First Quarter</w:t>
      </w:r>
    </w:p>
    <w:p w14:paraId="682AB560" w14:textId="77777777" w:rsidR="00066FDA" w:rsidRPr="00B561F1" w:rsidRDefault="00066FDA" w:rsidP="00066FDA">
      <w:pPr>
        <w:tabs>
          <w:tab w:val="left" w:pos="720"/>
          <w:tab w:val="left" w:pos="1440"/>
          <w:tab w:val="left" w:pos="2160"/>
          <w:tab w:val="left" w:pos="3120"/>
        </w:tabs>
        <w:rPr>
          <w:rFonts w:asciiTheme="minorHAnsi" w:hAnsiTheme="minorHAnsi" w:cstheme="minorHAnsi"/>
        </w:rPr>
      </w:pPr>
      <w:r w:rsidRPr="00B561F1">
        <w:rPr>
          <w:rFonts w:asciiTheme="minorHAnsi" w:hAnsiTheme="minorHAnsi" w:cstheme="minorHAnsi"/>
          <w:b/>
        </w:rPr>
        <w:t>DATE:</w:t>
      </w:r>
      <w:r w:rsidRPr="00B561F1">
        <w:rPr>
          <w:rFonts w:asciiTheme="minorHAnsi" w:hAnsiTheme="minorHAnsi" w:cstheme="minorHAnsi"/>
        </w:rPr>
        <w:tab/>
      </w:r>
      <w:r w:rsidRPr="00B561F1">
        <w:rPr>
          <w:rFonts w:asciiTheme="minorHAnsi" w:hAnsiTheme="minorHAnsi" w:cstheme="minorHAnsi"/>
        </w:rPr>
        <w:tab/>
        <w:t>January 4, 2019</w:t>
      </w:r>
      <w:bookmarkStart w:id="0" w:name="_GoBack"/>
      <w:bookmarkEnd w:id="0"/>
    </w:p>
    <w:p w14:paraId="497D06B5" w14:textId="77777777" w:rsidR="00066FDA" w:rsidRPr="00B561F1" w:rsidRDefault="00066FDA" w:rsidP="00066FDA">
      <w:pPr>
        <w:tabs>
          <w:tab w:val="left" w:pos="720"/>
          <w:tab w:val="left" w:pos="1440"/>
          <w:tab w:val="left" w:pos="2160"/>
          <w:tab w:val="left" w:pos="3120"/>
        </w:tabs>
        <w:rPr>
          <w:rFonts w:asciiTheme="minorHAnsi" w:hAnsiTheme="minorHAnsi" w:cstheme="minorHAnsi"/>
        </w:rPr>
      </w:pPr>
    </w:p>
    <w:p w14:paraId="5C7717A2" w14:textId="77777777" w:rsidR="00066FDA" w:rsidRPr="00B561F1" w:rsidRDefault="00066FDA" w:rsidP="00974C47">
      <w:pPr>
        <w:ind w:left="2160" w:hanging="2160"/>
        <w:rPr>
          <w:rFonts w:asciiTheme="minorHAnsi" w:hAnsiTheme="minorHAnsi" w:cstheme="minorHAnsi"/>
        </w:rPr>
      </w:pPr>
      <w:r w:rsidRPr="00B561F1">
        <w:rPr>
          <w:rFonts w:asciiTheme="minorHAnsi" w:hAnsiTheme="minorHAnsi" w:cstheme="minorHAnsi"/>
          <w:b/>
        </w:rPr>
        <w:t>ACTION REQUESTED/INFORMATION/REPORT:</w:t>
      </w:r>
      <w:r w:rsidR="00974C47" w:rsidRPr="00B561F1">
        <w:rPr>
          <w:rFonts w:asciiTheme="minorHAnsi" w:hAnsiTheme="minorHAnsi" w:cstheme="minorHAnsi"/>
        </w:rPr>
        <w:t xml:space="preserve">  </w:t>
      </w:r>
      <w:r w:rsidRPr="00B561F1">
        <w:rPr>
          <w:rFonts w:asciiTheme="minorHAnsi" w:hAnsiTheme="minorHAnsi" w:cstheme="minorHAnsi"/>
        </w:rPr>
        <w:t>Report</w:t>
      </w:r>
    </w:p>
    <w:p w14:paraId="5FD27F6F" w14:textId="77777777" w:rsidR="00D1600D" w:rsidRPr="00B561F1" w:rsidRDefault="00D1600D" w:rsidP="00066FDA">
      <w:pPr>
        <w:rPr>
          <w:rFonts w:asciiTheme="minorHAnsi" w:hAnsiTheme="minorHAnsi" w:cstheme="minorHAnsi"/>
        </w:rPr>
      </w:pPr>
    </w:p>
    <w:p w14:paraId="296FC082" w14:textId="77777777" w:rsidR="00066FDA" w:rsidRPr="00B561F1" w:rsidRDefault="00066FDA" w:rsidP="00066FDA">
      <w:pPr>
        <w:rPr>
          <w:rFonts w:asciiTheme="minorHAnsi" w:hAnsiTheme="minorHAnsi" w:cstheme="minorHAnsi"/>
          <w:b/>
        </w:rPr>
      </w:pPr>
      <w:r w:rsidRPr="00B561F1">
        <w:rPr>
          <w:rFonts w:asciiTheme="minorHAnsi" w:hAnsiTheme="minorHAnsi" w:cstheme="minorHAnsi"/>
          <w:b/>
        </w:rPr>
        <w:t>FY19 Budget Overview</w:t>
      </w:r>
    </w:p>
    <w:p w14:paraId="3F390661" w14:textId="77777777" w:rsidR="00066FDA" w:rsidRPr="00B561F1" w:rsidRDefault="00066FDA" w:rsidP="00066FDA">
      <w:pPr>
        <w:rPr>
          <w:rFonts w:asciiTheme="minorHAnsi" w:hAnsiTheme="minorHAnsi" w:cstheme="minorHAnsi"/>
        </w:rPr>
      </w:pPr>
      <w:r w:rsidRPr="00B561F1">
        <w:rPr>
          <w:rFonts w:asciiTheme="minorHAnsi" w:hAnsiTheme="minorHAnsi" w:cstheme="minorHAnsi"/>
        </w:rPr>
        <w:t xml:space="preserve">PLA’s final FY19 budget </w:t>
      </w:r>
      <w:r w:rsidR="00974C47" w:rsidRPr="00B561F1">
        <w:rPr>
          <w:rFonts w:asciiTheme="minorHAnsi" w:hAnsiTheme="minorHAnsi" w:cstheme="minorHAnsi"/>
        </w:rPr>
        <w:t>includes</w:t>
      </w:r>
      <w:r w:rsidRPr="00B561F1">
        <w:rPr>
          <w:rFonts w:asciiTheme="minorHAnsi" w:hAnsiTheme="minorHAnsi" w:cstheme="minorHAnsi"/>
        </w:rPr>
        <w:t xml:space="preserve"> total revenue of $</w:t>
      </w:r>
      <w:r w:rsidR="00D1600D" w:rsidRPr="00B561F1">
        <w:rPr>
          <w:rFonts w:asciiTheme="minorHAnsi" w:hAnsiTheme="minorHAnsi" w:cstheme="minorHAnsi"/>
        </w:rPr>
        <w:t xml:space="preserve">3.2 million with </w:t>
      </w:r>
      <w:r w:rsidRPr="00B561F1">
        <w:rPr>
          <w:rFonts w:asciiTheme="minorHAnsi" w:hAnsiTheme="minorHAnsi" w:cstheme="minorHAnsi"/>
        </w:rPr>
        <w:t>expenses of $</w:t>
      </w:r>
      <w:r w:rsidR="00D1600D" w:rsidRPr="00B561F1">
        <w:rPr>
          <w:rFonts w:asciiTheme="minorHAnsi" w:hAnsiTheme="minorHAnsi" w:cstheme="minorHAnsi"/>
        </w:rPr>
        <w:t>3.</w:t>
      </w:r>
      <w:r w:rsidR="00974C47" w:rsidRPr="00B561F1">
        <w:rPr>
          <w:rFonts w:asciiTheme="minorHAnsi" w:hAnsiTheme="minorHAnsi" w:cstheme="minorHAnsi"/>
        </w:rPr>
        <w:t>95</w:t>
      </w:r>
      <w:r w:rsidR="00D1600D" w:rsidRPr="00B561F1">
        <w:rPr>
          <w:rFonts w:asciiTheme="minorHAnsi" w:hAnsiTheme="minorHAnsi" w:cstheme="minorHAnsi"/>
        </w:rPr>
        <w:t xml:space="preserve"> million</w:t>
      </w:r>
      <w:r w:rsidRPr="00B561F1">
        <w:rPr>
          <w:rFonts w:asciiTheme="minorHAnsi" w:hAnsiTheme="minorHAnsi" w:cstheme="minorHAnsi"/>
        </w:rPr>
        <w:t>, for a net loss of $749,540.</w:t>
      </w:r>
      <w:r w:rsidR="00D1600D" w:rsidRPr="00B561F1">
        <w:rPr>
          <w:rFonts w:asciiTheme="minorHAnsi" w:hAnsiTheme="minorHAnsi" w:cstheme="minorHAnsi"/>
        </w:rPr>
        <w:t xml:space="preserve"> The fund balance is projected to be $3.1 million at the close of FY19.</w:t>
      </w:r>
    </w:p>
    <w:p w14:paraId="09B69833" w14:textId="77777777" w:rsidR="00066FDA" w:rsidRPr="00B561F1" w:rsidRDefault="00066FDA" w:rsidP="00066FDA">
      <w:pPr>
        <w:rPr>
          <w:rFonts w:asciiTheme="minorHAnsi" w:hAnsiTheme="minorHAnsi" w:cstheme="minorHAnsi"/>
        </w:rPr>
      </w:pPr>
    </w:p>
    <w:tbl>
      <w:tblPr>
        <w:tblStyle w:val="TableGrid"/>
        <w:tblW w:w="0" w:type="auto"/>
        <w:tblInd w:w="705" w:type="dxa"/>
        <w:tblLook w:val="04A0" w:firstRow="1" w:lastRow="0" w:firstColumn="1" w:lastColumn="0" w:noHBand="0" w:noVBand="1"/>
      </w:tblPr>
      <w:tblGrid>
        <w:gridCol w:w="3555"/>
        <w:gridCol w:w="2340"/>
        <w:gridCol w:w="2070"/>
      </w:tblGrid>
      <w:tr w:rsidR="00D1600D" w:rsidRPr="00B561F1" w14:paraId="04EFB816" w14:textId="77777777" w:rsidTr="00B33D93">
        <w:trPr>
          <w:trHeight w:val="300"/>
        </w:trPr>
        <w:tc>
          <w:tcPr>
            <w:tcW w:w="3555" w:type="dxa"/>
            <w:noWrap/>
            <w:hideMark/>
          </w:tcPr>
          <w:p w14:paraId="3CF991A7" w14:textId="77777777" w:rsidR="00D1600D" w:rsidRPr="00B561F1" w:rsidRDefault="00D1600D" w:rsidP="004B237F">
            <w:pPr>
              <w:rPr>
                <w:rFonts w:asciiTheme="minorHAnsi" w:hAnsiTheme="minorHAnsi" w:cstheme="minorHAnsi"/>
                <w:b/>
              </w:rPr>
            </w:pPr>
            <w:r w:rsidRPr="00B561F1">
              <w:rPr>
                <w:rFonts w:asciiTheme="minorHAnsi" w:hAnsiTheme="minorHAnsi" w:cstheme="minorHAnsi"/>
                <w:b/>
              </w:rPr>
              <w:t>Fund Balance, FY18 Close</w:t>
            </w:r>
          </w:p>
        </w:tc>
        <w:tc>
          <w:tcPr>
            <w:tcW w:w="2340" w:type="dxa"/>
            <w:vAlign w:val="bottom"/>
          </w:tcPr>
          <w:p w14:paraId="4D558531" w14:textId="77777777" w:rsidR="00D1600D" w:rsidRPr="00B561F1" w:rsidRDefault="00D1600D" w:rsidP="00066FDA">
            <w:pPr>
              <w:jc w:val="right"/>
              <w:rPr>
                <w:rFonts w:asciiTheme="minorHAnsi" w:hAnsiTheme="minorHAnsi" w:cstheme="minorHAnsi"/>
                <w:color w:val="000000"/>
              </w:rPr>
            </w:pPr>
          </w:p>
        </w:tc>
        <w:tc>
          <w:tcPr>
            <w:tcW w:w="2070" w:type="dxa"/>
          </w:tcPr>
          <w:p w14:paraId="64E37440" w14:textId="77777777" w:rsidR="00D1600D" w:rsidRPr="00B561F1" w:rsidRDefault="00D1600D" w:rsidP="00066FDA">
            <w:pPr>
              <w:jc w:val="right"/>
              <w:rPr>
                <w:rFonts w:asciiTheme="minorHAnsi" w:hAnsiTheme="minorHAnsi" w:cstheme="minorHAnsi"/>
                <w:color w:val="000000"/>
              </w:rPr>
            </w:pPr>
            <w:r w:rsidRPr="00B561F1">
              <w:rPr>
                <w:rFonts w:asciiTheme="minorHAnsi" w:hAnsiTheme="minorHAnsi" w:cstheme="minorHAnsi"/>
                <w:color w:val="000000"/>
              </w:rPr>
              <w:t>$3,866,403</w:t>
            </w:r>
          </w:p>
        </w:tc>
      </w:tr>
      <w:tr w:rsidR="00066FDA" w:rsidRPr="00B561F1" w14:paraId="7AB228DE" w14:textId="77777777" w:rsidTr="00B33D93">
        <w:trPr>
          <w:trHeight w:val="300"/>
        </w:trPr>
        <w:tc>
          <w:tcPr>
            <w:tcW w:w="3555" w:type="dxa"/>
            <w:noWrap/>
            <w:hideMark/>
          </w:tcPr>
          <w:p w14:paraId="7B75C8A1" w14:textId="77777777" w:rsidR="00066FDA" w:rsidRPr="00B561F1" w:rsidRDefault="00D1600D" w:rsidP="00066FDA">
            <w:pPr>
              <w:jc w:val="right"/>
              <w:rPr>
                <w:rFonts w:asciiTheme="minorHAnsi" w:hAnsiTheme="minorHAnsi" w:cstheme="minorHAnsi"/>
              </w:rPr>
            </w:pPr>
            <w:r w:rsidRPr="00B561F1">
              <w:rPr>
                <w:rFonts w:asciiTheme="minorHAnsi" w:hAnsiTheme="minorHAnsi" w:cstheme="minorHAnsi"/>
              </w:rPr>
              <w:t xml:space="preserve">FY19 </w:t>
            </w:r>
            <w:r w:rsidR="00066FDA" w:rsidRPr="00B561F1">
              <w:rPr>
                <w:rFonts w:asciiTheme="minorHAnsi" w:hAnsiTheme="minorHAnsi" w:cstheme="minorHAnsi"/>
              </w:rPr>
              <w:t>Revenue</w:t>
            </w:r>
          </w:p>
        </w:tc>
        <w:tc>
          <w:tcPr>
            <w:tcW w:w="2340" w:type="dxa"/>
            <w:vAlign w:val="bottom"/>
          </w:tcPr>
          <w:p w14:paraId="709EC1DF" w14:textId="77777777" w:rsidR="00066FDA" w:rsidRPr="00B561F1" w:rsidRDefault="00D1600D" w:rsidP="00066FDA">
            <w:pPr>
              <w:jc w:val="right"/>
              <w:rPr>
                <w:rFonts w:asciiTheme="minorHAnsi" w:hAnsiTheme="minorHAnsi" w:cstheme="minorHAnsi"/>
                <w:color w:val="000000"/>
              </w:rPr>
            </w:pPr>
            <w:r w:rsidRPr="00B561F1">
              <w:rPr>
                <w:rFonts w:asciiTheme="minorHAnsi" w:hAnsiTheme="minorHAnsi" w:cstheme="minorHAnsi"/>
                <w:color w:val="000000"/>
              </w:rPr>
              <w:t xml:space="preserve"> $</w:t>
            </w:r>
            <w:r w:rsidR="00066FDA" w:rsidRPr="00B561F1">
              <w:rPr>
                <w:rFonts w:asciiTheme="minorHAnsi" w:hAnsiTheme="minorHAnsi" w:cstheme="minorHAnsi"/>
                <w:color w:val="000000"/>
              </w:rPr>
              <w:t xml:space="preserve">852,413 </w:t>
            </w:r>
          </w:p>
        </w:tc>
        <w:tc>
          <w:tcPr>
            <w:tcW w:w="2070" w:type="dxa"/>
          </w:tcPr>
          <w:p w14:paraId="15806BBF" w14:textId="77777777" w:rsidR="00066FDA" w:rsidRPr="00B561F1" w:rsidRDefault="00066FDA" w:rsidP="00066FDA">
            <w:pPr>
              <w:jc w:val="right"/>
              <w:rPr>
                <w:rFonts w:asciiTheme="minorHAnsi" w:hAnsiTheme="minorHAnsi" w:cstheme="minorHAnsi"/>
                <w:color w:val="000000"/>
              </w:rPr>
            </w:pPr>
          </w:p>
        </w:tc>
      </w:tr>
      <w:tr w:rsidR="00066FDA" w:rsidRPr="00B561F1" w14:paraId="2126CEA1" w14:textId="77777777" w:rsidTr="00B33D93">
        <w:trPr>
          <w:trHeight w:val="300"/>
        </w:trPr>
        <w:tc>
          <w:tcPr>
            <w:tcW w:w="3555" w:type="dxa"/>
            <w:noWrap/>
            <w:hideMark/>
          </w:tcPr>
          <w:p w14:paraId="1FD6CC7A" w14:textId="77777777" w:rsidR="00066FDA" w:rsidRPr="00B561F1" w:rsidRDefault="00D1600D" w:rsidP="00066FDA">
            <w:pPr>
              <w:jc w:val="right"/>
              <w:rPr>
                <w:rFonts w:asciiTheme="minorHAnsi" w:hAnsiTheme="minorHAnsi" w:cstheme="minorHAnsi"/>
              </w:rPr>
            </w:pPr>
            <w:r w:rsidRPr="00B561F1">
              <w:rPr>
                <w:rFonts w:asciiTheme="minorHAnsi" w:hAnsiTheme="minorHAnsi" w:cstheme="minorHAnsi"/>
              </w:rPr>
              <w:t xml:space="preserve">FY 19 </w:t>
            </w:r>
            <w:r w:rsidR="00066FDA" w:rsidRPr="00B561F1">
              <w:rPr>
                <w:rFonts w:asciiTheme="minorHAnsi" w:hAnsiTheme="minorHAnsi" w:cstheme="minorHAnsi"/>
              </w:rPr>
              <w:t>Revenue - Grants</w:t>
            </w:r>
          </w:p>
        </w:tc>
        <w:tc>
          <w:tcPr>
            <w:tcW w:w="2340" w:type="dxa"/>
            <w:vAlign w:val="bottom"/>
          </w:tcPr>
          <w:p w14:paraId="0E6F39AB" w14:textId="77777777" w:rsidR="00066FDA" w:rsidRPr="00B561F1" w:rsidRDefault="00066FDA" w:rsidP="00066FDA">
            <w:pPr>
              <w:jc w:val="right"/>
              <w:rPr>
                <w:rFonts w:asciiTheme="minorHAnsi" w:hAnsiTheme="minorHAnsi" w:cstheme="minorHAnsi"/>
                <w:color w:val="000000"/>
              </w:rPr>
            </w:pPr>
            <w:r w:rsidRPr="00B561F1">
              <w:rPr>
                <w:rFonts w:asciiTheme="minorHAnsi" w:hAnsiTheme="minorHAnsi" w:cstheme="minorHAnsi"/>
                <w:color w:val="000000"/>
              </w:rPr>
              <w:t xml:space="preserve"> $2,350,278 </w:t>
            </w:r>
          </w:p>
        </w:tc>
        <w:tc>
          <w:tcPr>
            <w:tcW w:w="2070" w:type="dxa"/>
          </w:tcPr>
          <w:p w14:paraId="5C040453" w14:textId="77777777" w:rsidR="00066FDA" w:rsidRPr="00B561F1" w:rsidRDefault="00066FDA" w:rsidP="00066FDA">
            <w:pPr>
              <w:jc w:val="right"/>
              <w:rPr>
                <w:rFonts w:asciiTheme="minorHAnsi" w:hAnsiTheme="minorHAnsi" w:cstheme="minorHAnsi"/>
                <w:color w:val="000000"/>
              </w:rPr>
            </w:pPr>
          </w:p>
        </w:tc>
      </w:tr>
      <w:tr w:rsidR="00D1600D" w:rsidRPr="00B561F1" w14:paraId="15A160FC" w14:textId="77777777" w:rsidTr="00B33D93">
        <w:trPr>
          <w:trHeight w:val="300"/>
        </w:trPr>
        <w:tc>
          <w:tcPr>
            <w:tcW w:w="3555" w:type="dxa"/>
            <w:noWrap/>
            <w:hideMark/>
          </w:tcPr>
          <w:p w14:paraId="68D1AE3C" w14:textId="77777777" w:rsidR="00D1600D" w:rsidRPr="00B561F1" w:rsidRDefault="00D1600D" w:rsidP="00D1600D">
            <w:pPr>
              <w:rPr>
                <w:rFonts w:asciiTheme="minorHAnsi" w:hAnsiTheme="minorHAnsi" w:cstheme="minorHAnsi"/>
                <w:b/>
              </w:rPr>
            </w:pPr>
            <w:r w:rsidRPr="00B561F1">
              <w:rPr>
                <w:rFonts w:asciiTheme="minorHAnsi" w:hAnsiTheme="minorHAnsi" w:cstheme="minorHAnsi"/>
                <w:b/>
              </w:rPr>
              <w:t>Total Revenue, FY19</w:t>
            </w:r>
          </w:p>
        </w:tc>
        <w:tc>
          <w:tcPr>
            <w:tcW w:w="2340" w:type="dxa"/>
            <w:vAlign w:val="bottom"/>
          </w:tcPr>
          <w:p w14:paraId="4F161308" w14:textId="77777777" w:rsidR="00D1600D" w:rsidRPr="00B561F1" w:rsidRDefault="00D1600D" w:rsidP="00066FDA">
            <w:pPr>
              <w:jc w:val="right"/>
              <w:rPr>
                <w:rFonts w:asciiTheme="minorHAnsi" w:hAnsiTheme="minorHAnsi" w:cstheme="minorHAnsi"/>
                <w:color w:val="000000"/>
              </w:rPr>
            </w:pPr>
          </w:p>
        </w:tc>
        <w:tc>
          <w:tcPr>
            <w:tcW w:w="2070" w:type="dxa"/>
          </w:tcPr>
          <w:p w14:paraId="1CE4EE94" w14:textId="77777777" w:rsidR="00D1600D" w:rsidRPr="00B561F1" w:rsidRDefault="00D1600D" w:rsidP="00066FDA">
            <w:pPr>
              <w:jc w:val="right"/>
              <w:rPr>
                <w:rFonts w:asciiTheme="minorHAnsi" w:hAnsiTheme="minorHAnsi" w:cstheme="minorHAnsi"/>
                <w:color w:val="000000"/>
              </w:rPr>
            </w:pPr>
            <w:r w:rsidRPr="00B561F1">
              <w:rPr>
                <w:rFonts w:asciiTheme="minorHAnsi" w:hAnsiTheme="minorHAnsi" w:cstheme="minorHAnsi"/>
                <w:color w:val="000000"/>
              </w:rPr>
              <w:t>$3,202,691</w:t>
            </w:r>
          </w:p>
        </w:tc>
      </w:tr>
      <w:tr w:rsidR="00066FDA" w:rsidRPr="00B561F1" w14:paraId="6796B827" w14:textId="77777777" w:rsidTr="00B33D93">
        <w:trPr>
          <w:trHeight w:val="300"/>
        </w:trPr>
        <w:tc>
          <w:tcPr>
            <w:tcW w:w="3555" w:type="dxa"/>
            <w:noWrap/>
            <w:hideMark/>
          </w:tcPr>
          <w:p w14:paraId="6B126661" w14:textId="77777777" w:rsidR="00066FDA" w:rsidRPr="00B561F1" w:rsidRDefault="00066FDA" w:rsidP="00066FDA">
            <w:pPr>
              <w:jc w:val="right"/>
              <w:rPr>
                <w:rFonts w:asciiTheme="minorHAnsi" w:hAnsiTheme="minorHAnsi" w:cstheme="minorHAnsi"/>
              </w:rPr>
            </w:pPr>
            <w:r w:rsidRPr="00B561F1">
              <w:rPr>
                <w:rFonts w:asciiTheme="minorHAnsi" w:hAnsiTheme="minorHAnsi" w:cstheme="minorHAnsi"/>
              </w:rPr>
              <w:t>Expenses</w:t>
            </w:r>
          </w:p>
        </w:tc>
        <w:tc>
          <w:tcPr>
            <w:tcW w:w="2340" w:type="dxa"/>
            <w:vAlign w:val="bottom"/>
          </w:tcPr>
          <w:p w14:paraId="3BEE9857" w14:textId="77777777" w:rsidR="00066FDA" w:rsidRPr="00B561F1" w:rsidRDefault="00066FDA" w:rsidP="00D1600D">
            <w:pPr>
              <w:jc w:val="right"/>
              <w:rPr>
                <w:rFonts w:asciiTheme="minorHAnsi" w:hAnsiTheme="minorHAnsi" w:cstheme="minorHAnsi"/>
                <w:color w:val="000000"/>
              </w:rPr>
            </w:pPr>
            <w:r w:rsidRPr="00B561F1">
              <w:rPr>
                <w:rFonts w:asciiTheme="minorHAnsi" w:hAnsiTheme="minorHAnsi" w:cstheme="minorHAnsi"/>
                <w:color w:val="000000"/>
              </w:rPr>
              <w:t xml:space="preserve"> </w:t>
            </w:r>
            <w:r w:rsidR="00D1600D" w:rsidRPr="00B561F1">
              <w:rPr>
                <w:rFonts w:asciiTheme="minorHAnsi" w:hAnsiTheme="minorHAnsi" w:cstheme="minorHAnsi"/>
                <w:color w:val="000000"/>
              </w:rPr>
              <w:t>(</w:t>
            </w:r>
            <w:r w:rsidRPr="00B561F1">
              <w:rPr>
                <w:rFonts w:asciiTheme="minorHAnsi" w:hAnsiTheme="minorHAnsi" w:cstheme="minorHAnsi"/>
                <w:color w:val="000000"/>
              </w:rPr>
              <w:t>$1,552,321)</w:t>
            </w:r>
          </w:p>
        </w:tc>
        <w:tc>
          <w:tcPr>
            <w:tcW w:w="2070" w:type="dxa"/>
          </w:tcPr>
          <w:p w14:paraId="4B571A3F" w14:textId="77777777" w:rsidR="00066FDA" w:rsidRPr="00B561F1" w:rsidRDefault="00066FDA" w:rsidP="00066FDA">
            <w:pPr>
              <w:jc w:val="right"/>
              <w:rPr>
                <w:rFonts w:asciiTheme="minorHAnsi" w:hAnsiTheme="minorHAnsi" w:cstheme="minorHAnsi"/>
                <w:color w:val="000000"/>
              </w:rPr>
            </w:pPr>
          </w:p>
        </w:tc>
      </w:tr>
      <w:tr w:rsidR="00066FDA" w:rsidRPr="00B561F1" w14:paraId="283FE70B" w14:textId="77777777" w:rsidTr="00B33D93">
        <w:trPr>
          <w:trHeight w:val="300"/>
        </w:trPr>
        <w:tc>
          <w:tcPr>
            <w:tcW w:w="3555" w:type="dxa"/>
            <w:noWrap/>
            <w:hideMark/>
          </w:tcPr>
          <w:p w14:paraId="1C23A522" w14:textId="77777777" w:rsidR="00066FDA" w:rsidRPr="00B561F1" w:rsidRDefault="00066FDA" w:rsidP="00066FDA">
            <w:pPr>
              <w:jc w:val="right"/>
              <w:rPr>
                <w:rFonts w:asciiTheme="minorHAnsi" w:hAnsiTheme="minorHAnsi" w:cstheme="minorHAnsi"/>
              </w:rPr>
            </w:pPr>
            <w:r w:rsidRPr="00B561F1">
              <w:rPr>
                <w:rFonts w:asciiTheme="minorHAnsi" w:hAnsiTheme="minorHAnsi" w:cstheme="minorHAnsi"/>
              </w:rPr>
              <w:t>Expenses - Grants</w:t>
            </w:r>
          </w:p>
        </w:tc>
        <w:tc>
          <w:tcPr>
            <w:tcW w:w="2340" w:type="dxa"/>
            <w:vAlign w:val="bottom"/>
          </w:tcPr>
          <w:p w14:paraId="1E82D196" w14:textId="77777777" w:rsidR="00066FDA" w:rsidRPr="00B561F1" w:rsidRDefault="00066FDA" w:rsidP="00D1600D">
            <w:pPr>
              <w:jc w:val="right"/>
              <w:rPr>
                <w:rFonts w:asciiTheme="minorHAnsi" w:hAnsiTheme="minorHAnsi" w:cstheme="minorHAnsi"/>
                <w:color w:val="000000"/>
              </w:rPr>
            </w:pPr>
            <w:r w:rsidRPr="00B561F1">
              <w:rPr>
                <w:rFonts w:asciiTheme="minorHAnsi" w:hAnsiTheme="minorHAnsi" w:cstheme="minorHAnsi"/>
                <w:color w:val="000000"/>
              </w:rPr>
              <w:t xml:space="preserve"> </w:t>
            </w:r>
            <w:r w:rsidR="00D1600D" w:rsidRPr="00B561F1">
              <w:rPr>
                <w:rFonts w:asciiTheme="minorHAnsi" w:hAnsiTheme="minorHAnsi" w:cstheme="minorHAnsi"/>
                <w:color w:val="000000"/>
              </w:rPr>
              <w:t>(</w:t>
            </w:r>
            <w:r w:rsidRPr="00B561F1">
              <w:rPr>
                <w:rFonts w:asciiTheme="minorHAnsi" w:hAnsiTheme="minorHAnsi" w:cstheme="minorHAnsi"/>
                <w:color w:val="000000"/>
              </w:rPr>
              <w:t>$2,033,275)</w:t>
            </w:r>
          </w:p>
        </w:tc>
        <w:tc>
          <w:tcPr>
            <w:tcW w:w="2070" w:type="dxa"/>
          </w:tcPr>
          <w:p w14:paraId="1BAF1EDE" w14:textId="77777777" w:rsidR="00066FDA" w:rsidRPr="00B561F1" w:rsidRDefault="00066FDA" w:rsidP="00066FDA">
            <w:pPr>
              <w:jc w:val="right"/>
              <w:rPr>
                <w:rFonts w:asciiTheme="minorHAnsi" w:hAnsiTheme="minorHAnsi" w:cstheme="minorHAnsi"/>
                <w:color w:val="000000"/>
              </w:rPr>
            </w:pPr>
          </w:p>
        </w:tc>
      </w:tr>
      <w:tr w:rsidR="00D1600D" w:rsidRPr="00B561F1" w14:paraId="179BA3BC" w14:textId="77777777" w:rsidTr="00B33D93">
        <w:trPr>
          <w:trHeight w:val="300"/>
        </w:trPr>
        <w:tc>
          <w:tcPr>
            <w:tcW w:w="3555" w:type="dxa"/>
            <w:noWrap/>
            <w:hideMark/>
          </w:tcPr>
          <w:p w14:paraId="368F53E8" w14:textId="77777777" w:rsidR="00D1600D" w:rsidRPr="00B561F1" w:rsidRDefault="00D1600D" w:rsidP="00D1600D">
            <w:pPr>
              <w:rPr>
                <w:rFonts w:asciiTheme="minorHAnsi" w:hAnsiTheme="minorHAnsi" w:cstheme="minorHAnsi"/>
                <w:b/>
              </w:rPr>
            </w:pPr>
            <w:r w:rsidRPr="00B561F1">
              <w:rPr>
                <w:rFonts w:asciiTheme="minorHAnsi" w:hAnsiTheme="minorHAnsi" w:cstheme="minorHAnsi"/>
                <w:b/>
              </w:rPr>
              <w:t>Total Expenses, FY19</w:t>
            </w:r>
          </w:p>
        </w:tc>
        <w:tc>
          <w:tcPr>
            <w:tcW w:w="2340" w:type="dxa"/>
            <w:vAlign w:val="bottom"/>
          </w:tcPr>
          <w:p w14:paraId="3392CCFD" w14:textId="77777777" w:rsidR="00D1600D" w:rsidRPr="00B561F1" w:rsidRDefault="00D1600D" w:rsidP="00066FDA">
            <w:pPr>
              <w:jc w:val="right"/>
              <w:rPr>
                <w:rFonts w:asciiTheme="minorHAnsi" w:hAnsiTheme="minorHAnsi" w:cstheme="minorHAnsi"/>
                <w:color w:val="000000"/>
              </w:rPr>
            </w:pPr>
          </w:p>
        </w:tc>
        <w:tc>
          <w:tcPr>
            <w:tcW w:w="2070" w:type="dxa"/>
          </w:tcPr>
          <w:p w14:paraId="21CEDA5B" w14:textId="77777777" w:rsidR="00D1600D" w:rsidRPr="00B561F1" w:rsidRDefault="00D1600D" w:rsidP="00066FDA">
            <w:pPr>
              <w:jc w:val="right"/>
              <w:rPr>
                <w:rFonts w:asciiTheme="minorHAnsi" w:hAnsiTheme="minorHAnsi" w:cstheme="minorHAnsi"/>
                <w:color w:val="000000"/>
              </w:rPr>
            </w:pPr>
            <w:r w:rsidRPr="00B561F1">
              <w:rPr>
                <w:rFonts w:asciiTheme="minorHAnsi" w:hAnsiTheme="minorHAnsi" w:cstheme="minorHAnsi"/>
                <w:color w:val="000000"/>
              </w:rPr>
              <w:t>($3,585,596)</w:t>
            </w:r>
          </w:p>
        </w:tc>
      </w:tr>
      <w:tr w:rsidR="00D1600D" w:rsidRPr="00B561F1" w14:paraId="0DEF487F" w14:textId="77777777" w:rsidTr="00B33D93">
        <w:trPr>
          <w:trHeight w:val="300"/>
        </w:trPr>
        <w:tc>
          <w:tcPr>
            <w:tcW w:w="3555" w:type="dxa"/>
            <w:noWrap/>
            <w:hideMark/>
          </w:tcPr>
          <w:p w14:paraId="48E5327F" w14:textId="77777777" w:rsidR="00D1600D" w:rsidRPr="00B561F1" w:rsidRDefault="00D1600D" w:rsidP="00066FDA">
            <w:pPr>
              <w:jc w:val="right"/>
              <w:rPr>
                <w:rFonts w:asciiTheme="minorHAnsi" w:hAnsiTheme="minorHAnsi" w:cstheme="minorHAnsi"/>
              </w:rPr>
            </w:pPr>
            <w:r w:rsidRPr="00B561F1">
              <w:rPr>
                <w:rFonts w:asciiTheme="minorHAnsi" w:hAnsiTheme="minorHAnsi" w:cstheme="minorHAnsi"/>
              </w:rPr>
              <w:t>Overhead &amp; Taxes</w:t>
            </w:r>
          </w:p>
        </w:tc>
        <w:tc>
          <w:tcPr>
            <w:tcW w:w="2340" w:type="dxa"/>
            <w:vAlign w:val="bottom"/>
          </w:tcPr>
          <w:p w14:paraId="1BCF0BC1" w14:textId="77777777" w:rsidR="00D1600D" w:rsidRPr="00B561F1" w:rsidRDefault="00D1600D" w:rsidP="00D1600D">
            <w:pPr>
              <w:jc w:val="right"/>
              <w:rPr>
                <w:rFonts w:asciiTheme="minorHAnsi" w:hAnsiTheme="minorHAnsi" w:cstheme="minorHAnsi"/>
                <w:color w:val="000000"/>
              </w:rPr>
            </w:pPr>
            <w:r w:rsidRPr="00B561F1">
              <w:rPr>
                <w:rFonts w:asciiTheme="minorHAnsi" w:hAnsiTheme="minorHAnsi" w:cstheme="minorHAnsi"/>
                <w:color w:val="000000"/>
              </w:rPr>
              <w:t>($49,632)</w:t>
            </w:r>
          </w:p>
        </w:tc>
        <w:tc>
          <w:tcPr>
            <w:tcW w:w="2070" w:type="dxa"/>
          </w:tcPr>
          <w:p w14:paraId="7102A7E1" w14:textId="77777777" w:rsidR="00D1600D" w:rsidRPr="00B561F1" w:rsidRDefault="00D1600D" w:rsidP="00066FDA">
            <w:pPr>
              <w:jc w:val="right"/>
              <w:rPr>
                <w:rFonts w:asciiTheme="minorHAnsi" w:hAnsiTheme="minorHAnsi" w:cstheme="minorHAnsi"/>
                <w:color w:val="000000"/>
              </w:rPr>
            </w:pPr>
          </w:p>
        </w:tc>
      </w:tr>
      <w:tr w:rsidR="00D1600D" w:rsidRPr="00B561F1" w14:paraId="2302B3AE" w14:textId="77777777" w:rsidTr="00B33D93">
        <w:trPr>
          <w:trHeight w:val="300"/>
        </w:trPr>
        <w:tc>
          <w:tcPr>
            <w:tcW w:w="3555" w:type="dxa"/>
            <w:noWrap/>
            <w:hideMark/>
          </w:tcPr>
          <w:p w14:paraId="2FBCD707" w14:textId="77777777" w:rsidR="00D1600D" w:rsidRPr="00B561F1" w:rsidRDefault="00D1600D" w:rsidP="00066FDA">
            <w:pPr>
              <w:jc w:val="right"/>
              <w:rPr>
                <w:rFonts w:asciiTheme="minorHAnsi" w:hAnsiTheme="minorHAnsi" w:cstheme="minorHAnsi"/>
              </w:rPr>
            </w:pPr>
            <w:r w:rsidRPr="00B561F1">
              <w:rPr>
                <w:rFonts w:asciiTheme="minorHAnsi" w:hAnsiTheme="minorHAnsi" w:cstheme="minorHAnsi"/>
              </w:rPr>
              <w:t>Overhead &amp; Taxes - Grants</w:t>
            </w:r>
          </w:p>
        </w:tc>
        <w:tc>
          <w:tcPr>
            <w:tcW w:w="2340" w:type="dxa"/>
            <w:vAlign w:val="bottom"/>
          </w:tcPr>
          <w:p w14:paraId="7A91E56E" w14:textId="77777777" w:rsidR="00D1600D" w:rsidRPr="00B561F1" w:rsidRDefault="00D1600D" w:rsidP="00066FDA">
            <w:pPr>
              <w:jc w:val="right"/>
              <w:rPr>
                <w:rFonts w:asciiTheme="minorHAnsi" w:hAnsiTheme="minorHAnsi" w:cstheme="minorHAnsi"/>
                <w:color w:val="000000"/>
              </w:rPr>
            </w:pPr>
            <w:r w:rsidRPr="00B561F1">
              <w:rPr>
                <w:rFonts w:asciiTheme="minorHAnsi" w:hAnsiTheme="minorHAnsi" w:cstheme="minorHAnsi"/>
                <w:color w:val="000000"/>
              </w:rPr>
              <w:t xml:space="preserve"> ($317,003)</w:t>
            </w:r>
          </w:p>
        </w:tc>
        <w:tc>
          <w:tcPr>
            <w:tcW w:w="2070" w:type="dxa"/>
          </w:tcPr>
          <w:p w14:paraId="4A1BAE83" w14:textId="77777777" w:rsidR="00D1600D" w:rsidRPr="00B561F1" w:rsidRDefault="00D1600D" w:rsidP="00066FDA">
            <w:pPr>
              <w:jc w:val="right"/>
              <w:rPr>
                <w:rFonts w:asciiTheme="minorHAnsi" w:hAnsiTheme="minorHAnsi" w:cstheme="minorHAnsi"/>
                <w:color w:val="000000"/>
              </w:rPr>
            </w:pPr>
          </w:p>
        </w:tc>
      </w:tr>
      <w:tr w:rsidR="00D1600D" w:rsidRPr="00B561F1" w14:paraId="4683A893" w14:textId="77777777" w:rsidTr="00B33D93">
        <w:trPr>
          <w:trHeight w:val="300"/>
        </w:trPr>
        <w:tc>
          <w:tcPr>
            <w:tcW w:w="3555" w:type="dxa"/>
            <w:noWrap/>
            <w:hideMark/>
          </w:tcPr>
          <w:p w14:paraId="39B3D6C1" w14:textId="77777777" w:rsidR="00D1600D" w:rsidRPr="00B561F1" w:rsidRDefault="00D1600D" w:rsidP="00D1600D">
            <w:pPr>
              <w:rPr>
                <w:rFonts w:asciiTheme="minorHAnsi" w:hAnsiTheme="minorHAnsi" w:cstheme="minorHAnsi"/>
                <w:b/>
              </w:rPr>
            </w:pPr>
            <w:r w:rsidRPr="00B561F1">
              <w:rPr>
                <w:rFonts w:asciiTheme="minorHAnsi" w:hAnsiTheme="minorHAnsi" w:cstheme="minorHAnsi"/>
                <w:b/>
              </w:rPr>
              <w:t>Total OH &amp; Taxes, FY19</w:t>
            </w:r>
          </w:p>
        </w:tc>
        <w:tc>
          <w:tcPr>
            <w:tcW w:w="2340" w:type="dxa"/>
            <w:vAlign w:val="bottom"/>
          </w:tcPr>
          <w:p w14:paraId="43427AF6" w14:textId="77777777" w:rsidR="00D1600D" w:rsidRPr="00B561F1" w:rsidRDefault="00D1600D" w:rsidP="00066FDA">
            <w:pPr>
              <w:jc w:val="right"/>
              <w:rPr>
                <w:rFonts w:asciiTheme="minorHAnsi" w:hAnsiTheme="minorHAnsi" w:cstheme="minorHAnsi"/>
                <w:color w:val="000000"/>
              </w:rPr>
            </w:pPr>
            <w:r w:rsidRPr="00B561F1">
              <w:rPr>
                <w:rFonts w:asciiTheme="minorHAnsi" w:hAnsiTheme="minorHAnsi" w:cstheme="minorHAnsi"/>
                <w:color w:val="000000"/>
              </w:rPr>
              <w:t xml:space="preserve">  </w:t>
            </w:r>
          </w:p>
        </w:tc>
        <w:tc>
          <w:tcPr>
            <w:tcW w:w="2070" w:type="dxa"/>
          </w:tcPr>
          <w:p w14:paraId="687408D4" w14:textId="77777777" w:rsidR="00D1600D" w:rsidRPr="00B561F1" w:rsidRDefault="00D1600D" w:rsidP="00066FDA">
            <w:pPr>
              <w:jc w:val="right"/>
              <w:rPr>
                <w:rFonts w:asciiTheme="minorHAnsi" w:hAnsiTheme="minorHAnsi" w:cstheme="minorHAnsi"/>
                <w:color w:val="000000"/>
              </w:rPr>
            </w:pPr>
            <w:r w:rsidRPr="00B561F1">
              <w:rPr>
                <w:rFonts w:asciiTheme="minorHAnsi" w:hAnsiTheme="minorHAnsi" w:cstheme="minorHAnsi"/>
                <w:color w:val="000000"/>
              </w:rPr>
              <w:t>($366,635)</w:t>
            </w:r>
          </w:p>
        </w:tc>
      </w:tr>
      <w:tr w:rsidR="00D1600D" w:rsidRPr="00B561F1" w14:paraId="1492188B" w14:textId="77777777" w:rsidTr="00B33D93">
        <w:trPr>
          <w:trHeight w:val="300"/>
        </w:trPr>
        <w:tc>
          <w:tcPr>
            <w:tcW w:w="3555" w:type="dxa"/>
            <w:noWrap/>
            <w:hideMark/>
          </w:tcPr>
          <w:p w14:paraId="43E6D709" w14:textId="77777777" w:rsidR="00D1600D" w:rsidRPr="00B561F1" w:rsidRDefault="00D1600D" w:rsidP="004B237F">
            <w:pPr>
              <w:rPr>
                <w:rFonts w:asciiTheme="minorHAnsi" w:hAnsiTheme="minorHAnsi" w:cstheme="minorHAnsi"/>
                <w:b/>
              </w:rPr>
            </w:pPr>
            <w:r w:rsidRPr="00B561F1">
              <w:rPr>
                <w:rFonts w:asciiTheme="minorHAnsi" w:hAnsiTheme="minorHAnsi" w:cstheme="minorHAnsi"/>
                <w:b/>
              </w:rPr>
              <w:t>Fiscal Year Results</w:t>
            </w:r>
          </w:p>
        </w:tc>
        <w:tc>
          <w:tcPr>
            <w:tcW w:w="2340" w:type="dxa"/>
            <w:vAlign w:val="bottom"/>
          </w:tcPr>
          <w:p w14:paraId="09D440A0" w14:textId="77777777" w:rsidR="00D1600D" w:rsidRPr="00B561F1" w:rsidRDefault="00D1600D" w:rsidP="00D1600D">
            <w:pPr>
              <w:jc w:val="right"/>
              <w:rPr>
                <w:rFonts w:asciiTheme="minorHAnsi" w:hAnsiTheme="minorHAnsi" w:cstheme="minorHAnsi"/>
                <w:color w:val="000000"/>
              </w:rPr>
            </w:pPr>
          </w:p>
        </w:tc>
        <w:tc>
          <w:tcPr>
            <w:tcW w:w="2070" w:type="dxa"/>
          </w:tcPr>
          <w:p w14:paraId="2EBFF120" w14:textId="77777777" w:rsidR="00D1600D" w:rsidRPr="00B561F1" w:rsidRDefault="00D1600D" w:rsidP="00066FDA">
            <w:pPr>
              <w:jc w:val="right"/>
              <w:rPr>
                <w:rFonts w:asciiTheme="minorHAnsi" w:hAnsiTheme="minorHAnsi" w:cstheme="minorHAnsi"/>
                <w:color w:val="000000"/>
              </w:rPr>
            </w:pPr>
            <w:r w:rsidRPr="00B561F1">
              <w:rPr>
                <w:rFonts w:asciiTheme="minorHAnsi" w:hAnsiTheme="minorHAnsi" w:cstheme="minorHAnsi"/>
                <w:color w:val="000000"/>
              </w:rPr>
              <w:t>($749,540)</w:t>
            </w:r>
          </w:p>
        </w:tc>
      </w:tr>
      <w:tr w:rsidR="00D1600D" w:rsidRPr="00B561F1" w14:paraId="7AFA4D2D" w14:textId="77777777" w:rsidTr="00B33D93">
        <w:trPr>
          <w:trHeight w:val="300"/>
        </w:trPr>
        <w:tc>
          <w:tcPr>
            <w:tcW w:w="3555" w:type="dxa"/>
            <w:noWrap/>
          </w:tcPr>
          <w:p w14:paraId="43C43DA6" w14:textId="77777777" w:rsidR="00D1600D" w:rsidRPr="00B561F1" w:rsidRDefault="00D1600D" w:rsidP="00D1600D">
            <w:pPr>
              <w:rPr>
                <w:rFonts w:asciiTheme="minorHAnsi" w:hAnsiTheme="minorHAnsi" w:cstheme="minorHAnsi"/>
                <w:b/>
              </w:rPr>
            </w:pPr>
            <w:r w:rsidRPr="00B561F1">
              <w:rPr>
                <w:rFonts w:asciiTheme="minorHAnsi" w:hAnsiTheme="minorHAnsi" w:cstheme="minorHAnsi"/>
                <w:b/>
              </w:rPr>
              <w:t>Projected Fund Balance, FY19 Close</w:t>
            </w:r>
          </w:p>
        </w:tc>
        <w:tc>
          <w:tcPr>
            <w:tcW w:w="2340" w:type="dxa"/>
            <w:vAlign w:val="bottom"/>
          </w:tcPr>
          <w:p w14:paraId="5A7DE923" w14:textId="77777777" w:rsidR="00D1600D" w:rsidRPr="00B561F1" w:rsidRDefault="00D1600D" w:rsidP="00D1600D">
            <w:pPr>
              <w:jc w:val="right"/>
              <w:rPr>
                <w:rFonts w:asciiTheme="minorHAnsi" w:hAnsiTheme="minorHAnsi" w:cstheme="minorHAnsi"/>
                <w:color w:val="000000"/>
              </w:rPr>
            </w:pPr>
          </w:p>
        </w:tc>
        <w:tc>
          <w:tcPr>
            <w:tcW w:w="2070" w:type="dxa"/>
          </w:tcPr>
          <w:p w14:paraId="2B65C9C5" w14:textId="77777777" w:rsidR="00D1600D" w:rsidRPr="00B561F1" w:rsidRDefault="00D1600D" w:rsidP="00066FDA">
            <w:pPr>
              <w:jc w:val="right"/>
              <w:rPr>
                <w:rFonts w:asciiTheme="minorHAnsi" w:hAnsiTheme="minorHAnsi" w:cstheme="minorHAnsi"/>
                <w:color w:val="000000"/>
              </w:rPr>
            </w:pPr>
            <w:r w:rsidRPr="00B561F1">
              <w:rPr>
                <w:rFonts w:asciiTheme="minorHAnsi" w:hAnsiTheme="minorHAnsi" w:cstheme="minorHAnsi"/>
                <w:color w:val="000000"/>
              </w:rPr>
              <w:t>$3,116,683</w:t>
            </w:r>
          </w:p>
        </w:tc>
      </w:tr>
    </w:tbl>
    <w:p w14:paraId="6F6FA38B" w14:textId="77777777" w:rsidR="00066FDA" w:rsidRPr="00B561F1" w:rsidRDefault="00066FDA" w:rsidP="00066FDA">
      <w:pPr>
        <w:rPr>
          <w:rFonts w:asciiTheme="minorHAnsi" w:hAnsiTheme="minorHAnsi" w:cstheme="minorHAnsi"/>
        </w:rPr>
      </w:pPr>
    </w:p>
    <w:p w14:paraId="28E1F06D" w14:textId="77777777" w:rsidR="00537A47" w:rsidRPr="00B561F1" w:rsidRDefault="00537A47" w:rsidP="00066FDA">
      <w:pPr>
        <w:rPr>
          <w:rFonts w:asciiTheme="minorHAnsi" w:hAnsiTheme="minorHAnsi" w:cstheme="minorHAnsi"/>
        </w:rPr>
      </w:pPr>
      <w:r w:rsidRPr="00B561F1">
        <w:rPr>
          <w:rFonts w:asciiTheme="minorHAnsi" w:hAnsiTheme="minorHAnsi" w:cstheme="minorHAnsi"/>
        </w:rPr>
        <w:t>For context, PLA’s last 10 odd (spend down) years have lost between $140,000 (FY11) and $638,000 (FY15), with the most recent year (FY17) losing $410,000. The projected net loss for FY19 is higher than usual, in part due to reduced product revenue, ad sales and other earned income but also due to investments such as the cost share for the Inclusive Internship Initiative and continued expansion of DigitalLearn.</w:t>
      </w:r>
    </w:p>
    <w:p w14:paraId="7ED152D8" w14:textId="77777777" w:rsidR="00537A47" w:rsidRPr="00B561F1" w:rsidRDefault="00537A47" w:rsidP="00066FDA">
      <w:pPr>
        <w:rPr>
          <w:rFonts w:asciiTheme="minorHAnsi" w:hAnsiTheme="minorHAnsi" w:cstheme="minorHAnsi"/>
        </w:rPr>
      </w:pPr>
    </w:p>
    <w:tbl>
      <w:tblPr>
        <w:tblStyle w:val="TableGrid"/>
        <w:tblW w:w="0" w:type="auto"/>
        <w:tblInd w:w="855" w:type="dxa"/>
        <w:tblLook w:val="04A0" w:firstRow="1" w:lastRow="0" w:firstColumn="1" w:lastColumn="0" w:noHBand="0" w:noVBand="1"/>
      </w:tblPr>
      <w:tblGrid>
        <w:gridCol w:w="761"/>
        <w:gridCol w:w="2767"/>
        <w:gridCol w:w="687"/>
        <w:gridCol w:w="2681"/>
      </w:tblGrid>
      <w:tr w:rsidR="00537A47" w:rsidRPr="00B561F1" w14:paraId="2214B677" w14:textId="77777777" w:rsidTr="00592D90">
        <w:trPr>
          <w:trHeight w:val="300"/>
        </w:trPr>
        <w:tc>
          <w:tcPr>
            <w:tcW w:w="3528" w:type="dxa"/>
            <w:gridSpan w:val="2"/>
            <w:noWrap/>
            <w:hideMark/>
          </w:tcPr>
          <w:p w14:paraId="3F643316" w14:textId="77777777" w:rsidR="00537A47" w:rsidRPr="00B561F1" w:rsidRDefault="00537A47">
            <w:pPr>
              <w:rPr>
                <w:rFonts w:asciiTheme="minorHAnsi" w:hAnsiTheme="minorHAnsi" w:cstheme="minorHAnsi"/>
                <w:b/>
                <w:bCs/>
              </w:rPr>
            </w:pPr>
            <w:r w:rsidRPr="00B561F1">
              <w:rPr>
                <w:rFonts w:asciiTheme="minorHAnsi" w:hAnsiTheme="minorHAnsi" w:cstheme="minorHAnsi"/>
                <w:b/>
                <w:bCs/>
              </w:rPr>
              <w:t>Conference Years</w:t>
            </w:r>
          </w:p>
        </w:tc>
        <w:tc>
          <w:tcPr>
            <w:tcW w:w="3368" w:type="dxa"/>
            <w:gridSpan w:val="2"/>
            <w:noWrap/>
            <w:hideMark/>
          </w:tcPr>
          <w:p w14:paraId="0208AE55" w14:textId="77777777" w:rsidR="00537A47" w:rsidRPr="00B561F1" w:rsidRDefault="00537A47">
            <w:pPr>
              <w:rPr>
                <w:rFonts w:asciiTheme="minorHAnsi" w:hAnsiTheme="minorHAnsi" w:cstheme="minorHAnsi"/>
                <w:b/>
                <w:bCs/>
              </w:rPr>
            </w:pPr>
            <w:r w:rsidRPr="00B561F1">
              <w:rPr>
                <w:rFonts w:asciiTheme="minorHAnsi" w:hAnsiTheme="minorHAnsi" w:cstheme="minorHAnsi"/>
                <w:b/>
                <w:bCs/>
              </w:rPr>
              <w:t>Nonconference Years</w:t>
            </w:r>
          </w:p>
        </w:tc>
      </w:tr>
      <w:tr w:rsidR="00592D90" w:rsidRPr="00B561F1" w14:paraId="03E52A64" w14:textId="77777777" w:rsidTr="00C63590">
        <w:trPr>
          <w:trHeight w:val="300"/>
        </w:trPr>
        <w:tc>
          <w:tcPr>
            <w:tcW w:w="761" w:type="dxa"/>
            <w:noWrap/>
          </w:tcPr>
          <w:p w14:paraId="0FA8C6EE" w14:textId="18411E92" w:rsidR="00592D90" w:rsidRPr="00B561F1" w:rsidRDefault="00592D90">
            <w:pPr>
              <w:rPr>
                <w:rFonts w:asciiTheme="minorHAnsi" w:hAnsiTheme="minorHAnsi" w:cstheme="minorHAnsi"/>
              </w:rPr>
            </w:pPr>
          </w:p>
        </w:tc>
        <w:tc>
          <w:tcPr>
            <w:tcW w:w="2767" w:type="dxa"/>
            <w:noWrap/>
          </w:tcPr>
          <w:p w14:paraId="58E45ED1" w14:textId="698B18BE" w:rsidR="00592D90" w:rsidRPr="00B561F1" w:rsidRDefault="00592D90" w:rsidP="00537A47">
            <w:pPr>
              <w:rPr>
                <w:rFonts w:asciiTheme="minorHAnsi" w:hAnsiTheme="minorHAnsi" w:cstheme="minorHAnsi"/>
              </w:rPr>
            </w:pPr>
          </w:p>
        </w:tc>
        <w:tc>
          <w:tcPr>
            <w:tcW w:w="687" w:type="dxa"/>
            <w:noWrap/>
            <w:hideMark/>
          </w:tcPr>
          <w:p w14:paraId="4C166745" w14:textId="77777777" w:rsidR="00592D90" w:rsidRPr="00B561F1" w:rsidRDefault="00592D90">
            <w:pPr>
              <w:rPr>
                <w:rFonts w:asciiTheme="minorHAnsi" w:hAnsiTheme="minorHAnsi" w:cstheme="minorHAnsi"/>
              </w:rPr>
            </w:pPr>
            <w:r w:rsidRPr="00B561F1">
              <w:rPr>
                <w:rFonts w:asciiTheme="minorHAnsi" w:hAnsiTheme="minorHAnsi" w:cstheme="minorHAnsi"/>
              </w:rPr>
              <w:t>FY07</w:t>
            </w:r>
          </w:p>
        </w:tc>
        <w:tc>
          <w:tcPr>
            <w:tcW w:w="2681" w:type="dxa"/>
            <w:noWrap/>
            <w:hideMark/>
          </w:tcPr>
          <w:p w14:paraId="128498C3" w14:textId="77777777" w:rsidR="00592D90" w:rsidRPr="00B561F1" w:rsidRDefault="00592D90" w:rsidP="00537A47">
            <w:pPr>
              <w:rPr>
                <w:rFonts w:asciiTheme="minorHAnsi" w:hAnsiTheme="minorHAnsi" w:cstheme="minorHAnsi"/>
              </w:rPr>
            </w:pPr>
            <w:r w:rsidRPr="00B561F1">
              <w:rPr>
                <w:rFonts w:asciiTheme="minorHAnsi" w:hAnsiTheme="minorHAnsi" w:cstheme="minorHAnsi"/>
              </w:rPr>
              <w:t>($757,499)</w:t>
            </w:r>
          </w:p>
        </w:tc>
      </w:tr>
      <w:tr w:rsidR="00592D90" w:rsidRPr="00B561F1" w14:paraId="67933B6A" w14:textId="77777777" w:rsidTr="00C63590">
        <w:trPr>
          <w:trHeight w:val="300"/>
        </w:trPr>
        <w:tc>
          <w:tcPr>
            <w:tcW w:w="761" w:type="dxa"/>
            <w:noWrap/>
            <w:hideMark/>
          </w:tcPr>
          <w:p w14:paraId="0997DEA0" w14:textId="508BE5BD" w:rsidR="00592D90" w:rsidRPr="00B561F1" w:rsidRDefault="00592D90">
            <w:pPr>
              <w:rPr>
                <w:rFonts w:asciiTheme="minorHAnsi" w:hAnsiTheme="minorHAnsi" w:cstheme="minorHAnsi"/>
              </w:rPr>
            </w:pPr>
            <w:r w:rsidRPr="00B561F1">
              <w:rPr>
                <w:rFonts w:asciiTheme="minorHAnsi" w:hAnsiTheme="minorHAnsi" w:cstheme="minorHAnsi"/>
              </w:rPr>
              <w:t>FY08</w:t>
            </w:r>
          </w:p>
        </w:tc>
        <w:tc>
          <w:tcPr>
            <w:tcW w:w="2767" w:type="dxa"/>
            <w:noWrap/>
            <w:hideMark/>
          </w:tcPr>
          <w:p w14:paraId="22445E9E" w14:textId="79D4C304" w:rsidR="00592D90" w:rsidRPr="00B561F1" w:rsidRDefault="00592D90" w:rsidP="00537A47">
            <w:pPr>
              <w:rPr>
                <w:rFonts w:asciiTheme="minorHAnsi" w:hAnsiTheme="minorHAnsi" w:cstheme="minorHAnsi"/>
              </w:rPr>
            </w:pPr>
            <w:r w:rsidRPr="00B561F1">
              <w:rPr>
                <w:rFonts w:asciiTheme="minorHAnsi" w:hAnsiTheme="minorHAnsi" w:cstheme="minorHAnsi"/>
              </w:rPr>
              <w:t xml:space="preserve">$747,353 </w:t>
            </w:r>
          </w:p>
        </w:tc>
        <w:tc>
          <w:tcPr>
            <w:tcW w:w="687" w:type="dxa"/>
            <w:noWrap/>
            <w:hideMark/>
          </w:tcPr>
          <w:p w14:paraId="33EE999B" w14:textId="77777777" w:rsidR="00592D90" w:rsidRPr="00B561F1" w:rsidRDefault="00592D90">
            <w:pPr>
              <w:rPr>
                <w:rFonts w:asciiTheme="minorHAnsi" w:hAnsiTheme="minorHAnsi" w:cstheme="minorHAnsi"/>
              </w:rPr>
            </w:pPr>
            <w:r w:rsidRPr="00B561F1">
              <w:rPr>
                <w:rFonts w:asciiTheme="minorHAnsi" w:hAnsiTheme="minorHAnsi" w:cstheme="minorHAnsi"/>
              </w:rPr>
              <w:t>FY09</w:t>
            </w:r>
          </w:p>
        </w:tc>
        <w:tc>
          <w:tcPr>
            <w:tcW w:w="2681" w:type="dxa"/>
            <w:noWrap/>
            <w:hideMark/>
          </w:tcPr>
          <w:p w14:paraId="6387B0B7" w14:textId="77777777" w:rsidR="00592D90" w:rsidRPr="00B561F1" w:rsidRDefault="00592D90" w:rsidP="00537A47">
            <w:pPr>
              <w:rPr>
                <w:rFonts w:asciiTheme="minorHAnsi" w:hAnsiTheme="minorHAnsi" w:cstheme="minorHAnsi"/>
              </w:rPr>
            </w:pPr>
            <w:r w:rsidRPr="00B561F1">
              <w:rPr>
                <w:rFonts w:asciiTheme="minorHAnsi" w:hAnsiTheme="minorHAnsi" w:cstheme="minorHAnsi"/>
              </w:rPr>
              <w:t>($626,184)</w:t>
            </w:r>
          </w:p>
        </w:tc>
      </w:tr>
      <w:tr w:rsidR="00592D90" w:rsidRPr="00B561F1" w14:paraId="556F3C8E" w14:textId="77777777" w:rsidTr="00C63590">
        <w:trPr>
          <w:trHeight w:val="300"/>
        </w:trPr>
        <w:tc>
          <w:tcPr>
            <w:tcW w:w="761" w:type="dxa"/>
            <w:noWrap/>
            <w:hideMark/>
          </w:tcPr>
          <w:p w14:paraId="165B30AB" w14:textId="2E887AEB" w:rsidR="00592D90" w:rsidRPr="00B561F1" w:rsidRDefault="00592D90">
            <w:pPr>
              <w:rPr>
                <w:rFonts w:asciiTheme="minorHAnsi" w:hAnsiTheme="minorHAnsi" w:cstheme="minorHAnsi"/>
              </w:rPr>
            </w:pPr>
            <w:r w:rsidRPr="00B561F1">
              <w:rPr>
                <w:rFonts w:asciiTheme="minorHAnsi" w:hAnsiTheme="minorHAnsi" w:cstheme="minorHAnsi"/>
              </w:rPr>
              <w:t>FY10</w:t>
            </w:r>
          </w:p>
        </w:tc>
        <w:tc>
          <w:tcPr>
            <w:tcW w:w="2767" w:type="dxa"/>
            <w:noWrap/>
            <w:hideMark/>
          </w:tcPr>
          <w:p w14:paraId="4366DDD2" w14:textId="6CBB7DC6" w:rsidR="00592D90" w:rsidRPr="00B561F1" w:rsidRDefault="00592D90" w:rsidP="00537A47">
            <w:pPr>
              <w:rPr>
                <w:rFonts w:asciiTheme="minorHAnsi" w:hAnsiTheme="minorHAnsi" w:cstheme="minorHAnsi"/>
              </w:rPr>
            </w:pPr>
            <w:r w:rsidRPr="00B561F1">
              <w:rPr>
                <w:rFonts w:asciiTheme="minorHAnsi" w:hAnsiTheme="minorHAnsi" w:cstheme="minorHAnsi"/>
              </w:rPr>
              <w:t xml:space="preserve">$1,047,290 </w:t>
            </w:r>
          </w:p>
        </w:tc>
        <w:tc>
          <w:tcPr>
            <w:tcW w:w="687" w:type="dxa"/>
            <w:noWrap/>
            <w:hideMark/>
          </w:tcPr>
          <w:p w14:paraId="5C58A8FD" w14:textId="77777777" w:rsidR="00592D90" w:rsidRPr="00B561F1" w:rsidRDefault="00592D90">
            <w:pPr>
              <w:rPr>
                <w:rFonts w:asciiTheme="minorHAnsi" w:hAnsiTheme="minorHAnsi" w:cstheme="minorHAnsi"/>
              </w:rPr>
            </w:pPr>
            <w:r w:rsidRPr="00B561F1">
              <w:rPr>
                <w:rFonts w:asciiTheme="minorHAnsi" w:hAnsiTheme="minorHAnsi" w:cstheme="minorHAnsi"/>
              </w:rPr>
              <w:t>FY11</w:t>
            </w:r>
          </w:p>
        </w:tc>
        <w:tc>
          <w:tcPr>
            <w:tcW w:w="2681" w:type="dxa"/>
            <w:noWrap/>
            <w:hideMark/>
          </w:tcPr>
          <w:p w14:paraId="5057DABC" w14:textId="77777777" w:rsidR="00592D90" w:rsidRPr="00B561F1" w:rsidRDefault="00592D90" w:rsidP="00537A47">
            <w:pPr>
              <w:rPr>
                <w:rFonts w:asciiTheme="minorHAnsi" w:hAnsiTheme="minorHAnsi" w:cstheme="minorHAnsi"/>
              </w:rPr>
            </w:pPr>
            <w:r w:rsidRPr="00B561F1">
              <w:rPr>
                <w:rFonts w:asciiTheme="minorHAnsi" w:hAnsiTheme="minorHAnsi" w:cstheme="minorHAnsi"/>
              </w:rPr>
              <w:t>($140,245)</w:t>
            </w:r>
          </w:p>
        </w:tc>
      </w:tr>
      <w:tr w:rsidR="00592D90" w:rsidRPr="00B561F1" w14:paraId="5CE823E3" w14:textId="77777777" w:rsidTr="00C63590">
        <w:trPr>
          <w:trHeight w:val="300"/>
        </w:trPr>
        <w:tc>
          <w:tcPr>
            <w:tcW w:w="761" w:type="dxa"/>
            <w:noWrap/>
            <w:hideMark/>
          </w:tcPr>
          <w:p w14:paraId="277300C2" w14:textId="599BED7F" w:rsidR="00592D90" w:rsidRPr="00B561F1" w:rsidRDefault="00592D90">
            <w:pPr>
              <w:rPr>
                <w:rFonts w:asciiTheme="minorHAnsi" w:hAnsiTheme="minorHAnsi" w:cstheme="minorHAnsi"/>
              </w:rPr>
            </w:pPr>
            <w:r w:rsidRPr="00B561F1">
              <w:rPr>
                <w:rFonts w:asciiTheme="minorHAnsi" w:hAnsiTheme="minorHAnsi" w:cstheme="minorHAnsi"/>
              </w:rPr>
              <w:t>FY12</w:t>
            </w:r>
          </w:p>
        </w:tc>
        <w:tc>
          <w:tcPr>
            <w:tcW w:w="2767" w:type="dxa"/>
            <w:noWrap/>
            <w:hideMark/>
          </w:tcPr>
          <w:p w14:paraId="01F0DEE8" w14:textId="01DD2918" w:rsidR="00592D90" w:rsidRPr="00B561F1" w:rsidRDefault="00592D90" w:rsidP="00537A47">
            <w:pPr>
              <w:rPr>
                <w:rFonts w:asciiTheme="minorHAnsi" w:hAnsiTheme="minorHAnsi" w:cstheme="minorHAnsi"/>
              </w:rPr>
            </w:pPr>
            <w:r w:rsidRPr="00B561F1">
              <w:rPr>
                <w:rFonts w:asciiTheme="minorHAnsi" w:hAnsiTheme="minorHAnsi" w:cstheme="minorHAnsi"/>
              </w:rPr>
              <w:t xml:space="preserve">$1,079,528 </w:t>
            </w:r>
          </w:p>
        </w:tc>
        <w:tc>
          <w:tcPr>
            <w:tcW w:w="687" w:type="dxa"/>
            <w:noWrap/>
            <w:hideMark/>
          </w:tcPr>
          <w:p w14:paraId="10A42840" w14:textId="77777777" w:rsidR="00592D90" w:rsidRPr="00B561F1" w:rsidRDefault="00592D90">
            <w:pPr>
              <w:rPr>
                <w:rFonts w:asciiTheme="minorHAnsi" w:hAnsiTheme="minorHAnsi" w:cstheme="minorHAnsi"/>
              </w:rPr>
            </w:pPr>
            <w:r w:rsidRPr="00B561F1">
              <w:rPr>
                <w:rFonts w:asciiTheme="minorHAnsi" w:hAnsiTheme="minorHAnsi" w:cstheme="minorHAnsi"/>
              </w:rPr>
              <w:t>FY13</w:t>
            </w:r>
          </w:p>
        </w:tc>
        <w:tc>
          <w:tcPr>
            <w:tcW w:w="2681" w:type="dxa"/>
            <w:noWrap/>
            <w:hideMark/>
          </w:tcPr>
          <w:p w14:paraId="04A8DB0D" w14:textId="77777777" w:rsidR="00592D90" w:rsidRPr="00B561F1" w:rsidRDefault="00592D90" w:rsidP="00537A47">
            <w:pPr>
              <w:rPr>
                <w:rFonts w:asciiTheme="minorHAnsi" w:hAnsiTheme="minorHAnsi" w:cstheme="minorHAnsi"/>
              </w:rPr>
            </w:pPr>
            <w:r w:rsidRPr="00B561F1">
              <w:rPr>
                <w:rFonts w:asciiTheme="minorHAnsi" w:hAnsiTheme="minorHAnsi" w:cstheme="minorHAnsi"/>
              </w:rPr>
              <w:t>($359,323)</w:t>
            </w:r>
          </w:p>
        </w:tc>
      </w:tr>
      <w:tr w:rsidR="00592D90" w:rsidRPr="00B561F1" w14:paraId="2ECA49D5" w14:textId="77777777" w:rsidTr="00C63590">
        <w:trPr>
          <w:trHeight w:val="300"/>
        </w:trPr>
        <w:tc>
          <w:tcPr>
            <w:tcW w:w="761" w:type="dxa"/>
            <w:noWrap/>
            <w:hideMark/>
          </w:tcPr>
          <w:p w14:paraId="50B5B513" w14:textId="2FED1FF2" w:rsidR="00592D90" w:rsidRPr="00B561F1" w:rsidRDefault="00592D90">
            <w:pPr>
              <w:rPr>
                <w:rFonts w:asciiTheme="minorHAnsi" w:hAnsiTheme="minorHAnsi" w:cstheme="minorHAnsi"/>
              </w:rPr>
            </w:pPr>
            <w:r w:rsidRPr="00B561F1">
              <w:rPr>
                <w:rFonts w:asciiTheme="minorHAnsi" w:hAnsiTheme="minorHAnsi" w:cstheme="minorHAnsi"/>
              </w:rPr>
              <w:t>FY14</w:t>
            </w:r>
          </w:p>
        </w:tc>
        <w:tc>
          <w:tcPr>
            <w:tcW w:w="2767" w:type="dxa"/>
            <w:noWrap/>
            <w:hideMark/>
          </w:tcPr>
          <w:p w14:paraId="65F06C2C" w14:textId="13943503" w:rsidR="00592D90" w:rsidRPr="00B561F1" w:rsidRDefault="00592D90" w:rsidP="00537A47">
            <w:pPr>
              <w:rPr>
                <w:rFonts w:asciiTheme="minorHAnsi" w:hAnsiTheme="minorHAnsi" w:cstheme="minorHAnsi"/>
              </w:rPr>
            </w:pPr>
            <w:r w:rsidRPr="00B561F1">
              <w:rPr>
                <w:rFonts w:asciiTheme="minorHAnsi" w:hAnsiTheme="minorHAnsi" w:cstheme="minorHAnsi"/>
              </w:rPr>
              <w:t xml:space="preserve">$1,292,514 </w:t>
            </w:r>
          </w:p>
        </w:tc>
        <w:tc>
          <w:tcPr>
            <w:tcW w:w="687" w:type="dxa"/>
            <w:noWrap/>
            <w:hideMark/>
          </w:tcPr>
          <w:p w14:paraId="5372BEC2" w14:textId="77777777" w:rsidR="00592D90" w:rsidRPr="00B561F1" w:rsidRDefault="00592D90">
            <w:pPr>
              <w:rPr>
                <w:rFonts w:asciiTheme="minorHAnsi" w:hAnsiTheme="minorHAnsi" w:cstheme="minorHAnsi"/>
              </w:rPr>
            </w:pPr>
            <w:r w:rsidRPr="00B561F1">
              <w:rPr>
                <w:rFonts w:asciiTheme="minorHAnsi" w:hAnsiTheme="minorHAnsi" w:cstheme="minorHAnsi"/>
              </w:rPr>
              <w:t>FY15</w:t>
            </w:r>
          </w:p>
        </w:tc>
        <w:tc>
          <w:tcPr>
            <w:tcW w:w="2681" w:type="dxa"/>
            <w:noWrap/>
            <w:hideMark/>
          </w:tcPr>
          <w:p w14:paraId="740CEC18" w14:textId="77777777" w:rsidR="00592D90" w:rsidRPr="00B561F1" w:rsidRDefault="00592D90" w:rsidP="00537A47">
            <w:pPr>
              <w:rPr>
                <w:rFonts w:asciiTheme="minorHAnsi" w:hAnsiTheme="minorHAnsi" w:cstheme="minorHAnsi"/>
              </w:rPr>
            </w:pPr>
            <w:r w:rsidRPr="00B561F1">
              <w:rPr>
                <w:rFonts w:asciiTheme="minorHAnsi" w:hAnsiTheme="minorHAnsi" w:cstheme="minorHAnsi"/>
              </w:rPr>
              <w:t>($638,404)</w:t>
            </w:r>
          </w:p>
        </w:tc>
      </w:tr>
      <w:tr w:rsidR="00592D90" w:rsidRPr="00B561F1" w14:paraId="14F40CB5" w14:textId="77777777" w:rsidTr="00C63590">
        <w:trPr>
          <w:trHeight w:val="300"/>
        </w:trPr>
        <w:tc>
          <w:tcPr>
            <w:tcW w:w="761" w:type="dxa"/>
            <w:noWrap/>
            <w:hideMark/>
          </w:tcPr>
          <w:p w14:paraId="217F46A0" w14:textId="373A20CA" w:rsidR="00592D90" w:rsidRPr="00B561F1" w:rsidRDefault="00592D90">
            <w:pPr>
              <w:rPr>
                <w:rFonts w:asciiTheme="minorHAnsi" w:hAnsiTheme="minorHAnsi" w:cstheme="minorHAnsi"/>
              </w:rPr>
            </w:pPr>
            <w:r w:rsidRPr="00B561F1">
              <w:rPr>
                <w:rFonts w:asciiTheme="minorHAnsi" w:hAnsiTheme="minorHAnsi" w:cstheme="minorHAnsi"/>
              </w:rPr>
              <w:t>FY16</w:t>
            </w:r>
          </w:p>
        </w:tc>
        <w:tc>
          <w:tcPr>
            <w:tcW w:w="2767" w:type="dxa"/>
            <w:noWrap/>
            <w:hideMark/>
          </w:tcPr>
          <w:p w14:paraId="2AC51E3A" w14:textId="05A2AAA2" w:rsidR="00592D90" w:rsidRPr="00B561F1" w:rsidRDefault="00592D90" w:rsidP="00537A47">
            <w:pPr>
              <w:rPr>
                <w:rFonts w:asciiTheme="minorHAnsi" w:hAnsiTheme="minorHAnsi" w:cstheme="minorHAnsi"/>
              </w:rPr>
            </w:pPr>
            <w:r w:rsidRPr="00B561F1">
              <w:rPr>
                <w:rFonts w:asciiTheme="minorHAnsi" w:hAnsiTheme="minorHAnsi" w:cstheme="minorHAnsi"/>
              </w:rPr>
              <w:t xml:space="preserve">$916,109 </w:t>
            </w:r>
          </w:p>
        </w:tc>
        <w:tc>
          <w:tcPr>
            <w:tcW w:w="687" w:type="dxa"/>
            <w:noWrap/>
            <w:hideMark/>
          </w:tcPr>
          <w:p w14:paraId="67255017" w14:textId="77777777" w:rsidR="00592D90" w:rsidRPr="00B561F1" w:rsidRDefault="00592D90">
            <w:pPr>
              <w:rPr>
                <w:rFonts w:asciiTheme="minorHAnsi" w:hAnsiTheme="minorHAnsi" w:cstheme="minorHAnsi"/>
              </w:rPr>
            </w:pPr>
            <w:r w:rsidRPr="00B561F1">
              <w:rPr>
                <w:rFonts w:asciiTheme="minorHAnsi" w:hAnsiTheme="minorHAnsi" w:cstheme="minorHAnsi"/>
              </w:rPr>
              <w:t>FY17</w:t>
            </w:r>
          </w:p>
        </w:tc>
        <w:tc>
          <w:tcPr>
            <w:tcW w:w="2681" w:type="dxa"/>
            <w:noWrap/>
            <w:hideMark/>
          </w:tcPr>
          <w:p w14:paraId="1D7E64F7" w14:textId="77777777" w:rsidR="00592D90" w:rsidRPr="00B561F1" w:rsidRDefault="00592D90" w:rsidP="00537A47">
            <w:pPr>
              <w:rPr>
                <w:rFonts w:asciiTheme="minorHAnsi" w:hAnsiTheme="minorHAnsi" w:cstheme="minorHAnsi"/>
              </w:rPr>
            </w:pPr>
            <w:r w:rsidRPr="00B561F1">
              <w:rPr>
                <w:rFonts w:asciiTheme="minorHAnsi" w:hAnsiTheme="minorHAnsi" w:cstheme="minorHAnsi"/>
              </w:rPr>
              <w:t>($410,726)</w:t>
            </w:r>
          </w:p>
        </w:tc>
      </w:tr>
      <w:tr w:rsidR="00592D90" w:rsidRPr="00B561F1" w14:paraId="24D1C4F7" w14:textId="77777777" w:rsidTr="00C63590">
        <w:trPr>
          <w:trHeight w:val="300"/>
        </w:trPr>
        <w:tc>
          <w:tcPr>
            <w:tcW w:w="761" w:type="dxa"/>
            <w:noWrap/>
            <w:hideMark/>
          </w:tcPr>
          <w:p w14:paraId="71983F56" w14:textId="4C78C924" w:rsidR="00592D90" w:rsidRPr="00B561F1" w:rsidRDefault="00592D90">
            <w:pPr>
              <w:rPr>
                <w:rFonts w:asciiTheme="minorHAnsi" w:hAnsiTheme="minorHAnsi" w:cstheme="minorHAnsi"/>
              </w:rPr>
            </w:pPr>
            <w:r w:rsidRPr="00B561F1">
              <w:rPr>
                <w:rFonts w:asciiTheme="minorHAnsi" w:hAnsiTheme="minorHAnsi" w:cstheme="minorHAnsi"/>
              </w:rPr>
              <w:t>FY18</w:t>
            </w:r>
          </w:p>
        </w:tc>
        <w:tc>
          <w:tcPr>
            <w:tcW w:w="2767" w:type="dxa"/>
            <w:noWrap/>
            <w:hideMark/>
          </w:tcPr>
          <w:p w14:paraId="78C2C04C" w14:textId="50C93E12" w:rsidR="00592D90" w:rsidRPr="00B561F1" w:rsidRDefault="00592D90">
            <w:pPr>
              <w:rPr>
                <w:rFonts w:asciiTheme="minorHAnsi" w:hAnsiTheme="minorHAnsi" w:cstheme="minorHAnsi"/>
              </w:rPr>
            </w:pPr>
            <w:r w:rsidRPr="00B561F1">
              <w:rPr>
                <w:rFonts w:asciiTheme="minorHAnsi" w:hAnsiTheme="minorHAnsi" w:cstheme="minorHAnsi"/>
              </w:rPr>
              <w:t xml:space="preserve">$812,546 </w:t>
            </w:r>
          </w:p>
        </w:tc>
        <w:tc>
          <w:tcPr>
            <w:tcW w:w="687" w:type="dxa"/>
            <w:noWrap/>
            <w:hideMark/>
          </w:tcPr>
          <w:p w14:paraId="62581FC4" w14:textId="77777777" w:rsidR="00592D90" w:rsidRPr="00B561F1" w:rsidRDefault="00592D90">
            <w:pPr>
              <w:rPr>
                <w:rFonts w:asciiTheme="minorHAnsi" w:hAnsiTheme="minorHAnsi" w:cstheme="minorHAnsi"/>
              </w:rPr>
            </w:pPr>
            <w:r w:rsidRPr="00B561F1">
              <w:rPr>
                <w:rFonts w:asciiTheme="minorHAnsi" w:hAnsiTheme="minorHAnsi" w:cstheme="minorHAnsi"/>
              </w:rPr>
              <w:t>FY19</w:t>
            </w:r>
          </w:p>
        </w:tc>
        <w:tc>
          <w:tcPr>
            <w:tcW w:w="2681" w:type="dxa"/>
            <w:noWrap/>
            <w:hideMark/>
          </w:tcPr>
          <w:p w14:paraId="69C77B4A" w14:textId="77777777" w:rsidR="00592D90" w:rsidRPr="00B561F1" w:rsidRDefault="00592D90" w:rsidP="00537A47">
            <w:pPr>
              <w:rPr>
                <w:rFonts w:asciiTheme="minorHAnsi" w:hAnsiTheme="minorHAnsi" w:cstheme="minorHAnsi"/>
              </w:rPr>
            </w:pPr>
            <w:r w:rsidRPr="00B561F1">
              <w:rPr>
                <w:rFonts w:asciiTheme="minorHAnsi" w:hAnsiTheme="minorHAnsi" w:cstheme="minorHAnsi"/>
              </w:rPr>
              <w:t>($749,540) (projected)</w:t>
            </w:r>
          </w:p>
        </w:tc>
      </w:tr>
    </w:tbl>
    <w:p w14:paraId="1E7DED9B" w14:textId="77777777" w:rsidR="00537A47" w:rsidRPr="00B561F1" w:rsidRDefault="00537A47" w:rsidP="00066FDA">
      <w:pPr>
        <w:rPr>
          <w:rFonts w:asciiTheme="minorHAnsi" w:hAnsiTheme="minorHAnsi" w:cstheme="minorHAnsi"/>
        </w:rPr>
      </w:pPr>
    </w:p>
    <w:p w14:paraId="60111DC9" w14:textId="77777777" w:rsidR="00D1600D" w:rsidRPr="00B561F1" w:rsidRDefault="00974C47" w:rsidP="00066FDA">
      <w:pPr>
        <w:rPr>
          <w:rFonts w:asciiTheme="minorHAnsi" w:hAnsiTheme="minorHAnsi" w:cstheme="minorHAnsi"/>
        </w:rPr>
      </w:pPr>
      <w:r w:rsidRPr="00B561F1">
        <w:rPr>
          <w:rFonts w:asciiTheme="minorHAnsi" w:hAnsiTheme="minorHAnsi" w:cstheme="minorHAnsi"/>
        </w:rPr>
        <w:lastRenderedPageBreak/>
        <w:t xml:space="preserve">In FY19, PLA’s revenue will be split 73% to 27% grants </w:t>
      </w:r>
      <w:r w:rsidR="00316C04" w:rsidRPr="00B561F1">
        <w:rPr>
          <w:rFonts w:asciiTheme="minorHAnsi" w:hAnsiTheme="minorHAnsi" w:cstheme="minorHAnsi"/>
        </w:rPr>
        <w:t>versu</w:t>
      </w:r>
      <w:r w:rsidR="00C87549">
        <w:rPr>
          <w:rFonts w:asciiTheme="minorHAnsi" w:hAnsiTheme="minorHAnsi" w:cstheme="minorHAnsi"/>
        </w:rPr>
        <w:t>s</w:t>
      </w:r>
      <w:r w:rsidRPr="00B561F1">
        <w:rPr>
          <w:rFonts w:asciiTheme="minorHAnsi" w:hAnsiTheme="minorHAnsi" w:cstheme="minorHAnsi"/>
        </w:rPr>
        <w:t xml:space="preserve"> dues and program income. PLA is budgeted to provide ALA with $366,000 in overhead. PLA’s contributions to ALA overhead in recent yea</w:t>
      </w:r>
      <w:r w:rsidR="00B33D93" w:rsidRPr="00B561F1">
        <w:rPr>
          <w:rFonts w:asciiTheme="minorHAnsi" w:hAnsiTheme="minorHAnsi" w:cstheme="minorHAnsi"/>
        </w:rPr>
        <w:t>r</w:t>
      </w:r>
      <w:r w:rsidRPr="00B561F1">
        <w:rPr>
          <w:rFonts w:asciiTheme="minorHAnsi" w:hAnsiTheme="minorHAnsi" w:cstheme="minorHAnsi"/>
        </w:rPr>
        <w:t>s have been $1.24 million (FY18), $</w:t>
      </w:r>
      <w:r w:rsidR="00B33D93" w:rsidRPr="00B561F1">
        <w:rPr>
          <w:rFonts w:asciiTheme="minorHAnsi" w:hAnsiTheme="minorHAnsi" w:cstheme="minorHAnsi"/>
        </w:rPr>
        <w:t>310,000</w:t>
      </w:r>
      <w:r w:rsidRPr="00B561F1">
        <w:rPr>
          <w:rFonts w:asciiTheme="minorHAnsi" w:hAnsiTheme="minorHAnsi" w:cstheme="minorHAnsi"/>
        </w:rPr>
        <w:t xml:space="preserve"> (FY17),</w:t>
      </w:r>
      <w:r w:rsidR="00B33D93" w:rsidRPr="00B561F1">
        <w:rPr>
          <w:rFonts w:asciiTheme="minorHAnsi" w:hAnsiTheme="minorHAnsi" w:cstheme="minorHAnsi"/>
        </w:rPr>
        <w:t xml:space="preserve"> and $967,000</w:t>
      </w:r>
      <w:r w:rsidRPr="00B561F1">
        <w:rPr>
          <w:rFonts w:asciiTheme="minorHAnsi" w:hAnsiTheme="minorHAnsi" w:cstheme="minorHAnsi"/>
        </w:rPr>
        <w:t xml:space="preserve"> (FY16).</w:t>
      </w:r>
    </w:p>
    <w:p w14:paraId="0BB096FE" w14:textId="77777777" w:rsidR="00974C47" w:rsidRPr="00B561F1" w:rsidRDefault="00974C47" w:rsidP="00066FDA">
      <w:pPr>
        <w:rPr>
          <w:rFonts w:asciiTheme="minorHAnsi" w:hAnsiTheme="minorHAnsi" w:cstheme="minorHAnsi"/>
        </w:rPr>
      </w:pPr>
    </w:p>
    <w:p w14:paraId="109D4221" w14:textId="77777777" w:rsidR="00974C47" w:rsidRPr="00B561F1" w:rsidRDefault="00974C47" w:rsidP="00066FDA">
      <w:pPr>
        <w:rPr>
          <w:rFonts w:asciiTheme="minorHAnsi" w:hAnsiTheme="minorHAnsi" w:cstheme="minorHAnsi"/>
          <w:b/>
        </w:rPr>
      </w:pPr>
      <w:r w:rsidRPr="00B561F1">
        <w:rPr>
          <w:rFonts w:asciiTheme="minorHAnsi" w:hAnsiTheme="minorHAnsi" w:cstheme="minorHAnsi"/>
          <w:b/>
        </w:rPr>
        <w:t>FY19 Budget as of November 2018</w:t>
      </w:r>
    </w:p>
    <w:p w14:paraId="7BFE93C6" w14:textId="77777777" w:rsidR="00DB0302" w:rsidRPr="00B561F1" w:rsidRDefault="00DB0302" w:rsidP="00066FDA">
      <w:pPr>
        <w:rPr>
          <w:rFonts w:asciiTheme="minorHAnsi" w:hAnsiTheme="minorHAnsi" w:cstheme="minorHAnsi"/>
        </w:rPr>
      </w:pPr>
    </w:p>
    <w:p w14:paraId="7077FE13" w14:textId="77777777" w:rsidR="00DB0302" w:rsidRPr="00B561F1" w:rsidRDefault="00DB0302" w:rsidP="00066FDA">
      <w:pPr>
        <w:rPr>
          <w:rFonts w:asciiTheme="minorHAnsi" w:hAnsiTheme="minorHAnsi" w:cstheme="minorHAnsi"/>
          <w:u w:val="single"/>
        </w:rPr>
      </w:pPr>
      <w:r w:rsidRPr="00B561F1">
        <w:rPr>
          <w:rFonts w:asciiTheme="minorHAnsi" w:hAnsiTheme="minorHAnsi" w:cstheme="minorHAnsi"/>
          <w:u w:val="single"/>
        </w:rPr>
        <w:t>Operating Budget</w:t>
      </w:r>
    </w:p>
    <w:p w14:paraId="465B1584" w14:textId="77777777" w:rsidR="00FF3821" w:rsidRPr="00B561F1" w:rsidRDefault="00FF3821" w:rsidP="00066FDA">
      <w:pPr>
        <w:rPr>
          <w:rFonts w:asciiTheme="minorHAnsi" w:hAnsiTheme="minorHAnsi" w:cstheme="minorHAnsi"/>
        </w:rPr>
      </w:pPr>
      <w:r w:rsidRPr="00B561F1">
        <w:rPr>
          <w:rFonts w:asciiTheme="minorHAnsi" w:hAnsiTheme="minorHAnsi" w:cstheme="minorHAnsi"/>
        </w:rPr>
        <w:t xml:space="preserve">As of November 2018, PLA is generally on target in its operating budget, with an operating loss of $167,000 compared to a budgeted operating loss of $171,000, which represents a 3% variance. </w:t>
      </w:r>
    </w:p>
    <w:p w14:paraId="2F55311C" w14:textId="77777777" w:rsidR="00CA080C" w:rsidRPr="00B561F1" w:rsidRDefault="00CA080C" w:rsidP="00066FDA">
      <w:pPr>
        <w:rPr>
          <w:rFonts w:asciiTheme="minorHAnsi" w:hAnsiTheme="minorHAnsi" w:cstheme="minorHAnsi"/>
        </w:rPr>
      </w:pPr>
    </w:p>
    <w:p w14:paraId="544FBE7C" w14:textId="14C85E78" w:rsidR="002553AC" w:rsidRPr="00F42F14" w:rsidRDefault="00E30603" w:rsidP="004969BE">
      <w:pPr>
        <w:pStyle w:val="ListParagraph"/>
        <w:numPr>
          <w:ilvl w:val="0"/>
          <w:numId w:val="5"/>
        </w:numPr>
        <w:rPr>
          <w:rFonts w:asciiTheme="minorHAnsi" w:hAnsiTheme="minorHAnsi" w:cstheme="minorHAnsi"/>
        </w:rPr>
      </w:pPr>
      <w:r w:rsidRPr="00F42F14">
        <w:rPr>
          <w:rFonts w:asciiTheme="minorHAnsi" w:hAnsiTheme="minorHAnsi" w:cstheme="minorHAnsi"/>
        </w:rPr>
        <w:t xml:space="preserve">Operating Revenue: </w:t>
      </w:r>
      <w:r w:rsidR="008374E4" w:rsidRPr="00F42F14">
        <w:rPr>
          <w:rFonts w:asciiTheme="minorHAnsi" w:hAnsiTheme="minorHAnsi" w:cstheme="minorHAnsi"/>
        </w:rPr>
        <w:t xml:space="preserve">At the close of the first quarter of FY19, </w:t>
      </w:r>
      <w:r w:rsidRPr="00F42F14">
        <w:rPr>
          <w:rFonts w:asciiTheme="minorHAnsi" w:hAnsiTheme="minorHAnsi" w:cstheme="minorHAnsi"/>
        </w:rPr>
        <w:t xml:space="preserve">PLA had budgeted for $218,000 in revenue but has only generated $168,000 for a negative variance of 23%. </w:t>
      </w:r>
      <w:r w:rsidR="0073345D" w:rsidRPr="00F42F14">
        <w:rPr>
          <w:rFonts w:asciiTheme="minorHAnsi" w:hAnsiTheme="minorHAnsi" w:cstheme="minorHAnsi"/>
        </w:rPr>
        <w:t>Nearly all of the shortfall can be attributed to two projects, Regional CE (3007) which is $40,000 under budget and Project Outcome Regional Training (3171) which is $8,000 under budget. In both cases, revenue allocations are not aligning with actual timing of the events and corresponding revenue, and PLA expects both projects to be near or at revenue goals</w:t>
      </w:r>
      <w:r w:rsidR="00D11622" w:rsidRPr="00F42F14">
        <w:rPr>
          <w:rFonts w:asciiTheme="minorHAnsi" w:hAnsiTheme="minorHAnsi" w:cstheme="minorHAnsi"/>
        </w:rPr>
        <w:t xml:space="preserve"> later in the year</w:t>
      </w:r>
      <w:r w:rsidR="0073345D" w:rsidRPr="00F42F14">
        <w:rPr>
          <w:rFonts w:asciiTheme="minorHAnsi" w:hAnsiTheme="minorHAnsi" w:cstheme="minorHAnsi"/>
        </w:rPr>
        <w:t xml:space="preserve">. Other projects such as fundraising, </w:t>
      </w:r>
      <w:r w:rsidR="0073345D" w:rsidRPr="00F42F14">
        <w:rPr>
          <w:rFonts w:asciiTheme="minorHAnsi" w:hAnsiTheme="minorHAnsi" w:cstheme="minorHAnsi"/>
          <w:i/>
        </w:rPr>
        <w:t xml:space="preserve">Public Libraries </w:t>
      </w:r>
      <w:r w:rsidR="0073345D" w:rsidRPr="00F42F14">
        <w:rPr>
          <w:rFonts w:asciiTheme="minorHAnsi" w:hAnsiTheme="minorHAnsi" w:cstheme="minorHAnsi"/>
        </w:rPr>
        <w:t>ad sales, web-based CE, and publication sales are also slightly behind in revenue</w:t>
      </w:r>
      <w:r w:rsidR="00F42F14" w:rsidRPr="00F42F14">
        <w:rPr>
          <w:rFonts w:asciiTheme="minorHAnsi" w:hAnsiTheme="minorHAnsi" w:cstheme="minorHAnsi"/>
        </w:rPr>
        <w:t>, primarily</w:t>
      </w:r>
      <w:r w:rsidR="0073345D" w:rsidRPr="00F42F14">
        <w:rPr>
          <w:rFonts w:asciiTheme="minorHAnsi" w:hAnsiTheme="minorHAnsi" w:cstheme="minorHAnsi"/>
        </w:rPr>
        <w:t xml:space="preserve"> due to timing. </w:t>
      </w:r>
      <w:r w:rsidR="00F42F14" w:rsidRPr="00F42F14">
        <w:rPr>
          <w:rFonts w:asciiTheme="minorHAnsi" w:hAnsiTheme="minorHAnsi" w:cstheme="minorHAnsi"/>
        </w:rPr>
        <w:t>A significant variance is anticipated</w:t>
      </w:r>
      <w:r w:rsidR="00F42F14">
        <w:rPr>
          <w:rFonts w:asciiTheme="minorHAnsi" w:hAnsiTheme="minorHAnsi" w:cstheme="minorHAnsi"/>
        </w:rPr>
        <w:t>, during the second quarter, in</w:t>
      </w:r>
      <w:r w:rsidR="00F42F14" w:rsidRPr="00F42F14">
        <w:rPr>
          <w:rFonts w:asciiTheme="minorHAnsi" w:hAnsiTheme="minorHAnsi" w:cstheme="minorHAnsi"/>
        </w:rPr>
        <w:t xml:space="preserve"> PLA’s Partners (3020) account because two new sponsorships were confirmed in fall 2018 ($43,000 from Capital One and $20,000 from the National Network of Libraries of Medicine). These will increase PLA’s overall operating revenue but will be offset by expenses to carry out the sponsor</w:t>
      </w:r>
      <w:r w:rsidR="00A16D21">
        <w:rPr>
          <w:rFonts w:asciiTheme="minorHAnsi" w:hAnsiTheme="minorHAnsi" w:cstheme="minorHAnsi"/>
        </w:rPr>
        <w:t>ed activity</w:t>
      </w:r>
      <w:r w:rsidR="00F42F14" w:rsidRPr="00F42F14">
        <w:rPr>
          <w:rFonts w:asciiTheme="minorHAnsi" w:hAnsiTheme="minorHAnsi" w:cstheme="minorHAnsi"/>
        </w:rPr>
        <w:t>.</w:t>
      </w:r>
    </w:p>
    <w:p w14:paraId="15A13F11" w14:textId="77777777" w:rsidR="0073345D" w:rsidRPr="00B561F1" w:rsidRDefault="0073345D" w:rsidP="0073345D">
      <w:pPr>
        <w:ind w:left="720"/>
        <w:rPr>
          <w:rFonts w:asciiTheme="minorHAnsi" w:hAnsiTheme="minorHAnsi" w:cstheme="minorHAnsi"/>
        </w:rPr>
      </w:pPr>
    </w:p>
    <w:p w14:paraId="65FD31C9" w14:textId="7FE7A1CE" w:rsidR="008374E4" w:rsidRPr="00B561F1" w:rsidRDefault="0073345D" w:rsidP="00066FDA">
      <w:pPr>
        <w:pStyle w:val="ListParagraph"/>
        <w:numPr>
          <w:ilvl w:val="0"/>
          <w:numId w:val="5"/>
        </w:numPr>
        <w:rPr>
          <w:rFonts w:asciiTheme="minorHAnsi" w:hAnsiTheme="minorHAnsi" w:cstheme="minorHAnsi"/>
        </w:rPr>
      </w:pPr>
      <w:r w:rsidRPr="00B561F1">
        <w:rPr>
          <w:rFonts w:asciiTheme="minorHAnsi" w:hAnsiTheme="minorHAnsi" w:cstheme="minorHAnsi"/>
        </w:rPr>
        <w:t xml:space="preserve">Operating Expenses: At the close of the first quarter of FY19, PLA had budgeted to spend $369,000 and has spent $335,000, for a favorable variance of 9%. Projects of note include Regional CE (3007) and Public Libraries (3030), which have underspent by $37,000 and $17,000 respectively, while DigitalLearn (3188) and the Inclusive Internship Initiative Cost Share (3185) have exceeded budgeted expenses by $10,000 and $28,000 respectively. Again, PLA believes the primary reasons behind these variances relate to timing and expects to </w:t>
      </w:r>
      <w:r w:rsidR="00D11622">
        <w:rPr>
          <w:rFonts w:asciiTheme="minorHAnsi" w:hAnsiTheme="minorHAnsi" w:cstheme="minorHAnsi"/>
        </w:rPr>
        <w:t>close</w:t>
      </w:r>
      <w:r w:rsidRPr="00B561F1">
        <w:rPr>
          <w:rFonts w:asciiTheme="minorHAnsi" w:hAnsiTheme="minorHAnsi" w:cstheme="minorHAnsi"/>
        </w:rPr>
        <w:t xml:space="preserve"> the fiscal year </w:t>
      </w:r>
      <w:r w:rsidR="00D11622">
        <w:rPr>
          <w:rFonts w:asciiTheme="minorHAnsi" w:hAnsiTheme="minorHAnsi" w:cstheme="minorHAnsi"/>
        </w:rPr>
        <w:t>on target</w:t>
      </w:r>
      <w:r w:rsidRPr="00B561F1">
        <w:rPr>
          <w:rFonts w:asciiTheme="minorHAnsi" w:hAnsiTheme="minorHAnsi" w:cstheme="minorHAnsi"/>
        </w:rPr>
        <w:t xml:space="preserve"> for operating expenses.</w:t>
      </w:r>
    </w:p>
    <w:p w14:paraId="3D6BD837" w14:textId="77777777" w:rsidR="00761259" w:rsidRPr="00B561F1" w:rsidRDefault="00761259" w:rsidP="00761259">
      <w:pPr>
        <w:rPr>
          <w:rFonts w:asciiTheme="minorHAnsi" w:hAnsiTheme="minorHAnsi" w:cstheme="minorHAnsi"/>
          <w:u w:val="single"/>
        </w:rPr>
      </w:pPr>
    </w:p>
    <w:p w14:paraId="6D529AE8" w14:textId="77777777" w:rsidR="00761259" w:rsidRPr="00B561F1" w:rsidRDefault="00761259" w:rsidP="00761259">
      <w:pPr>
        <w:rPr>
          <w:rFonts w:asciiTheme="minorHAnsi" w:hAnsiTheme="minorHAnsi" w:cstheme="minorHAnsi"/>
          <w:u w:val="single"/>
        </w:rPr>
      </w:pPr>
      <w:r w:rsidRPr="00B561F1">
        <w:rPr>
          <w:rFonts w:asciiTheme="minorHAnsi" w:hAnsiTheme="minorHAnsi" w:cstheme="minorHAnsi"/>
          <w:u w:val="single"/>
        </w:rPr>
        <w:t>Grant Budgets</w:t>
      </w:r>
    </w:p>
    <w:p w14:paraId="150DA9D3" w14:textId="0E3EBE94" w:rsidR="00761259" w:rsidRPr="00B561F1" w:rsidRDefault="00761259" w:rsidP="00761259">
      <w:pPr>
        <w:rPr>
          <w:rFonts w:asciiTheme="minorHAnsi" w:hAnsiTheme="minorHAnsi" w:cstheme="minorHAnsi"/>
        </w:rPr>
      </w:pPr>
      <w:r w:rsidRPr="00B561F1">
        <w:rPr>
          <w:rFonts w:asciiTheme="minorHAnsi" w:hAnsiTheme="minorHAnsi" w:cstheme="minorHAnsi"/>
        </w:rPr>
        <w:t>Not including modest sponsorships and small grants, PLA began FY19 actively managing 5 private grant project</w:t>
      </w:r>
      <w:r w:rsidR="00316C04" w:rsidRPr="00B561F1">
        <w:rPr>
          <w:rFonts w:asciiTheme="minorHAnsi" w:hAnsiTheme="minorHAnsi" w:cstheme="minorHAnsi"/>
        </w:rPr>
        <w:t>s</w:t>
      </w:r>
      <w:r w:rsidRPr="00B561F1">
        <w:rPr>
          <w:rFonts w:asciiTheme="minorHAnsi" w:hAnsiTheme="minorHAnsi" w:cstheme="minorHAnsi"/>
        </w:rPr>
        <w:t xml:space="preserve"> and 1 government contract, with total budgeted FY19 expenditures of $2,350,278. Funders include the Bill and Melinda Gates Foundation, the Knight Foundation, the Robert Wood Johnson Foundation, and IMLS. The number of major project grants at the start of the fiscal year was reduced from previous fiscal years, </w:t>
      </w:r>
      <w:r w:rsidR="00D11622">
        <w:rPr>
          <w:rFonts w:asciiTheme="minorHAnsi" w:hAnsiTheme="minorHAnsi" w:cstheme="minorHAnsi"/>
        </w:rPr>
        <w:t>because projects</w:t>
      </w:r>
      <w:r w:rsidRPr="00B561F1">
        <w:rPr>
          <w:rFonts w:asciiTheme="minorHAnsi" w:hAnsiTheme="minorHAnsi" w:cstheme="minorHAnsi"/>
        </w:rPr>
        <w:t xml:space="preserve"> such as Project </w:t>
      </w:r>
      <w:r w:rsidRPr="00B561F1">
        <w:rPr>
          <w:rFonts w:asciiTheme="minorHAnsi" w:hAnsiTheme="minorHAnsi" w:cstheme="minorHAnsi"/>
        </w:rPr>
        <w:lastRenderedPageBreak/>
        <w:t>Outcome, IMLS leadership and early literacy grants, and two Gates Foundation grants that had transitioned to general operating support were spent down and closed out.</w:t>
      </w:r>
    </w:p>
    <w:p w14:paraId="4838BAB9" w14:textId="77777777" w:rsidR="00761259" w:rsidRPr="00B561F1" w:rsidRDefault="00761259" w:rsidP="00761259">
      <w:pPr>
        <w:rPr>
          <w:rFonts w:asciiTheme="minorHAnsi" w:hAnsiTheme="minorHAnsi" w:cstheme="minorHAnsi"/>
        </w:rPr>
      </w:pPr>
    </w:p>
    <w:p w14:paraId="43603874" w14:textId="77777777" w:rsidR="00761259" w:rsidRPr="00B561F1" w:rsidRDefault="00761259" w:rsidP="00761259">
      <w:pPr>
        <w:rPr>
          <w:rFonts w:asciiTheme="minorHAnsi" w:hAnsiTheme="minorHAnsi" w:cstheme="minorHAnsi"/>
        </w:rPr>
      </w:pPr>
      <w:r w:rsidRPr="00B561F1">
        <w:rPr>
          <w:rFonts w:asciiTheme="minorHAnsi" w:hAnsiTheme="minorHAnsi" w:cstheme="minorHAnsi"/>
        </w:rPr>
        <w:t>By</w:t>
      </w:r>
      <w:r w:rsidR="00DB0302" w:rsidRPr="00B561F1">
        <w:rPr>
          <w:rFonts w:asciiTheme="minorHAnsi" w:hAnsiTheme="minorHAnsi" w:cstheme="minorHAnsi"/>
        </w:rPr>
        <w:t xml:space="preserve"> the close of November 2018</w:t>
      </w:r>
      <w:r w:rsidR="00CA080C" w:rsidRPr="00B561F1">
        <w:rPr>
          <w:rFonts w:asciiTheme="minorHAnsi" w:hAnsiTheme="minorHAnsi" w:cstheme="minorHAnsi"/>
        </w:rPr>
        <w:t xml:space="preserve"> PLA h</w:t>
      </w:r>
      <w:r w:rsidR="00DB0302" w:rsidRPr="00B561F1">
        <w:rPr>
          <w:rFonts w:asciiTheme="minorHAnsi" w:hAnsiTheme="minorHAnsi" w:cstheme="minorHAnsi"/>
        </w:rPr>
        <w:t xml:space="preserve">ad </w:t>
      </w:r>
      <w:r w:rsidR="00CA080C" w:rsidRPr="00B561F1">
        <w:rPr>
          <w:rFonts w:asciiTheme="minorHAnsi" w:hAnsiTheme="minorHAnsi" w:cstheme="minorHAnsi"/>
        </w:rPr>
        <w:t xml:space="preserve">spent $607,000 in grant funds compared to a budgeted amount of $477,000, for a negative variance of 21%. </w:t>
      </w:r>
    </w:p>
    <w:p w14:paraId="5D628D89" w14:textId="77777777" w:rsidR="00761259" w:rsidRPr="00B561F1" w:rsidRDefault="00761259" w:rsidP="00761259">
      <w:pPr>
        <w:rPr>
          <w:rFonts w:asciiTheme="minorHAnsi" w:hAnsiTheme="minorHAnsi" w:cstheme="minorHAnsi"/>
        </w:rPr>
      </w:pPr>
    </w:p>
    <w:p w14:paraId="28DCA0FB" w14:textId="02172389" w:rsidR="00DB0302" w:rsidRPr="0008346F" w:rsidRDefault="00761259" w:rsidP="0008346F">
      <w:pPr>
        <w:pStyle w:val="ListParagraph"/>
        <w:numPr>
          <w:ilvl w:val="0"/>
          <w:numId w:val="8"/>
        </w:numPr>
        <w:rPr>
          <w:rFonts w:asciiTheme="minorHAnsi" w:hAnsiTheme="minorHAnsi" w:cstheme="minorHAnsi"/>
        </w:rPr>
      </w:pPr>
      <w:r w:rsidRPr="0008346F">
        <w:rPr>
          <w:rFonts w:asciiTheme="minorHAnsi" w:hAnsiTheme="minorHAnsi" w:cstheme="minorHAnsi"/>
        </w:rPr>
        <w:t>Variance to Date: PLA’s 21% variance to date i</w:t>
      </w:r>
      <w:r w:rsidR="00DB0302" w:rsidRPr="0008346F">
        <w:rPr>
          <w:rFonts w:asciiTheme="minorHAnsi" w:hAnsiTheme="minorHAnsi" w:cstheme="minorHAnsi"/>
        </w:rPr>
        <w:t xml:space="preserve">s primarily because certain expenses were not included in PLA’s FY19 budget. A large payment for the African Library and Information Associations and Institutions project (3176) was budgeted in FY18 but </w:t>
      </w:r>
      <w:r w:rsidR="00D11622" w:rsidRPr="0008346F">
        <w:rPr>
          <w:rFonts w:asciiTheme="minorHAnsi" w:hAnsiTheme="minorHAnsi" w:cstheme="minorHAnsi"/>
        </w:rPr>
        <w:t xml:space="preserve">delayed and </w:t>
      </w:r>
      <w:r w:rsidR="00DB0302" w:rsidRPr="0008346F">
        <w:rPr>
          <w:rFonts w:asciiTheme="minorHAnsi" w:hAnsiTheme="minorHAnsi" w:cstheme="minorHAnsi"/>
        </w:rPr>
        <w:t xml:space="preserve">issued in early FY19. In addition, renewal of the </w:t>
      </w:r>
      <w:r w:rsidR="00EB2CF8" w:rsidRPr="0008346F">
        <w:rPr>
          <w:rFonts w:asciiTheme="minorHAnsi" w:hAnsiTheme="minorHAnsi" w:cstheme="minorHAnsi"/>
        </w:rPr>
        <w:t xml:space="preserve">IMLS-funded </w:t>
      </w:r>
      <w:r w:rsidR="00DB0302" w:rsidRPr="0008346F">
        <w:rPr>
          <w:rFonts w:asciiTheme="minorHAnsi" w:hAnsiTheme="minorHAnsi" w:cstheme="minorHAnsi"/>
        </w:rPr>
        <w:t>Inclusive Internship Initiative (3184) did not occur until after the FY19 budget process was completed. PLA will spend a total of $313,000 for this project which was not in</w:t>
      </w:r>
      <w:r w:rsidR="00D11622" w:rsidRPr="0008346F">
        <w:rPr>
          <w:rFonts w:asciiTheme="minorHAnsi" w:hAnsiTheme="minorHAnsi" w:cstheme="minorHAnsi"/>
        </w:rPr>
        <w:t>cluded in</w:t>
      </w:r>
      <w:r w:rsidR="00DB0302" w:rsidRPr="0008346F">
        <w:rPr>
          <w:rFonts w:asciiTheme="minorHAnsi" w:hAnsiTheme="minorHAnsi" w:cstheme="minorHAnsi"/>
        </w:rPr>
        <w:t xml:space="preserve"> the final PLA FY19 budget.</w:t>
      </w:r>
    </w:p>
    <w:p w14:paraId="3318795A" w14:textId="77777777" w:rsidR="00761259" w:rsidRPr="00B561F1" w:rsidRDefault="00761259" w:rsidP="00761259">
      <w:pPr>
        <w:rPr>
          <w:rFonts w:asciiTheme="minorHAnsi" w:hAnsiTheme="minorHAnsi" w:cstheme="minorHAnsi"/>
        </w:rPr>
      </w:pPr>
    </w:p>
    <w:p w14:paraId="4CF44610" w14:textId="43168F49" w:rsidR="00CA080C" w:rsidRPr="0008346F" w:rsidRDefault="00761259" w:rsidP="0008346F">
      <w:pPr>
        <w:pStyle w:val="ListParagraph"/>
        <w:numPr>
          <w:ilvl w:val="0"/>
          <w:numId w:val="7"/>
        </w:numPr>
        <w:rPr>
          <w:rFonts w:asciiTheme="minorHAnsi" w:hAnsiTheme="minorHAnsi" w:cstheme="minorHAnsi"/>
        </w:rPr>
      </w:pPr>
      <w:r w:rsidRPr="0008346F">
        <w:rPr>
          <w:rFonts w:asciiTheme="minorHAnsi" w:hAnsiTheme="minorHAnsi" w:cstheme="minorHAnsi"/>
        </w:rPr>
        <w:t>New Grants</w:t>
      </w:r>
      <w:r w:rsidR="00EB2CF8" w:rsidRPr="0008346F">
        <w:rPr>
          <w:rFonts w:asciiTheme="minorHAnsi" w:hAnsiTheme="minorHAnsi" w:cstheme="minorHAnsi"/>
        </w:rPr>
        <w:t xml:space="preserve"> and Projected Variances</w:t>
      </w:r>
      <w:r w:rsidRPr="0008346F">
        <w:rPr>
          <w:rFonts w:asciiTheme="minorHAnsi" w:hAnsiTheme="minorHAnsi" w:cstheme="minorHAnsi"/>
        </w:rPr>
        <w:t xml:space="preserve">: PLA anticipates receiving substantial grant funding that was not included in the FY19 budget due to timing of the budgeting process. These include grants from </w:t>
      </w:r>
      <w:r w:rsidR="00EB2CF8" w:rsidRPr="0008346F">
        <w:rPr>
          <w:rFonts w:asciiTheme="minorHAnsi" w:hAnsiTheme="minorHAnsi" w:cstheme="minorHAnsi"/>
        </w:rPr>
        <w:t>Google ($60,000), Microsoft Philanthropies ($400,000), and the National Network of Libraries of Medicine ($1</w:t>
      </w:r>
      <w:r w:rsidR="002553AC" w:rsidRPr="0008346F">
        <w:rPr>
          <w:rFonts w:asciiTheme="minorHAnsi" w:hAnsiTheme="minorHAnsi" w:cstheme="minorHAnsi"/>
        </w:rPr>
        <w:t>5</w:t>
      </w:r>
      <w:r w:rsidR="00EB2CF8" w:rsidRPr="0008346F">
        <w:rPr>
          <w:rFonts w:asciiTheme="minorHAnsi" w:hAnsiTheme="minorHAnsi" w:cstheme="minorHAnsi"/>
        </w:rPr>
        <w:t xml:space="preserve">0,000). </w:t>
      </w:r>
      <w:r w:rsidR="0008346F" w:rsidRPr="0008346F">
        <w:rPr>
          <w:rFonts w:asciiTheme="minorHAnsi" w:hAnsiTheme="minorHAnsi" w:cstheme="minorHAnsi"/>
        </w:rPr>
        <w:t xml:space="preserve">The Google grant will </w:t>
      </w:r>
      <w:r w:rsidR="0008346F" w:rsidRPr="0008346F">
        <w:rPr>
          <w:rFonts w:asciiTheme="minorHAnsi" w:hAnsiTheme="minorHAnsi"/>
        </w:rPr>
        <w:t>provide mini-grants to public libraries in all 50 states to support community events and digital literacy training focused on workforce and small business development using Google tools, as well as PLA and local library resources. The Microsoft grant will provide hardware, training and other tools primarily to rural libraries to</w:t>
      </w:r>
      <w:r w:rsidR="0008346F" w:rsidRPr="00E7137B">
        <w:t xml:space="preserve"> </w:t>
      </w:r>
      <w:r w:rsidR="0008346F" w:rsidRPr="0008346F">
        <w:rPr>
          <w:rFonts w:asciiTheme="minorHAnsi" w:hAnsiTheme="minorHAnsi"/>
        </w:rPr>
        <w:t xml:space="preserve">help community members build skills for educational and employment success and so they can benefit from access to high speed internet as a result of Microsoft Airband partnerships. </w:t>
      </w:r>
      <w:r w:rsidR="00EB2CF8" w:rsidRPr="0008346F">
        <w:rPr>
          <w:rFonts w:asciiTheme="minorHAnsi" w:hAnsiTheme="minorHAnsi" w:cstheme="minorHAnsi"/>
        </w:rPr>
        <w:t>Most of the funded activity</w:t>
      </w:r>
      <w:r w:rsidR="00D11622" w:rsidRPr="0008346F">
        <w:rPr>
          <w:rFonts w:asciiTheme="minorHAnsi" w:hAnsiTheme="minorHAnsi" w:cstheme="minorHAnsi"/>
        </w:rPr>
        <w:t>, and therefore the expenses,</w:t>
      </w:r>
      <w:r w:rsidR="00EB2CF8" w:rsidRPr="0008346F">
        <w:rPr>
          <w:rFonts w:asciiTheme="minorHAnsi" w:hAnsiTheme="minorHAnsi" w:cstheme="minorHAnsi"/>
        </w:rPr>
        <w:t xml:space="preserve"> will occur in FY19, although some projects will extend into FY20. </w:t>
      </w:r>
      <w:r w:rsidRPr="0008346F">
        <w:rPr>
          <w:rFonts w:asciiTheme="minorHAnsi" w:hAnsiTheme="minorHAnsi" w:cstheme="minorHAnsi"/>
        </w:rPr>
        <w:t>Combined with the above-mentioned IMLS Inclusive Internship Grant of $313,000</w:t>
      </w:r>
      <w:r w:rsidR="00EB2CF8" w:rsidRPr="0008346F">
        <w:rPr>
          <w:rFonts w:asciiTheme="minorHAnsi" w:hAnsiTheme="minorHAnsi" w:cstheme="minorHAnsi"/>
        </w:rPr>
        <w:t xml:space="preserve">, this will increase PLA’s FY19 grant spending from the budgeted $2.3 million to </w:t>
      </w:r>
      <w:r w:rsidR="002553AC" w:rsidRPr="0008346F">
        <w:rPr>
          <w:rFonts w:asciiTheme="minorHAnsi" w:hAnsiTheme="minorHAnsi" w:cstheme="minorHAnsi"/>
        </w:rPr>
        <w:t>over</w:t>
      </w:r>
      <w:r w:rsidR="00EB2CF8" w:rsidRPr="0008346F">
        <w:rPr>
          <w:rFonts w:asciiTheme="minorHAnsi" w:hAnsiTheme="minorHAnsi" w:cstheme="minorHAnsi"/>
        </w:rPr>
        <w:t xml:space="preserve"> $3.</w:t>
      </w:r>
      <w:r w:rsidR="002553AC" w:rsidRPr="0008346F">
        <w:rPr>
          <w:rFonts w:asciiTheme="minorHAnsi" w:hAnsiTheme="minorHAnsi" w:cstheme="minorHAnsi"/>
        </w:rPr>
        <w:t>2</w:t>
      </w:r>
      <w:r w:rsidR="00EB2CF8" w:rsidRPr="0008346F">
        <w:rPr>
          <w:rFonts w:asciiTheme="minorHAnsi" w:hAnsiTheme="minorHAnsi" w:cstheme="minorHAnsi"/>
        </w:rPr>
        <w:t xml:space="preserve"> million. </w:t>
      </w:r>
    </w:p>
    <w:p w14:paraId="5230C1E2" w14:textId="77777777" w:rsidR="00EB2CF8" w:rsidRPr="00B561F1" w:rsidRDefault="00EB2CF8" w:rsidP="00EB2CF8">
      <w:pPr>
        <w:pStyle w:val="ListParagraph"/>
        <w:rPr>
          <w:rFonts w:asciiTheme="minorHAnsi" w:hAnsiTheme="minorHAnsi" w:cstheme="minorHAnsi"/>
        </w:rPr>
      </w:pPr>
    </w:p>
    <w:p w14:paraId="338ACE6C" w14:textId="77777777" w:rsidR="00EB2CF8" w:rsidRPr="00B561F1" w:rsidRDefault="00EB2CF8" w:rsidP="00EB2CF8">
      <w:pPr>
        <w:rPr>
          <w:rFonts w:asciiTheme="minorHAnsi" w:hAnsiTheme="minorHAnsi" w:cstheme="minorHAnsi"/>
          <w:u w:val="single"/>
        </w:rPr>
      </w:pPr>
      <w:r w:rsidRPr="00B561F1">
        <w:rPr>
          <w:rFonts w:asciiTheme="minorHAnsi" w:hAnsiTheme="minorHAnsi" w:cstheme="minorHAnsi"/>
          <w:u w:val="single"/>
        </w:rPr>
        <w:t>Overhead</w:t>
      </w:r>
    </w:p>
    <w:p w14:paraId="6F1DDE79" w14:textId="3A1D509C" w:rsidR="00277F2D" w:rsidRPr="00B561F1" w:rsidRDefault="00D162C9" w:rsidP="00066FDA">
      <w:pPr>
        <w:pStyle w:val="CommentText"/>
        <w:rPr>
          <w:rFonts w:asciiTheme="minorHAnsi" w:hAnsiTheme="minorHAnsi" w:cstheme="minorHAnsi"/>
          <w:sz w:val="24"/>
          <w:szCs w:val="24"/>
        </w:rPr>
      </w:pPr>
      <w:r w:rsidRPr="00B561F1">
        <w:rPr>
          <w:rFonts w:asciiTheme="minorHAnsi" w:hAnsiTheme="minorHAnsi" w:cstheme="minorHAnsi"/>
          <w:sz w:val="24"/>
          <w:szCs w:val="24"/>
        </w:rPr>
        <w:t>Total o</w:t>
      </w:r>
      <w:r w:rsidR="00ED693C" w:rsidRPr="00B561F1">
        <w:rPr>
          <w:rFonts w:asciiTheme="minorHAnsi" w:hAnsiTheme="minorHAnsi" w:cstheme="minorHAnsi"/>
          <w:sz w:val="24"/>
          <w:szCs w:val="24"/>
        </w:rPr>
        <w:t xml:space="preserve">verhead to ALA </w:t>
      </w:r>
      <w:r w:rsidR="00EB2CF8" w:rsidRPr="00B561F1">
        <w:rPr>
          <w:rFonts w:asciiTheme="minorHAnsi" w:hAnsiTheme="minorHAnsi" w:cstheme="minorHAnsi"/>
          <w:sz w:val="24"/>
          <w:szCs w:val="24"/>
        </w:rPr>
        <w:t>for FY19</w:t>
      </w:r>
      <w:r w:rsidR="00ED693C" w:rsidRPr="00B561F1">
        <w:rPr>
          <w:rFonts w:asciiTheme="minorHAnsi" w:hAnsiTheme="minorHAnsi" w:cstheme="minorHAnsi"/>
          <w:sz w:val="24"/>
          <w:szCs w:val="24"/>
        </w:rPr>
        <w:t xml:space="preserve"> </w:t>
      </w:r>
      <w:r w:rsidR="00277F2D" w:rsidRPr="00B561F1">
        <w:rPr>
          <w:rFonts w:asciiTheme="minorHAnsi" w:hAnsiTheme="minorHAnsi" w:cstheme="minorHAnsi"/>
          <w:sz w:val="24"/>
          <w:szCs w:val="24"/>
        </w:rPr>
        <w:t>was budgeted at</w:t>
      </w:r>
      <w:r w:rsidR="00ED693C" w:rsidRPr="00B561F1">
        <w:rPr>
          <w:rFonts w:asciiTheme="minorHAnsi" w:hAnsiTheme="minorHAnsi" w:cstheme="minorHAnsi"/>
          <w:sz w:val="24"/>
          <w:szCs w:val="24"/>
        </w:rPr>
        <w:t xml:space="preserve"> $</w:t>
      </w:r>
      <w:r w:rsidR="00EB2CF8" w:rsidRPr="00B561F1">
        <w:rPr>
          <w:rFonts w:asciiTheme="minorHAnsi" w:hAnsiTheme="minorHAnsi" w:cstheme="minorHAnsi"/>
          <w:sz w:val="24"/>
          <w:szCs w:val="24"/>
        </w:rPr>
        <w:t>366,000</w:t>
      </w:r>
      <w:r w:rsidR="00ED693C" w:rsidRPr="00B561F1">
        <w:rPr>
          <w:rFonts w:asciiTheme="minorHAnsi" w:hAnsiTheme="minorHAnsi" w:cstheme="minorHAnsi"/>
          <w:sz w:val="24"/>
          <w:szCs w:val="24"/>
        </w:rPr>
        <w:t>.</w:t>
      </w:r>
      <w:r w:rsidR="00277F2D" w:rsidRPr="00B561F1">
        <w:rPr>
          <w:rFonts w:asciiTheme="minorHAnsi" w:hAnsiTheme="minorHAnsi" w:cstheme="minorHAnsi"/>
          <w:sz w:val="24"/>
          <w:szCs w:val="24"/>
        </w:rPr>
        <w:t xml:space="preserve"> As of </w:t>
      </w:r>
      <w:r w:rsidR="00EB2CF8" w:rsidRPr="00B561F1">
        <w:rPr>
          <w:rFonts w:asciiTheme="minorHAnsi" w:hAnsiTheme="minorHAnsi" w:cstheme="minorHAnsi"/>
          <w:sz w:val="24"/>
          <w:szCs w:val="24"/>
        </w:rPr>
        <w:t>November</w:t>
      </w:r>
      <w:r w:rsidR="00277F2D" w:rsidRPr="00B561F1">
        <w:rPr>
          <w:rFonts w:asciiTheme="minorHAnsi" w:hAnsiTheme="minorHAnsi" w:cstheme="minorHAnsi"/>
          <w:sz w:val="24"/>
          <w:szCs w:val="24"/>
        </w:rPr>
        <w:t xml:space="preserve"> 2018, PLA had paid ALA $</w:t>
      </w:r>
      <w:r w:rsidR="00EB2CF8" w:rsidRPr="00B561F1">
        <w:rPr>
          <w:rFonts w:asciiTheme="minorHAnsi" w:hAnsiTheme="minorHAnsi" w:cstheme="minorHAnsi"/>
          <w:sz w:val="24"/>
          <w:szCs w:val="24"/>
        </w:rPr>
        <w:t>58,000 versus the bu</w:t>
      </w:r>
      <w:r w:rsidRPr="00B561F1">
        <w:rPr>
          <w:rFonts w:asciiTheme="minorHAnsi" w:hAnsiTheme="minorHAnsi" w:cstheme="minorHAnsi"/>
          <w:sz w:val="24"/>
          <w:szCs w:val="24"/>
        </w:rPr>
        <w:t>dgeted amount of $98,000</w:t>
      </w:r>
      <w:r w:rsidR="00277F2D" w:rsidRPr="00B561F1">
        <w:rPr>
          <w:rFonts w:asciiTheme="minorHAnsi" w:hAnsiTheme="minorHAnsi" w:cstheme="minorHAnsi"/>
          <w:sz w:val="24"/>
          <w:szCs w:val="24"/>
        </w:rPr>
        <w:t>.</w:t>
      </w:r>
      <w:r w:rsidRPr="00B561F1">
        <w:rPr>
          <w:rFonts w:asciiTheme="minorHAnsi" w:hAnsiTheme="minorHAnsi" w:cstheme="minorHAnsi"/>
          <w:sz w:val="24"/>
          <w:szCs w:val="24"/>
        </w:rPr>
        <w:t xml:space="preserve"> Most overhead generated via </w:t>
      </w:r>
      <w:r w:rsidR="00D11622">
        <w:rPr>
          <w:rFonts w:asciiTheme="minorHAnsi" w:hAnsiTheme="minorHAnsi" w:cstheme="minorHAnsi"/>
          <w:sz w:val="24"/>
          <w:szCs w:val="24"/>
        </w:rPr>
        <w:t xml:space="preserve">PLA’s operating budget </w:t>
      </w:r>
      <w:r w:rsidRPr="00B561F1">
        <w:rPr>
          <w:rFonts w:asciiTheme="minorHAnsi" w:hAnsiTheme="minorHAnsi" w:cstheme="minorHAnsi"/>
          <w:sz w:val="24"/>
          <w:szCs w:val="24"/>
        </w:rPr>
        <w:t>is related to registration fees for events that have not yet occurred in FY19. A substantial portion of the unrealized overhead in PLA’s grants is because ALA has not assessed about $23,000 in overhead from the African Library and Information Associations and Institutions project (3176) that should have occurred with the above-mentioned large payment.</w:t>
      </w:r>
    </w:p>
    <w:p w14:paraId="67ECAE9B" w14:textId="77777777" w:rsidR="00277F2D" w:rsidRPr="00B561F1" w:rsidRDefault="00277F2D" w:rsidP="00066FDA">
      <w:pPr>
        <w:pStyle w:val="CommentText"/>
        <w:rPr>
          <w:rFonts w:asciiTheme="minorHAnsi" w:hAnsiTheme="minorHAnsi" w:cstheme="minorHAnsi"/>
          <w:sz w:val="24"/>
          <w:szCs w:val="24"/>
        </w:rPr>
      </w:pPr>
    </w:p>
    <w:p w14:paraId="7DF36AD0" w14:textId="77777777" w:rsidR="00AE544A" w:rsidRPr="00B561F1" w:rsidRDefault="00AE544A" w:rsidP="00066FDA">
      <w:pPr>
        <w:rPr>
          <w:rFonts w:asciiTheme="minorHAnsi" w:hAnsiTheme="minorHAnsi" w:cstheme="minorHAnsi"/>
          <w:u w:val="single"/>
        </w:rPr>
      </w:pPr>
      <w:r w:rsidRPr="00B561F1">
        <w:rPr>
          <w:rFonts w:asciiTheme="minorHAnsi" w:hAnsiTheme="minorHAnsi" w:cstheme="minorHAnsi"/>
          <w:u w:val="single"/>
        </w:rPr>
        <w:t>Long-Term Investment</w:t>
      </w:r>
      <w:r w:rsidR="006A40F8" w:rsidRPr="00B561F1">
        <w:rPr>
          <w:rFonts w:asciiTheme="minorHAnsi" w:hAnsiTheme="minorHAnsi" w:cstheme="minorHAnsi"/>
          <w:u w:val="single"/>
        </w:rPr>
        <w:t xml:space="preserve"> (LTI)</w:t>
      </w:r>
    </w:p>
    <w:p w14:paraId="7E55AD16" w14:textId="77777777" w:rsidR="00D72EC2" w:rsidRPr="00B561F1" w:rsidRDefault="00AA02AB" w:rsidP="00066FDA">
      <w:pPr>
        <w:rPr>
          <w:rFonts w:asciiTheme="minorHAnsi" w:hAnsiTheme="minorHAnsi" w:cstheme="minorHAnsi"/>
        </w:rPr>
      </w:pPr>
      <w:r w:rsidRPr="00B561F1">
        <w:rPr>
          <w:rFonts w:asciiTheme="minorHAnsi" w:hAnsiTheme="minorHAnsi" w:cstheme="minorHAnsi"/>
        </w:rPr>
        <w:t>The PLA LTI was at $</w:t>
      </w:r>
      <w:r w:rsidR="00D162C9" w:rsidRPr="00B561F1">
        <w:rPr>
          <w:rFonts w:asciiTheme="minorHAnsi" w:hAnsiTheme="minorHAnsi" w:cstheme="minorHAnsi"/>
        </w:rPr>
        <w:t>1,455,604</w:t>
      </w:r>
      <w:r w:rsidR="00DD76DD" w:rsidRPr="00B561F1">
        <w:rPr>
          <w:rFonts w:asciiTheme="minorHAnsi" w:hAnsiTheme="minorHAnsi" w:cstheme="minorHAnsi"/>
        </w:rPr>
        <w:t xml:space="preserve"> </w:t>
      </w:r>
      <w:r w:rsidR="00AE544A" w:rsidRPr="00B561F1">
        <w:rPr>
          <w:rFonts w:asciiTheme="minorHAnsi" w:hAnsiTheme="minorHAnsi" w:cstheme="minorHAnsi"/>
        </w:rPr>
        <w:t xml:space="preserve">as of </w:t>
      </w:r>
      <w:r w:rsidR="00D162C9" w:rsidRPr="00B561F1">
        <w:rPr>
          <w:rFonts w:asciiTheme="minorHAnsi" w:hAnsiTheme="minorHAnsi" w:cstheme="minorHAnsi"/>
        </w:rPr>
        <w:t>November</w:t>
      </w:r>
      <w:r w:rsidR="00C716D7" w:rsidRPr="00B561F1">
        <w:rPr>
          <w:rFonts w:asciiTheme="minorHAnsi" w:hAnsiTheme="minorHAnsi" w:cstheme="minorHAnsi"/>
        </w:rPr>
        <w:t xml:space="preserve"> 2018</w:t>
      </w:r>
      <w:r w:rsidR="00D162C9" w:rsidRPr="00B561F1">
        <w:rPr>
          <w:rFonts w:asciiTheme="minorHAnsi" w:hAnsiTheme="minorHAnsi" w:cstheme="minorHAnsi"/>
        </w:rPr>
        <w:t xml:space="preserve">, </w:t>
      </w:r>
      <w:r w:rsidR="00E11993" w:rsidRPr="00B561F1">
        <w:rPr>
          <w:rFonts w:asciiTheme="minorHAnsi" w:hAnsiTheme="minorHAnsi" w:cstheme="minorHAnsi"/>
        </w:rPr>
        <w:t>compared to $</w:t>
      </w:r>
      <w:r w:rsidR="00D162C9" w:rsidRPr="00B561F1">
        <w:rPr>
          <w:rFonts w:asciiTheme="minorHAnsi" w:hAnsiTheme="minorHAnsi" w:cstheme="minorHAnsi"/>
        </w:rPr>
        <w:t xml:space="preserve">1,362,579 </w:t>
      </w:r>
      <w:r w:rsidR="00265906" w:rsidRPr="00B561F1">
        <w:rPr>
          <w:rFonts w:asciiTheme="minorHAnsi" w:hAnsiTheme="minorHAnsi" w:cstheme="minorHAnsi"/>
        </w:rPr>
        <w:t>at the</w:t>
      </w:r>
      <w:r w:rsidR="009F1B79" w:rsidRPr="00B561F1">
        <w:rPr>
          <w:rFonts w:asciiTheme="minorHAnsi" w:hAnsiTheme="minorHAnsi" w:cstheme="minorHAnsi"/>
        </w:rPr>
        <w:t xml:space="preserve"> </w:t>
      </w:r>
      <w:r w:rsidR="00AE544A" w:rsidRPr="00B561F1">
        <w:rPr>
          <w:rFonts w:asciiTheme="minorHAnsi" w:hAnsiTheme="minorHAnsi" w:cstheme="minorHAnsi"/>
        </w:rPr>
        <w:t>same time last year. Interest for FY1</w:t>
      </w:r>
      <w:r w:rsidR="00D162C9" w:rsidRPr="00B561F1">
        <w:rPr>
          <w:rFonts w:asciiTheme="minorHAnsi" w:hAnsiTheme="minorHAnsi" w:cstheme="minorHAnsi"/>
        </w:rPr>
        <w:t>9</w:t>
      </w:r>
      <w:r w:rsidR="00AE544A" w:rsidRPr="00B561F1">
        <w:rPr>
          <w:rFonts w:asciiTheme="minorHAnsi" w:hAnsiTheme="minorHAnsi" w:cstheme="minorHAnsi"/>
        </w:rPr>
        <w:t xml:space="preserve"> </w:t>
      </w:r>
      <w:r w:rsidRPr="00B561F1">
        <w:rPr>
          <w:rFonts w:asciiTheme="minorHAnsi" w:hAnsiTheme="minorHAnsi" w:cstheme="minorHAnsi"/>
        </w:rPr>
        <w:t xml:space="preserve">(less bank fees) </w:t>
      </w:r>
      <w:r w:rsidR="009C60E0" w:rsidRPr="00B561F1">
        <w:rPr>
          <w:rFonts w:asciiTheme="minorHAnsi" w:hAnsiTheme="minorHAnsi" w:cstheme="minorHAnsi"/>
        </w:rPr>
        <w:t xml:space="preserve">as of </w:t>
      </w:r>
      <w:r w:rsidR="00E40392" w:rsidRPr="00B561F1">
        <w:rPr>
          <w:rFonts w:asciiTheme="minorHAnsi" w:hAnsiTheme="minorHAnsi" w:cstheme="minorHAnsi"/>
        </w:rPr>
        <w:t>April</w:t>
      </w:r>
      <w:r w:rsidR="009C60E0" w:rsidRPr="00B561F1">
        <w:rPr>
          <w:rFonts w:asciiTheme="minorHAnsi" w:hAnsiTheme="minorHAnsi" w:cstheme="minorHAnsi"/>
        </w:rPr>
        <w:t xml:space="preserve"> is $</w:t>
      </w:r>
      <w:r w:rsidR="00D162C9" w:rsidRPr="00B561F1">
        <w:rPr>
          <w:rFonts w:asciiTheme="minorHAnsi" w:hAnsiTheme="minorHAnsi" w:cstheme="minorHAnsi"/>
        </w:rPr>
        <w:t>8,155, which is slightly lower than budgeted.</w:t>
      </w:r>
    </w:p>
    <w:sectPr w:rsidR="00D72EC2" w:rsidRPr="00B561F1" w:rsidSect="008B0E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7683E" w14:textId="77777777" w:rsidR="00546CF8" w:rsidRDefault="00546CF8" w:rsidP="00D77AFC">
      <w:r>
        <w:separator/>
      </w:r>
    </w:p>
  </w:endnote>
  <w:endnote w:type="continuationSeparator" w:id="0">
    <w:p w14:paraId="08999965" w14:textId="77777777" w:rsidR="00546CF8" w:rsidRDefault="00546CF8" w:rsidP="00D7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E2B31" w14:textId="77777777" w:rsidR="00546CF8" w:rsidRDefault="00546CF8" w:rsidP="00D77AFC">
      <w:r>
        <w:separator/>
      </w:r>
    </w:p>
  </w:footnote>
  <w:footnote w:type="continuationSeparator" w:id="0">
    <w:p w14:paraId="6507A241" w14:textId="77777777" w:rsidR="00546CF8" w:rsidRDefault="00546CF8" w:rsidP="00D7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D59E" w14:textId="77777777" w:rsidR="00066FDA" w:rsidRPr="00B65449" w:rsidRDefault="00066FDA" w:rsidP="00066FDA">
    <w:pPr>
      <w:pStyle w:val="Header"/>
      <w:jc w:val="right"/>
      <w:rPr>
        <w:rFonts w:asciiTheme="minorHAnsi" w:hAnsiTheme="minorHAnsi"/>
        <w:sz w:val="22"/>
        <w:szCs w:val="22"/>
      </w:rPr>
    </w:pPr>
    <w:r w:rsidRPr="00B65449">
      <w:rPr>
        <w:rFonts w:asciiTheme="minorHAnsi" w:hAnsiTheme="minorHAnsi"/>
        <w:sz w:val="22"/>
        <w:szCs w:val="22"/>
      </w:rPr>
      <w:t>PLA Board of Directors</w:t>
    </w:r>
  </w:p>
  <w:p w14:paraId="495EF9EC" w14:textId="15FDF2AE" w:rsidR="00066FDA" w:rsidRPr="00B65449" w:rsidRDefault="00066FDA" w:rsidP="00066FDA">
    <w:pPr>
      <w:pStyle w:val="Header"/>
      <w:tabs>
        <w:tab w:val="left" w:pos="5280"/>
      </w:tabs>
      <w:jc w:val="right"/>
      <w:rPr>
        <w:rFonts w:asciiTheme="minorHAnsi" w:hAnsiTheme="minorHAnsi" w:cs="Arial"/>
        <w:sz w:val="22"/>
        <w:szCs w:val="22"/>
      </w:rPr>
    </w:pPr>
    <w:r w:rsidRPr="00B65449">
      <w:rPr>
        <w:rFonts w:asciiTheme="minorHAnsi" w:hAnsiTheme="minorHAnsi" w:cs="Arial"/>
        <w:sz w:val="22"/>
        <w:szCs w:val="22"/>
      </w:rPr>
      <w:t>Midwinter Meeting</w:t>
    </w:r>
    <w:r w:rsidR="00B65449" w:rsidRPr="00B65449">
      <w:rPr>
        <w:rFonts w:asciiTheme="minorHAnsi" w:hAnsiTheme="minorHAnsi" w:cs="Arial"/>
        <w:sz w:val="22"/>
        <w:szCs w:val="22"/>
      </w:rPr>
      <w:t xml:space="preserve"> 2019</w:t>
    </w:r>
  </w:p>
  <w:p w14:paraId="5BA69F4F" w14:textId="0C9B221F" w:rsidR="00066FDA" w:rsidRPr="00B65449" w:rsidRDefault="00B65449" w:rsidP="00066FDA">
    <w:pPr>
      <w:pStyle w:val="Header"/>
      <w:tabs>
        <w:tab w:val="left" w:pos="5280"/>
      </w:tabs>
      <w:jc w:val="right"/>
      <w:rPr>
        <w:rFonts w:asciiTheme="minorHAnsi" w:hAnsiTheme="minorHAnsi" w:cs="Arial"/>
        <w:sz w:val="22"/>
        <w:szCs w:val="22"/>
      </w:rPr>
    </w:pPr>
    <w:r w:rsidRPr="00B65449">
      <w:rPr>
        <w:rFonts w:asciiTheme="minorHAnsi" w:hAnsiTheme="minorHAnsi" w:cs="Arial"/>
        <w:sz w:val="22"/>
        <w:szCs w:val="22"/>
      </w:rPr>
      <w:t xml:space="preserve">Document no.: </w:t>
    </w:r>
    <w:r w:rsidR="00066FDA" w:rsidRPr="00B65449">
      <w:rPr>
        <w:rFonts w:asciiTheme="minorHAnsi" w:hAnsiTheme="minorHAnsi" w:cs="Arial"/>
        <w:sz w:val="22"/>
        <w:szCs w:val="22"/>
      </w:rPr>
      <w:t>2019.</w:t>
    </w:r>
    <w:r w:rsidR="007912E3">
      <w:rPr>
        <w:rFonts w:asciiTheme="minorHAnsi" w:hAnsiTheme="minorHAnsi" w:cs="Arial"/>
        <w:sz w:val="22"/>
        <w:szCs w:val="22"/>
      </w:rPr>
      <w:t>39</w:t>
    </w:r>
  </w:p>
  <w:p w14:paraId="223A8BF8" w14:textId="77777777" w:rsidR="002E6F20" w:rsidRPr="00066FDA" w:rsidRDefault="002E6F20" w:rsidP="00066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360"/>
    <w:multiLevelType w:val="hybridMultilevel"/>
    <w:tmpl w:val="355213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D0E4828"/>
    <w:multiLevelType w:val="hybridMultilevel"/>
    <w:tmpl w:val="D508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60428"/>
    <w:multiLevelType w:val="hybridMultilevel"/>
    <w:tmpl w:val="932A2C60"/>
    <w:lvl w:ilvl="0" w:tplc="1F5EBB86">
      <w:start w:val="2019"/>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F424D2"/>
    <w:multiLevelType w:val="hybridMultilevel"/>
    <w:tmpl w:val="0F8E2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E7107"/>
    <w:multiLevelType w:val="hybridMultilevel"/>
    <w:tmpl w:val="FE0CDD4C"/>
    <w:lvl w:ilvl="0" w:tplc="3DEC0B96">
      <w:start w:val="201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B10C5"/>
    <w:multiLevelType w:val="hybridMultilevel"/>
    <w:tmpl w:val="322A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37D17"/>
    <w:multiLevelType w:val="hybridMultilevel"/>
    <w:tmpl w:val="7E6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544AC"/>
    <w:multiLevelType w:val="hybridMultilevel"/>
    <w:tmpl w:val="9EC0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4A"/>
    <w:rsid w:val="0003768C"/>
    <w:rsid w:val="000448C0"/>
    <w:rsid w:val="00052BFE"/>
    <w:rsid w:val="00066FDA"/>
    <w:rsid w:val="0008346F"/>
    <w:rsid w:val="0009650A"/>
    <w:rsid w:val="000C6E64"/>
    <w:rsid w:val="000D543F"/>
    <w:rsid w:val="00120674"/>
    <w:rsid w:val="00156E6E"/>
    <w:rsid w:val="0016145B"/>
    <w:rsid w:val="00182C7D"/>
    <w:rsid w:val="00216518"/>
    <w:rsid w:val="002474F3"/>
    <w:rsid w:val="002553AC"/>
    <w:rsid w:val="00256C4C"/>
    <w:rsid w:val="00265906"/>
    <w:rsid w:val="00277F2D"/>
    <w:rsid w:val="002A46AE"/>
    <w:rsid w:val="002D28C0"/>
    <w:rsid w:val="002D6B21"/>
    <w:rsid w:val="002E6F20"/>
    <w:rsid w:val="00302609"/>
    <w:rsid w:val="003053B6"/>
    <w:rsid w:val="00316C04"/>
    <w:rsid w:val="00356EBF"/>
    <w:rsid w:val="003C3A1D"/>
    <w:rsid w:val="003E5C6C"/>
    <w:rsid w:val="00402835"/>
    <w:rsid w:val="00411519"/>
    <w:rsid w:val="00424D56"/>
    <w:rsid w:val="00433AD9"/>
    <w:rsid w:val="0047062B"/>
    <w:rsid w:val="004B18B2"/>
    <w:rsid w:val="004C3FBF"/>
    <w:rsid w:val="005224FA"/>
    <w:rsid w:val="00534DAE"/>
    <w:rsid w:val="00537A47"/>
    <w:rsid w:val="00546CF8"/>
    <w:rsid w:val="0055215A"/>
    <w:rsid w:val="00592D90"/>
    <w:rsid w:val="005B6EDE"/>
    <w:rsid w:val="005B7149"/>
    <w:rsid w:val="005E03CE"/>
    <w:rsid w:val="005F5657"/>
    <w:rsid w:val="00626D85"/>
    <w:rsid w:val="006466F6"/>
    <w:rsid w:val="006A40F8"/>
    <w:rsid w:val="0073345D"/>
    <w:rsid w:val="00761259"/>
    <w:rsid w:val="007912E3"/>
    <w:rsid w:val="007D1269"/>
    <w:rsid w:val="007F5DA8"/>
    <w:rsid w:val="008130BC"/>
    <w:rsid w:val="00834DB1"/>
    <w:rsid w:val="008374E4"/>
    <w:rsid w:val="00854B66"/>
    <w:rsid w:val="00867426"/>
    <w:rsid w:val="008B0E11"/>
    <w:rsid w:val="008F3B3E"/>
    <w:rsid w:val="00974C47"/>
    <w:rsid w:val="009846CC"/>
    <w:rsid w:val="009C60E0"/>
    <w:rsid w:val="009E67A2"/>
    <w:rsid w:val="009F1B79"/>
    <w:rsid w:val="009F6322"/>
    <w:rsid w:val="00A16D21"/>
    <w:rsid w:val="00A35B5A"/>
    <w:rsid w:val="00A67305"/>
    <w:rsid w:val="00A85A67"/>
    <w:rsid w:val="00AA02AB"/>
    <w:rsid w:val="00AD7E18"/>
    <w:rsid w:val="00AE544A"/>
    <w:rsid w:val="00B33D93"/>
    <w:rsid w:val="00B561F1"/>
    <w:rsid w:val="00B65449"/>
    <w:rsid w:val="00B84F45"/>
    <w:rsid w:val="00BA041A"/>
    <w:rsid w:val="00BE0549"/>
    <w:rsid w:val="00C255A8"/>
    <w:rsid w:val="00C27CE6"/>
    <w:rsid w:val="00C34F2C"/>
    <w:rsid w:val="00C3733B"/>
    <w:rsid w:val="00C5176C"/>
    <w:rsid w:val="00C6486A"/>
    <w:rsid w:val="00C716D7"/>
    <w:rsid w:val="00C77E2D"/>
    <w:rsid w:val="00C87549"/>
    <w:rsid w:val="00CA080C"/>
    <w:rsid w:val="00CB7EA8"/>
    <w:rsid w:val="00CE1AA7"/>
    <w:rsid w:val="00D0217D"/>
    <w:rsid w:val="00D11622"/>
    <w:rsid w:val="00D1600D"/>
    <w:rsid w:val="00D162C9"/>
    <w:rsid w:val="00D77AFC"/>
    <w:rsid w:val="00D87AAC"/>
    <w:rsid w:val="00D93C96"/>
    <w:rsid w:val="00DB0302"/>
    <w:rsid w:val="00DD76DD"/>
    <w:rsid w:val="00DE04F6"/>
    <w:rsid w:val="00E11993"/>
    <w:rsid w:val="00E30603"/>
    <w:rsid w:val="00E32773"/>
    <w:rsid w:val="00E40392"/>
    <w:rsid w:val="00E572AC"/>
    <w:rsid w:val="00E71946"/>
    <w:rsid w:val="00E769C9"/>
    <w:rsid w:val="00E805CC"/>
    <w:rsid w:val="00E83C72"/>
    <w:rsid w:val="00E95FF8"/>
    <w:rsid w:val="00EB2CF8"/>
    <w:rsid w:val="00ED693C"/>
    <w:rsid w:val="00EF7E31"/>
    <w:rsid w:val="00F12736"/>
    <w:rsid w:val="00F20B36"/>
    <w:rsid w:val="00F42F14"/>
    <w:rsid w:val="00F832E5"/>
    <w:rsid w:val="00FA13C8"/>
    <w:rsid w:val="00FB7024"/>
    <w:rsid w:val="00FB7476"/>
    <w:rsid w:val="00FD1E5C"/>
    <w:rsid w:val="00FE3E89"/>
    <w:rsid w:val="00FE7690"/>
    <w:rsid w:val="00FF3821"/>
    <w:rsid w:val="00FF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6AA8"/>
  <w15:docId w15:val="{670D9D3B-22C3-482F-93B1-F67AB9E7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4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12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126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77AFC"/>
    <w:pPr>
      <w:outlineLvl w:val="0"/>
    </w:pPr>
    <w:rPr>
      <w:rFonts w:ascii="Helvetica" w:eastAsia="Arial Unicode MS" w:hAnsi="Helvetica" w:cs="Times New Roman"/>
      <w:color w:val="000000"/>
      <w:szCs w:val="20"/>
      <w:u w:color="000000"/>
    </w:rPr>
  </w:style>
  <w:style w:type="paragraph" w:styleId="Header">
    <w:name w:val="header"/>
    <w:basedOn w:val="Normal"/>
    <w:link w:val="HeaderChar"/>
    <w:unhideWhenUsed/>
    <w:rsid w:val="00D77AFC"/>
    <w:pPr>
      <w:tabs>
        <w:tab w:val="center" w:pos="4680"/>
        <w:tab w:val="right" w:pos="9360"/>
      </w:tabs>
    </w:pPr>
  </w:style>
  <w:style w:type="character" w:customStyle="1" w:styleId="HeaderChar">
    <w:name w:val="Header Char"/>
    <w:basedOn w:val="DefaultParagraphFont"/>
    <w:link w:val="Header"/>
    <w:rsid w:val="00D77A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7AFC"/>
    <w:pPr>
      <w:tabs>
        <w:tab w:val="center" w:pos="4680"/>
        <w:tab w:val="right" w:pos="9360"/>
      </w:tabs>
    </w:pPr>
  </w:style>
  <w:style w:type="character" w:customStyle="1" w:styleId="FooterChar">
    <w:name w:val="Footer Char"/>
    <w:basedOn w:val="DefaultParagraphFont"/>
    <w:link w:val="Footer"/>
    <w:uiPriority w:val="99"/>
    <w:rsid w:val="00D77AFC"/>
    <w:rPr>
      <w:rFonts w:ascii="Times New Roman" w:eastAsia="Times New Roman" w:hAnsi="Times New Roman" w:cs="Times New Roman"/>
      <w:sz w:val="24"/>
      <w:szCs w:val="24"/>
    </w:rPr>
  </w:style>
  <w:style w:type="paragraph" w:styleId="ListParagraph">
    <w:name w:val="List Paragraph"/>
    <w:basedOn w:val="Normal"/>
    <w:uiPriority w:val="34"/>
    <w:qFormat/>
    <w:rsid w:val="009F1B79"/>
    <w:pPr>
      <w:ind w:left="720"/>
      <w:contextualSpacing/>
    </w:pPr>
  </w:style>
  <w:style w:type="character" w:customStyle="1" w:styleId="Heading2Char">
    <w:name w:val="Heading 2 Char"/>
    <w:basedOn w:val="DefaultParagraphFont"/>
    <w:link w:val="Heading2"/>
    <w:uiPriority w:val="9"/>
    <w:rsid w:val="007D126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D126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FB7476"/>
    <w:rPr>
      <w:sz w:val="16"/>
      <w:szCs w:val="16"/>
    </w:rPr>
  </w:style>
  <w:style w:type="paragraph" w:styleId="CommentText">
    <w:name w:val="annotation text"/>
    <w:basedOn w:val="Normal"/>
    <w:link w:val="CommentTextChar"/>
    <w:uiPriority w:val="99"/>
    <w:unhideWhenUsed/>
    <w:rsid w:val="00FB7476"/>
    <w:rPr>
      <w:sz w:val="20"/>
      <w:szCs w:val="20"/>
    </w:rPr>
  </w:style>
  <w:style w:type="character" w:customStyle="1" w:styleId="CommentTextChar">
    <w:name w:val="Comment Text Char"/>
    <w:basedOn w:val="DefaultParagraphFont"/>
    <w:link w:val="CommentText"/>
    <w:uiPriority w:val="99"/>
    <w:rsid w:val="00FB74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476"/>
    <w:rPr>
      <w:b/>
      <w:bCs/>
    </w:rPr>
  </w:style>
  <w:style w:type="character" w:customStyle="1" w:styleId="CommentSubjectChar">
    <w:name w:val="Comment Subject Char"/>
    <w:basedOn w:val="CommentTextChar"/>
    <w:link w:val="CommentSubject"/>
    <w:uiPriority w:val="99"/>
    <w:semiHidden/>
    <w:rsid w:val="00FB74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7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476"/>
    <w:rPr>
      <w:rFonts w:ascii="Segoe UI" w:eastAsia="Times New Roman" w:hAnsi="Segoe UI" w:cs="Segoe UI"/>
      <w:sz w:val="18"/>
      <w:szCs w:val="18"/>
    </w:rPr>
  </w:style>
  <w:style w:type="table" w:styleId="TableGrid">
    <w:name w:val="Table Grid"/>
    <w:basedOn w:val="TableNormal"/>
    <w:uiPriority w:val="59"/>
    <w:rsid w:val="00E3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9172">
      <w:bodyDiv w:val="1"/>
      <w:marLeft w:val="0"/>
      <w:marRight w:val="0"/>
      <w:marTop w:val="0"/>
      <w:marBottom w:val="0"/>
      <w:divBdr>
        <w:top w:val="none" w:sz="0" w:space="0" w:color="auto"/>
        <w:left w:val="none" w:sz="0" w:space="0" w:color="auto"/>
        <w:bottom w:val="none" w:sz="0" w:space="0" w:color="auto"/>
        <w:right w:val="none" w:sz="0" w:space="0" w:color="auto"/>
      </w:divBdr>
    </w:div>
    <w:div w:id="99880364">
      <w:bodyDiv w:val="1"/>
      <w:marLeft w:val="0"/>
      <w:marRight w:val="0"/>
      <w:marTop w:val="0"/>
      <w:marBottom w:val="0"/>
      <w:divBdr>
        <w:top w:val="none" w:sz="0" w:space="0" w:color="auto"/>
        <w:left w:val="none" w:sz="0" w:space="0" w:color="auto"/>
        <w:bottom w:val="none" w:sz="0" w:space="0" w:color="auto"/>
        <w:right w:val="none" w:sz="0" w:space="0" w:color="auto"/>
      </w:divBdr>
    </w:div>
    <w:div w:id="411466431">
      <w:bodyDiv w:val="1"/>
      <w:marLeft w:val="0"/>
      <w:marRight w:val="0"/>
      <w:marTop w:val="0"/>
      <w:marBottom w:val="0"/>
      <w:divBdr>
        <w:top w:val="none" w:sz="0" w:space="0" w:color="auto"/>
        <w:left w:val="none" w:sz="0" w:space="0" w:color="auto"/>
        <w:bottom w:val="none" w:sz="0" w:space="0" w:color="auto"/>
        <w:right w:val="none" w:sz="0" w:space="0" w:color="auto"/>
      </w:divBdr>
    </w:div>
    <w:div w:id="457719759">
      <w:bodyDiv w:val="1"/>
      <w:marLeft w:val="0"/>
      <w:marRight w:val="0"/>
      <w:marTop w:val="0"/>
      <w:marBottom w:val="0"/>
      <w:divBdr>
        <w:top w:val="none" w:sz="0" w:space="0" w:color="auto"/>
        <w:left w:val="none" w:sz="0" w:space="0" w:color="auto"/>
        <w:bottom w:val="none" w:sz="0" w:space="0" w:color="auto"/>
        <w:right w:val="none" w:sz="0" w:space="0" w:color="auto"/>
      </w:divBdr>
    </w:div>
    <w:div w:id="576136735">
      <w:bodyDiv w:val="1"/>
      <w:marLeft w:val="0"/>
      <w:marRight w:val="0"/>
      <w:marTop w:val="0"/>
      <w:marBottom w:val="0"/>
      <w:divBdr>
        <w:top w:val="none" w:sz="0" w:space="0" w:color="auto"/>
        <w:left w:val="none" w:sz="0" w:space="0" w:color="auto"/>
        <w:bottom w:val="none" w:sz="0" w:space="0" w:color="auto"/>
        <w:right w:val="none" w:sz="0" w:space="0" w:color="auto"/>
      </w:divBdr>
    </w:div>
    <w:div w:id="997223651">
      <w:bodyDiv w:val="1"/>
      <w:marLeft w:val="0"/>
      <w:marRight w:val="0"/>
      <w:marTop w:val="0"/>
      <w:marBottom w:val="0"/>
      <w:divBdr>
        <w:top w:val="none" w:sz="0" w:space="0" w:color="auto"/>
        <w:left w:val="none" w:sz="0" w:space="0" w:color="auto"/>
        <w:bottom w:val="none" w:sz="0" w:space="0" w:color="auto"/>
        <w:right w:val="none" w:sz="0" w:space="0" w:color="auto"/>
      </w:divBdr>
    </w:div>
    <w:div w:id="1057558636">
      <w:bodyDiv w:val="1"/>
      <w:marLeft w:val="0"/>
      <w:marRight w:val="0"/>
      <w:marTop w:val="0"/>
      <w:marBottom w:val="0"/>
      <w:divBdr>
        <w:top w:val="none" w:sz="0" w:space="0" w:color="auto"/>
        <w:left w:val="none" w:sz="0" w:space="0" w:color="auto"/>
        <w:bottom w:val="none" w:sz="0" w:space="0" w:color="auto"/>
        <w:right w:val="none" w:sz="0" w:space="0" w:color="auto"/>
      </w:divBdr>
    </w:div>
    <w:div w:id="1429039141">
      <w:bodyDiv w:val="1"/>
      <w:marLeft w:val="0"/>
      <w:marRight w:val="0"/>
      <w:marTop w:val="0"/>
      <w:marBottom w:val="0"/>
      <w:divBdr>
        <w:top w:val="none" w:sz="0" w:space="0" w:color="auto"/>
        <w:left w:val="none" w:sz="0" w:space="0" w:color="auto"/>
        <w:bottom w:val="none" w:sz="0" w:space="0" w:color="auto"/>
        <w:right w:val="none" w:sz="0" w:space="0" w:color="auto"/>
      </w:divBdr>
    </w:div>
    <w:div w:id="1987707495">
      <w:bodyDiv w:val="1"/>
      <w:marLeft w:val="0"/>
      <w:marRight w:val="0"/>
      <w:marTop w:val="0"/>
      <w:marBottom w:val="0"/>
      <w:divBdr>
        <w:top w:val="none" w:sz="0" w:space="0" w:color="auto"/>
        <w:left w:val="none" w:sz="0" w:space="0" w:color="auto"/>
        <w:bottom w:val="none" w:sz="0" w:space="0" w:color="auto"/>
        <w:right w:val="none" w:sz="0" w:space="0" w:color="auto"/>
      </w:divBdr>
    </w:div>
    <w:div w:id="21292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Macikas</dc:creator>
  <cp:lastModifiedBy>Megan Stewart</cp:lastModifiedBy>
  <cp:revision>11</cp:revision>
  <cp:lastPrinted>2018-04-25T19:03:00Z</cp:lastPrinted>
  <dcterms:created xsi:type="dcterms:W3CDTF">2018-12-28T15:05:00Z</dcterms:created>
  <dcterms:modified xsi:type="dcterms:W3CDTF">2019-01-17T17:06:00Z</dcterms:modified>
</cp:coreProperties>
</file>