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BFCCC6" w:rsidR="002E54AC" w:rsidRPr="00806237" w:rsidRDefault="00CF67DA">
      <w:pPr>
        <w:pStyle w:val="Title"/>
        <w:tabs>
          <w:tab w:val="right" w:pos="10080"/>
        </w:tabs>
        <w:rPr>
          <w:rFonts w:asciiTheme="majorHAnsi" w:hAnsiTheme="majorHAnsi" w:cstheme="majorHAnsi"/>
          <w:b/>
        </w:rPr>
      </w:pPr>
      <w:r w:rsidRPr="00806237">
        <w:rPr>
          <w:rFonts w:asciiTheme="majorHAnsi" w:hAnsiTheme="majorHAnsi" w:cstheme="majorHAnsi"/>
          <w:b/>
        </w:rPr>
        <w:t>CCDO Collection Report Template</w:t>
      </w:r>
    </w:p>
    <w:p w14:paraId="00000002" w14:textId="78C6091D" w:rsidR="002E54AC" w:rsidRPr="00806237" w:rsidRDefault="00CF67DA">
      <w:pPr>
        <w:pStyle w:val="Heading2"/>
        <w:rPr>
          <w:rFonts w:asciiTheme="majorHAnsi" w:hAnsiTheme="majorHAnsi" w:cstheme="majorHAnsi"/>
        </w:rPr>
      </w:pPr>
      <w:bookmarkStart w:id="0" w:name="_lzmdqrk69nxj" w:colFirst="0" w:colLast="0"/>
      <w:bookmarkEnd w:id="0"/>
      <w:r w:rsidRPr="00806237">
        <w:rPr>
          <w:rFonts w:asciiTheme="majorHAnsi" w:hAnsiTheme="majorHAnsi" w:cstheme="majorHAnsi"/>
        </w:rPr>
        <w:t>Author</w:t>
      </w:r>
      <w:r w:rsidR="00C74BD9" w:rsidRPr="00806237">
        <w:rPr>
          <w:rFonts w:asciiTheme="majorHAnsi" w:hAnsiTheme="majorHAnsi" w:cstheme="majorHAnsi"/>
        </w:rPr>
        <w:t xml:space="preserve"> </w:t>
      </w:r>
    </w:p>
    <w:p w14:paraId="3F83519E" w14:textId="437146E1" w:rsidR="00C74BD9" w:rsidRPr="00806237" w:rsidRDefault="00C74BD9" w:rsidP="00C74BD9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Chris Palazzolo</w:t>
      </w:r>
    </w:p>
    <w:p w14:paraId="00000003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bookmarkStart w:id="1" w:name="_twoumx3ywmhd" w:colFirst="0" w:colLast="0"/>
      <w:bookmarkEnd w:id="1"/>
      <w:r w:rsidRPr="00806237">
        <w:rPr>
          <w:rFonts w:asciiTheme="majorHAnsi" w:hAnsiTheme="majorHAnsi" w:cstheme="majorHAnsi"/>
        </w:rPr>
        <w:t>University/Institution</w:t>
      </w:r>
    </w:p>
    <w:p w14:paraId="32C74739" w14:textId="7FE9EE26" w:rsidR="00C74BD9" w:rsidRPr="00806237" w:rsidRDefault="00C74BD9" w:rsidP="00C74BD9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Emory University (Emory Libraries)</w:t>
      </w:r>
    </w:p>
    <w:p w14:paraId="00000004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bookmarkStart w:id="2" w:name="_89aoi4wels1" w:colFirst="0" w:colLast="0"/>
      <w:bookmarkEnd w:id="2"/>
      <w:r w:rsidRPr="00806237">
        <w:rPr>
          <w:rFonts w:asciiTheme="majorHAnsi" w:hAnsiTheme="majorHAnsi" w:cstheme="majorHAnsi"/>
        </w:rPr>
        <w:t>Title</w:t>
      </w:r>
    </w:p>
    <w:p w14:paraId="69E84607" w14:textId="244EA0CB" w:rsidR="00C74BD9" w:rsidRPr="00806237" w:rsidRDefault="00C74BD9" w:rsidP="00C74BD9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Head of Collections and Social Science Librarian</w:t>
      </w:r>
    </w:p>
    <w:p w14:paraId="00000005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bookmarkStart w:id="3" w:name="_fuapu9uw6tuw" w:colFirst="0" w:colLast="0"/>
      <w:bookmarkEnd w:id="3"/>
      <w:r w:rsidRPr="00806237">
        <w:rPr>
          <w:rFonts w:asciiTheme="majorHAnsi" w:hAnsiTheme="majorHAnsi" w:cstheme="majorHAnsi"/>
        </w:rPr>
        <w:t>Date</w:t>
      </w:r>
    </w:p>
    <w:p w14:paraId="4EA83A35" w14:textId="716E726C" w:rsidR="00C74BD9" w:rsidRPr="00806237" w:rsidRDefault="00C74BD9" w:rsidP="00C74BD9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23 June 2023</w:t>
      </w:r>
    </w:p>
    <w:p w14:paraId="00000006" w14:textId="77777777" w:rsidR="002E54AC" w:rsidRPr="00806237" w:rsidRDefault="00CF67DA">
      <w:pPr>
        <w:pStyle w:val="Heading1"/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Collections Report</w:t>
      </w:r>
    </w:p>
    <w:p w14:paraId="00000007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bookmarkStart w:id="4" w:name="_6ob1qdgmnd7a" w:colFirst="0" w:colLast="0"/>
      <w:bookmarkEnd w:id="4"/>
      <w:r w:rsidRPr="00806237">
        <w:rPr>
          <w:rFonts w:asciiTheme="majorHAnsi" w:hAnsiTheme="majorHAnsi" w:cstheme="majorHAnsi"/>
        </w:rPr>
        <w:t>Budget Update (Optional)</w:t>
      </w:r>
    </w:p>
    <w:p w14:paraId="70D783C3" w14:textId="77777777" w:rsidR="003C62D2" w:rsidRPr="00806237" w:rsidRDefault="003C62D2" w:rsidP="003C62D2">
      <w:pPr>
        <w:rPr>
          <w:rFonts w:asciiTheme="majorHAnsi" w:hAnsiTheme="majorHAnsi" w:cstheme="majorHAnsi"/>
        </w:rPr>
      </w:pPr>
    </w:p>
    <w:p w14:paraId="2D041699" w14:textId="6411DB88" w:rsidR="003C62D2" w:rsidRPr="006E2EB2" w:rsidRDefault="003C62D2" w:rsidP="003C62D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E2EB2">
        <w:rPr>
          <w:rFonts w:asciiTheme="majorHAnsi" w:hAnsiTheme="majorHAnsi" w:cstheme="majorHAnsi"/>
        </w:rPr>
        <w:t xml:space="preserve">For FY23, the Libraries received inflationary increases on recurring purchases. The </w:t>
      </w:r>
      <w:proofErr w:type="gramStart"/>
      <w:r w:rsidRPr="006E2EB2">
        <w:rPr>
          <w:rFonts w:asciiTheme="majorHAnsi" w:hAnsiTheme="majorHAnsi" w:cstheme="majorHAnsi"/>
        </w:rPr>
        <w:t>Libraries</w:t>
      </w:r>
      <w:proofErr w:type="gramEnd"/>
      <w:r w:rsidRPr="006E2EB2">
        <w:rPr>
          <w:rFonts w:asciiTheme="majorHAnsi" w:hAnsiTheme="majorHAnsi" w:cstheme="majorHAnsi"/>
        </w:rPr>
        <w:t xml:space="preserve"> have tried to reclaim some of the funding lost during COVID (overall 7.5%), but allocations have not returned to pre-COVID levels. Issues with funding preceded FY21, when the university started using a new allocation formula</w:t>
      </w:r>
      <w:r w:rsidR="00A04805">
        <w:rPr>
          <w:rFonts w:asciiTheme="majorHAnsi" w:hAnsiTheme="majorHAnsi" w:cstheme="majorHAnsi"/>
        </w:rPr>
        <w:t xml:space="preserve"> for units</w:t>
      </w:r>
      <w:r w:rsidRPr="006E2EB2">
        <w:rPr>
          <w:rFonts w:asciiTheme="majorHAnsi" w:hAnsiTheme="majorHAnsi" w:cstheme="majorHAnsi"/>
        </w:rPr>
        <w:t>.</w:t>
      </w:r>
    </w:p>
    <w:p w14:paraId="0D2DB101" w14:textId="0BA0140D" w:rsidR="003C62D2" w:rsidRPr="006E2EB2" w:rsidRDefault="003C62D2" w:rsidP="006E2EB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E2EB2">
        <w:rPr>
          <w:rFonts w:asciiTheme="majorHAnsi" w:hAnsiTheme="majorHAnsi" w:cstheme="majorHAnsi"/>
        </w:rPr>
        <w:t xml:space="preserve">A concerted effort is in place to </w:t>
      </w:r>
      <w:proofErr w:type="gramStart"/>
      <w:r w:rsidRPr="006E2EB2">
        <w:rPr>
          <w:rFonts w:asciiTheme="majorHAnsi" w:hAnsiTheme="majorHAnsi" w:cstheme="majorHAnsi"/>
        </w:rPr>
        <w:t>more regularly and robustly use endowment funds</w:t>
      </w:r>
      <w:proofErr w:type="gramEnd"/>
      <w:r w:rsidRPr="006E2EB2">
        <w:rPr>
          <w:rFonts w:asciiTheme="majorHAnsi" w:hAnsiTheme="majorHAnsi" w:cstheme="majorHAnsi"/>
        </w:rPr>
        <w:t>, although some of these funds remain relatively restrictive in use. In FY21, the Libraries did put forth proposals for potential new endowments to seek. Areas proposed include indigenous studies, Asian-American Studies, African Diaspora/Post-Colonialism, and AI.</w:t>
      </w:r>
    </w:p>
    <w:p w14:paraId="00000008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Staffing and Organizational Changes/Update</w:t>
      </w:r>
    </w:p>
    <w:p w14:paraId="5E4ED544" w14:textId="77777777" w:rsidR="00A17B40" w:rsidRPr="00806237" w:rsidRDefault="00A17B40" w:rsidP="00A17B40">
      <w:pPr>
        <w:rPr>
          <w:rFonts w:asciiTheme="majorHAnsi" w:hAnsiTheme="majorHAnsi" w:cstheme="majorHAnsi"/>
        </w:rPr>
      </w:pPr>
    </w:p>
    <w:p w14:paraId="663ECDE0" w14:textId="2BBDC2EE" w:rsidR="00C74BD9" w:rsidRPr="00A04805" w:rsidRDefault="00A17B40" w:rsidP="00C74B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 xml:space="preserve">Lisa Macklin, former Head of Research, Engagement and Scholarly Communication became Assistant Vice Provost and University Librarian, reporting to the Vice Provost of Libraries and Museum, Dr. </w:t>
      </w:r>
      <w:proofErr w:type="spellStart"/>
      <w:r w:rsidRPr="00806237">
        <w:rPr>
          <w:rFonts w:asciiTheme="majorHAnsi" w:hAnsiTheme="majorHAnsi" w:cstheme="majorHAnsi"/>
        </w:rPr>
        <w:t>Valeda</w:t>
      </w:r>
      <w:proofErr w:type="spellEnd"/>
      <w:r w:rsidRPr="00806237">
        <w:rPr>
          <w:rFonts w:asciiTheme="majorHAnsi" w:hAnsiTheme="majorHAnsi" w:cstheme="majorHAnsi"/>
        </w:rPr>
        <w:t xml:space="preserve"> Dent, in late Summer 2023.  </w:t>
      </w:r>
    </w:p>
    <w:p w14:paraId="5693A08F" w14:textId="6FFC18EA" w:rsidR="00A17B40" w:rsidRPr="00A04805" w:rsidRDefault="00A17B40" w:rsidP="00A048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New subject librarians hired in Jewish Studies, Biology and Neuroscience, and English Literature; will be hiring new Sociology and Development Studies Librarian in Fall 2023.</w:t>
      </w:r>
    </w:p>
    <w:p w14:paraId="60D6B63A" w14:textId="71294046" w:rsidR="00A17B40" w:rsidRDefault="00A17B40" w:rsidP="00A17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New Copyright Librarian and Head of Instruction and Engagement also hired in FY23.</w:t>
      </w:r>
    </w:p>
    <w:p w14:paraId="6E9F2B78" w14:textId="70E1BBA4" w:rsidR="00E26384" w:rsidRPr="00806237" w:rsidRDefault="00E26384" w:rsidP="00A17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Research Data Management Librarian has been promoted to manager to better strategize and expand research data management plans and awareness across the university.</w:t>
      </w:r>
    </w:p>
    <w:p w14:paraId="665A8DA0" w14:textId="77777777" w:rsidR="00A17B40" w:rsidRPr="00806237" w:rsidRDefault="00A17B40" w:rsidP="00C74BD9">
      <w:pPr>
        <w:rPr>
          <w:rFonts w:asciiTheme="majorHAnsi" w:hAnsiTheme="majorHAnsi" w:cstheme="majorHAnsi"/>
        </w:rPr>
      </w:pPr>
    </w:p>
    <w:p w14:paraId="00000009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New Programs or Initiatives</w:t>
      </w:r>
    </w:p>
    <w:p w14:paraId="0000000A" w14:textId="77777777" w:rsidR="002E54AC" w:rsidRPr="00806237" w:rsidRDefault="00CF67DA">
      <w:pPr>
        <w:pStyle w:val="Heading2"/>
        <w:ind w:firstLine="720"/>
        <w:rPr>
          <w:rFonts w:asciiTheme="majorHAnsi" w:hAnsiTheme="majorHAnsi" w:cstheme="majorHAnsi"/>
        </w:rPr>
      </w:pPr>
      <w:bookmarkStart w:id="5" w:name="_qmwyf9c5uxu2" w:colFirst="0" w:colLast="0"/>
      <w:bookmarkEnd w:id="5"/>
      <w:r w:rsidRPr="00806237">
        <w:rPr>
          <w:rFonts w:asciiTheme="majorHAnsi" w:hAnsiTheme="majorHAnsi" w:cstheme="majorHAnsi"/>
        </w:rPr>
        <w:t>Local, National, International Partnerships</w:t>
      </w:r>
    </w:p>
    <w:p w14:paraId="0000000B" w14:textId="77777777" w:rsidR="002E54AC" w:rsidRPr="00806237" w:rsidRDefault="002E54A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C905E38" w14:textId="77777777" w:rsidR="00A04805" w:rsidRDefault="00A048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</w:p>
    <w:p w14:paraId="2783D886" w14:textId="77777777" w:rsidR="00A04805" w:rsidRDefault="00A048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</w:p>
    <w:p w14:paraId="5C2607FB" w14:textId="77777777" w:rsidR="00A04805" w:rsidRDefault="00A048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</w:p>
    <w:p w14:paraId="0000000C" w14:textId="08165776" w:rsidR="002E54AC" w:rsidRPr="00806237" w:rsidRDefault="00CF6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  <w:r w:rsidRPr="00806237">
        <w:rPr>
          <w:rFonts w:asciiTheme="majorHAnsi" w:eastAsia="Calibri" w:hAnsiTheme="majorHAnsi" w:cstheme="majorHAnsi"/>
          <w:b/>
          <w:color w:val="4F81BD"/>
          <w:sz w:val="26"/>
          <w:szCs w:val="26"/>
        </w:rPr>
        <w:t>Collection Assessment Activities</w:t>
      </w:r>
    </w:p>
    <w:p w14:paraId="4B08CEC6" w14:textId="6764F5B9" w:rsidR="00C74BD9" w:rsidRPr="00806237" w:rsidRDefault="00C74B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4F81BD"/>
          <w:sz w:val="26"/>
          <w:szCs w:val="26"/>
        </w:rPr>
      </w:pPr>
    </w:p>
    <w:p w14:paraId="5CC2FF7A" w14:textId="3844FF2B" w:rsidR="00A17B40" w:rsidRPr="00D365E4" w:rsidRDefault="00C74BD9" w:rsidP="00D365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Major approval plan review is set for completion at the end of FY23. Changes to subject parameters, series, and publishers were entertained. 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>An approval dashboard in Tableau for assessment by subject librarians was updated for use in the approval review.</w:t>
      </w:r>
      <w:r w:rsidR="00D365E4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806237">
        <w:rPr>
          <w:rFonts w:asciiTheme="majorHAnsi" w:eastAsia="Calibri" w:hAnsiTheme="majorHAnsi" w:cstheme="majorHAnsi"/>
          <w:bCs/>
          <w:color w:val="000000" w:themeColor="text1"/>
        </w:rPr>
        <w:t>The vast majority of the plan remains focused on print, with only a few call numbers</w:t>
      </w:r>
      <w:r w:rsidR="00DA131B"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 and publishers (De Gruyter)</w:t>
      </w: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 as </w:t>
      </w:r>
      <w:proofErr w:type="gramStart"/>
      <w:r w:rsidRPr="00806237">
        <w:rPr>
          <w:rFonts w:asciiTheme="majorHAnsi" w:eastAsia="Calibri" w:hAnsiTheme="majorHAnsi" w:cstheme="majorHAnsi"/>
          <w:bCs/>
          <w:color w:val="000000" w:themeColor="text1"/>
        </w:rPr>
        <w:t>e-preferred</w:t>
      </w:r>
      <w:proofErr w:type="gramEnd"/>
      <w:r w:rsidRPr="00806237">
        <w:rPr>
          <w:rFonts w:asciiTheme="majorHAnsi" w:eastAsia="Calibri" w:hAnsiTheme="majorHAnsi" w:cstheme="majorHAnsi"/>
          <w:bCs/>
          <w:color w:val="000000" w:themeColor="text1"/>
        </w:rPr>
        <w:t>. The previous DDA with JSTOR (run through GOBI)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 was discontinued in mid 2022</w:t>
      </w:r>
      <w:r w:rsidR="00DA131B"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. Since FY13, (print) approval spend has decreased by around 40% (significantly due to 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>major EBA plans with Cambridge, Taylor and Francis, and Springer).  We may pilot a few new areas for e-preferred in the GOBI plan for FY24.</w:t>
      </w:r>
    </w:p>
    <w:p w14:paraId="69126166" w14:textId="4C4F8E84" w:rsidR="00DA131B" w:rsidRPr="00D365E4" w:rsidRDefault="00DA131B" w:rsidP="00D365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>Subject librarians and faculty reviewed</w:t>
      </w:r>
      <w:r w:rsidR="00D365E4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806237">
        <w:rPr>
          <w:rFonts w:asciiTheme="majorHAnsi" w:eastAsia="Calibri" w:hAnsiTheme="majorHAnsi" w:cstheme="majorHAnsi"/>
          <w:bCs/>
          <w:color w:val="000000" w:themeColor="text1"/>
        </w:rPr>
        <w:t>unbundling of our Wiley package; negotiations begin this summer</w:t>
      </w:r>
      <w:r w:rsidR="00D365E4">
        <w:rPr>
          <w:rFonts w:asciiTheme="majorHAnsi" w:eastAsia="Calibri" w:hAnsiTheme="majorHAnsi" w:cstheme="majorHAnsi"/>
          <w:bCs/>
          <w:color w:val="000000" w:themeColor="text1"/>
        </w:rPr>
        <w:t xml:space="preserve"> for a title-by-title collection of approximately 480 journals, to be split between our Health Sciences and Main (Woodruff) libraries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>. The negotiating team</w:t>
      </w: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 will include faculty representation.</w:t>
      </w:r>
      <w:r w:rsidR="003C62D2"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 Planning for expedited article delivery options is underway, with launch in January 2024.</w:t>
      </w:r>
    </w:p>
    <w:p w14:paraId="0000000D" w14:textId="47D53B37" w:rsidR="002E54AC" w:rsidRDefault="00DA131B" w:rsidP="00D365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>A standing order review was also completed over FY22-3—as standing orders had not been assessed over 15 years, a review of alignment with subject concentrations was warranted.</w:t>
      </w:r>
    </w:p>
    <w:p w14:paraId="6A433FFB" w14:textId="77777777" w:rsidR="006E2EB2" w:rsidRDefault="00D365E4" w:rsidP="00D365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Cs/>
          <w:color w:val="000000" w:themeColor="text1"/>
        </w:rPr>
        <w:t xml:space="preserve">A year-long project to </w:t>
      </w:r>
      <w:r w:rsidR="006E2EB2">
        <w:rPr>
          <w:rFonts w:asciiTheme="majorHAnsi" w:eastAsia="Calibri" w:hAnsiTheme="majorHAnsi" w:cstheme="majorHAnsi"/>
          <w:bCs/>
          <w:color w:val="000000" w:themeColor="text1"/>
        </w:rPr>
        <w:t xml:space="preserve">incorporate and load COUNTER data into ALMA is slated for completion at the end of August. Utilizing the usage statistics module will lead to greater efficiencies and long-term preservation of internal and external data about Emory’s e-resources. In addition, we have updated our </w:t>
      </w:r>
      <w:proofErr w:type="spellStart"/>
      <w:r w:rsidR="006E2EB2">
        <w:rPr>
          <w:rFonts w:asciiTheme="majorHAnsi" w:eastAsia="Calibri" w:hAnsiTheme="majorHAnsi" w:cstheme="majorHAnsi"/>
          <w:bCs/>
          <w:color w:val="000000" w:themeColor="text1"/>
        </w:rPr>
        <w:t>EZProxy</w:t>
      </w:r>
      <w:proofErr w:type="spellEnd"/>
      <w:r w:rsidR="006E2EB2">
        <w:rPr>
          <w:rFonts w:asciiTheme="majorHAnsi" w:eastAsia="Calibri" w:hAnsiTheme="majorHAnsi" w:cstheme="majorHAnsi"/>
          <w:bCs/>
          <w:color w:val="000000" w:themeColor="text1"/>
        </w:rPr>
        <w:t xml:space="preserve"> dashboard for local data collection that allows for a more granular discernment of patron use of e-resources.</w:t>
      </w:r>
    </w:p>
    <w:p w14:paraId="6A374399" w14:textId="7EA9DC8F" w:rsidR="00D365E4" w:rsidRPr="00D365E4" w:rsidRDefault="006E2EB2" w:rsidP="00D365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Cs/>
          <w:color w:val="000000" w:themeColor="text1"/>
        </w:rPr>
        <w:t xml:space="preserve">Subject team heads will review the revised umbrella collection policy for the main library later this summer; the </w:t>
      </w:r>
      <w:r w:rsidR="00B53BF3">
        <w:rPr>
          <w:rFonts w:asciiTheme="majorHAnsi" w:eastAsia="Calibri" w:hAnsiTheme="majorHAnsi" w:cstheme="majorHAnsi"/>
          <w:bCs/>
          <w:color w:val="000000" w:themeColor="text1"/>
        </w:rPr>
        <w:t xml:space="preserve">top-level policy ties together </w:t>
      </w:r>
      <w:proofErr w:type="gramStart"/>
      <w:r w:rsidR="00B53BF3">
        <w:rPr>
          <w:rFonts w:asciiTheme="majorHAnsi" w:eastAsia="Calibri" w:hAnsiTheme="majorHAnsi" w:cstheme="majorHAnsi"/>
          <w:bCs/>
          <w:color w:val="000000" w:themeColor="text1"/>
        </w:rPr>
        <w:t>all of</w:t>
      </w:r>
      <w:proofErr w:type="gramEnd"/>
      <w:r w:rsidR="00B53BF3">
        <w:rPr>
          <w:rFonts w:asciiTheme="majorHAnsi" w:eastAsia="Calibri" w:hAnsiTheme="majorHAnsi" w:cstheme="majorHAnsi"/>
          <w:bCs/>
          <w:color w:val="000000" w:themeColor="text1"/>
        </w:rPr>
        <w:t xml:space="preserve"> the other individual policies, such as AV, Open Access, Datasets, </w:t>
      </w:r>
      <w:proofErr w:type="spellStart"/>
      <w:r w:rsidR="00B53BF3">
        <w:rPr>
          <w:rFonts w:asciiTheme="majorHAnsi" w:eastAsia="Calibri" w:hAnsiTheme="majorHAnsi" w:cstheme="majorHAnsi"/>
          <w:bCs/>
          <w:color w:val="000000" w:themeColor="text1"/>
        </w:rPr>
        <w:t>etc</w:t>
      </w:r>
      <w:proofErr w:type="spellEnd"/>
      <w:r w:rsidR="00B53BF3">
        <w:rPr>
          <w:rFonts w:asciiTheme="majorHAnsi" w:eastAsia="Calibri" w:hAnsiTheme="majorHAnsi" w:cstheme="majorHAnsi"/>
          <w:bCs/>
          <w:color w:val="000000" w:themeColor="text1"/>
        </w:rPr>
        <w:t>).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="00B53BF3">
        <w:rPr>
          <w:rFonts w:asciiTheme="majorHAnsi" w:eastAsia="Calibri" w:hAnsiTheme="majorHAnsi" w:cstheme="majorHAnsi"/>
          <w:bCs/>
          <w:color w:val="000000" w:themeColor="text1"/>
        </w:rPr>
        <w:t xml:space="preserve">In addition, </w:t>
      </w:r>
      <w:r>
        <w:rPr>
          <w:rFonts w:asciiTheme="majorHAnsi" w:eastAsia="Calibri" w:hAnsiTheme="majorHAnsi" w:cstheme="majorHAnsi"/>
          <w:bCs/>
          <w:color w:val="000000" w:themeColor="text1"/>
        </w:rPr>
        <w:t>each of the individual libraries that report to the University Librarian (Business, Rose [Special Collections], and Health Sciences) are also completing new or revised collection policies and strategies documents.</w:t>
      </w:r>
    </w:p>
    <w:p w14:paraId="5A942782" w14:textId="583E0632" w:rsidR="00DA131B" w:rsidRPr="00806237" w:rsidRDefault="00DA131B" w:rsidP="00A17B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For FY24, potential assessment activities include: (1) an Elsevier journal 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>package review, (2) an update of the print firm order</w:t>
      </w:r>
      <w:r w:rsidR="00D365E4">
        <w:rPr>
          <w:rFonts w:asciiTheme="majorHAnsi" w:eastAsia="Calibri" w:hAnsiTheme="majorHAnsi" w:cstheme="majorHAnsi"/>
          <w:bCs/>
          <w:color w:val="000000" w:themeColor="text1"/>
        </w:rPr>
        <w:t xml:space="preserve"> tableau dashboard</w:t>
      </w:r>
      <w:r w:rsidR="00A17B40" w:rsidRPr="00806237">
        <w:rPr>
          <w:rFonts w:asciiTheme="majorHAnsi" w:eastAsia="Calibri" w:hAnsiTheme="majorHAnsi" w:cstheme="majorHAnsi"/>
          <w:bCs/>
          <w:color w:val="000000" w:themeColor="text1"/>
        </w:rPr>
        <w:t>, and (3) selected EBA performance.</w:t>
      </w:r>
    </w:p>
    <w:p w14:paraId="5B2AD69B" w14:textId="77777777" w:rsidR="00DA131B" w:rsidRPr="00806237" w:rsidRDefault="00DA13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4F81BD"/>
          <w:sz w:val="26"/>
          <w:szCs w:val="26"/>
        </w:rPr>
      </w:pPr>
    </w:p>
    <w:p w14:paraId="309D9AC1" w14:textId="77777777" w:rsidR="00DA131B" w:rsidRPr="00806237" w:rsidRDefault="00DA13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</w:p>
    <w:p w14:paraId="0000000E" w14:textId="77777777" w:rsidR="002E54AC" w:rsidRPr="00806237" w:rsidRDefault="00CF6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  <w:r w:rsidRPr="00806237">
        <w:rPr>
          <w:rFonts w:asciiTheme="majorHAnsi" w:eastAsia="Calibri" w:hAnsiTheme="majorHAnsi" w:cstheme="majorHAnsi"/>
          <w:b/>
          <w:color w:val="4F81BD"/>
          <w:sz w:val="26"/>
          <w:szCs w:val="26"/>
        </w:rPr>
        <w:t>Notable and Newsworthy Collection Development and Acquisition Models</w:t>
      </w:r>
    </w:p>
    <w:p w14:paraId="6F8D2897" w14:textId="77777777" w:rsidR="00C74BD9" w:rsidRPr="00806237" w:rsidRDefault="00C74B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4F81BD"/>
          <w:sz w:val="26"/>
          <w:szCs w:val="26"/>
        </w:rPr>
      </w:pPr>
    </w:p>
    <w:p w14:paraId="54FD715D" w14:textId="172DF6F1" w:rsidR="00C74BD9" w:rsidRPr="00806237" w:rsidRDefault="00C74BD9" w:rsidP="00363D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>Continue to manage 8 EBA plans across a variety of disciplines</w:t>
      </w:r>
      <w:r w:rsidR="003C62D2" w:rsidRPr="00806237">
        <w:rPr>
          <w:rFonts w:asciiTheme="majorHAnsi" w:eastAsia="Calibri" w:hAnsiTheme="majorHAnsi" w:cstheme="majorHAnsi"/>
          <w:bCs/>
          <w:color w:val="000000" w:themeColor="text1"/>
        </w:rPr>
        <w:t>.</w:t>
      </w:r>
    </w:p>
    <w:p w14:paraId="6651A37A" w14:textId="3F270D82" w:rsidR="003C62D2" w:rsidRPr="00806237" w:rsidRDefault="003C62D2" w:rsidP="00363DC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Will add several new Springer packages, some as EBA and some as annual purchases, </w:t>
      </w:r>
      <w:r w:rsidR="00363DC2" w:rsidRPr="00806237">
        <w:rPr>
          <w:rFonts w:asciiTheme="majorHAnsi" w:eastAsia="Calibri" w:hAnsiTheme="majorHAnsi" w:cstheme="majorHAnsi"/>
          <w:bCs/>
          <w:color w:val="000000" w:themeColor="text1"/>
        </w:rPr>
        <w:t>for FY24</w:t>
      </w:r>
      <w:r w:rsidR="00B53BF3">
        <w:rPr>
          <w:rFonts w:asciiTheme="majorHAnsi" w:eastAsia="Calibri" w:hAnsiTheme="majorHAnsi" w:cstheme="majorHAnsi"/>
          <w:bCs/>
          <w:color w:val="000000" w:themeColor="text1"/>
        </w:rPr>
        <w:t xml:space="preserve"> to support new university initiatives in </w:t>
      </w:r>
      <w:proofErr w:type="spellStart"/>
      <w:proofErr w:type="gramStart"/>
      <w:r w:rsidR="00B53BF3">
        <w:rPr>
          <w:rFonts w:asciiTheme="majorHAnsi" w:eastAsia="Calibri" w:hAnsiTheme="majorHAnsi" w:cstheme="majorHAnsi"/>
          <w:bCs/>
          <w:color w:val="000000" w:themeColor="text1"/>
        </w:rPr>
        <w:t>AI.Humanity</w:t>
      </w:r>
      <w:proofErr w:type="spellEnd"/>
      <w:proofErr w:type="gramEnd"/>
      <w:r w:rsidR="00B53BF3">
        <w:rPr>
          <w:rFonts w:asciiTheme="majorHAnsi" w:eastAsia="Calibri" w:hAnsiTheme="majorHAnsi" w:cstheme="majorHAnsi"/>
          <w:bCs/>
          <w:color w:val="000000" w:themeColor="text1"/>
        </w:rPr>
        <w:t xml:space="preserve">, the </w:t>
      </w:r>
      <w:proofErr w:type="spellStart"/>
      <w:r w:rsidR="00B53BF3">
        <w:rPr>
          <w:rFonts w:asciiTheme="majorHAnsi" w:eastAsia="Calibri" w:hAnsiTheme="majorHAnsi" w:cstheme="majorHAnsi"/>
          <w:bCs/>
          <w:color w:val="000000" w:themeColor="text1"/>
        </w:rPr>
        <w:t>Arts@Emory</w:t>
      </w:r>
      <w:proofErr w:type="spellEnd"/>
      <w:r w:rsidR="00B53BF3">
        <w:rPr>
          <w:rFonts w:asciiTheme="majorHAnsi" w:eastAsia="Calibri" w:hAnsiTheme="majorHAnsi" w:cstheme="majorHAnsi"/>
          <w:bCs/>
          <w:color w:val="000000" w:themeColor="text1"/>
        </w:rPr>
        <w:t>, and planned PhD Program in Environmental Sciences</w:t>
      </w:r>
    </w:p>
    <w:p w14:paraId="4F51A93A" w14:textId="71BB5A80" w:rsidR="00806237" w:rsidRPr="00B53BF3" w:rsidRDefault="00C74BD9" w:rsidP="0080623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 w:themeColor="text1"/>
        </w:rPr>
      </w:pPr>
      <w:r w:rsidRPr="00806237">
        <w:rPr>
          <w:rFonts w:asciiTheme="majorHAnsi" w:eastAsia="Calibri" w:hAnsiTheme="majorHAnsi" w:cstheme="majorHAnsi"/>
          <w:bCs/>
          <w:color w:val="000000" w:themeColor="text1"/>
        </w:rPr>
        <w:t xml:space="preserve">Oxford University Press EBA being considered for FY24, dependent on </w:t>
      </w:r>
      <w:r w:rsidR="00363DC2" w:rsidRPr="00806237">
        <w:rPr>
          <w:rFonts w:asciiTheme="majorHAnsi" w:eastAsia="Calibri" w:hAnsiTheme="majorHAnsi" w:cstheme="majorHAnsi"/>
          <w:bCs/>
          <w:color w:val="000000" w:themeColor="text1"/>
        </w:rPr>
        <w:t>allocations.</w:t>
      </w:r>
    </w:p>
    <w:p w14:paraId="58EBBA7A" w14:textId="1D00308A" w:rsidR="00B53BF3" w:rsidRPr="00B53BF3" w:rsidRDefault="00806237" w:rsidP="00B53B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 xml:space="preserve">Ongoing purchase of </w:t>
      </w:r>
      <w:r w:rsidRPr="00B53BF3">
        <w:rPr>
          <w:rFonts w:asciiTheme="majorHAnsi" w:hAnsiTheme="majorHAnsi" w:cstheme="majorHAnsi"/>
          <w:i/>
          <w:iCs/>
        </w:rPr>
        <w:t>Chronicle of Higher Education</w:t>
      </w:r>
      <w:r w:rsidRPr="00806237">
        <w:rPr>
          <w:rFonts w:asciiTheme="majorHAnsi" w:hAnsiTheme="majorHAnsi" w:cstheme="majorHAnsi"/>
        </w:rPr>
        <w:t xml:space="preserve"> Reports, hosted on Alexander Street Press</w:t>
      </w:r>
    </w:p>
    <w:p w14:paraId="0000000F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Scholarly Communication Initiatives and Developments</w:t>
      </w:r>
    </w:p>
    <w:p w14:paraId="7E2E9F7E" w14:textId="1642BF5C" w:rsidR="00C74BD9" w:rsidRPr="00806237" w:rsidRDefault="00C74BD9" w:rsidP="00C74BD9">
      <w:pPr>
        <w:rPr>
          <w:rFonts w:asciiTheme="majorHAnsi" w:hAnsiTheme="majorHAnsi" w:cstheme="majorHAnsi"/>
        </w:rPr>
      </w:pPr>
    </w:p>
    <w:p w14:paraId="1770731E" w14:textId="09ED4718" w:rsidR="00806237" w:rsidRPr="00B53BF3" w:rsidRDefault="00C74BD9" w:rsidP="00B53BF3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53BF3">
        <w:rPr>
          <w:rFonts w:asciiTheme="majorHAnsi" w:hAnsiTheme="majorHAnsi" w:cstheme="majorHAnsi"/>
          <w:b/>
          <w:bCs/>
        </w:rPr>
        <w:lastRenderedPageBreak/>
        <w:t>New for FY23</w:t>
      </w:r>
      <w:r w:rsidR="00806237" w:rsidRPr="00B53BF3">
        <w:rPr>
          <w:rFonts w:asciiTheme="majorHAnsi" w:hAnsiTheme="majorHAnsi" w:cstheme="majorHAnsi"/>
          <w:b/>
          <w:bCs/>
        </w:rPr>
        <w:t>:</w:t>
      </w:r>
      <w:r w:rsidR="00806237">
        <w:rPr>
          <w:rFonts w:asciiTheme="majorHAnsi" w:hAnsiTheme="majorHAnsi" w:cstheme="majorHAnsi"/>
        </w:rPr>
        <w:t xml:space="preserve"> </w:t>
      </w:r>
      <w:r w:rsidRPr="00806237">
        <w:rPr>
          <w:rFonts w:asciiTheme="majorHAnsi" w:hAnsiTheme="majorHAnsi" w:cstheme="majorHAnsi"/>
        </w:rPr>
        <w:t xml:space="preserve">American Chemical Society, </w:t>
      </w:r>
      <w:proofErr w:type="spellStart"/>
      <w:r w:rsidRPr="00806237">
        <w:rPr>
          <w:rFonts w:asciiTheme="majorHAnsi" w:hAnsiTheme="majorHAnsi" w:cstheme="majorHAnsi"/>
        </w:rPr>
        <w:t>consortial</w:t>
      </w:r>
      <w:proofErr w:type="spellEnd"/>
      <w:r w:rsidRPr="00806237">
        <w:rPr>
          <w:rFonts w:asciiTheme="majorHAnsi" w:hAnsiTheme="majorHAnsi" w:cstheme="majorHAnsi"/>
        </w:rPr>
        <w:t xml:space="preserve"> Read and Publish deal through GALILEO</w:t>
      </w:r>
      <w:r w:rsidR="00806237">
        <w:rPr>
          <w:rFonts w:asciiTheme="majorHAnsi" w:hAnsiTheme="majorHAnsi" w:cstheme="majorHAnsi"/>
        </w:rPr>
        <w:t xml:space="preserve">, </w:t>
      </w:r>
      <w:r w:rsidRPr="00806237">
        <w:rPr>
          <w:rFonts w:asciiTheme="majorHAnsi" w:hAnsiTheme="majorHAnsi" w:cstheme="majorHAnsi"/>
        </w:rPr>
        <w:t xml:space="preserve">Institute of Physics </w:t>
      </w:r>
      <w:r w:rsidR="00806237">
        <w:rPr>
          <w:rFonts w:asciiTheme="majorHAnsi" w:hAnsiTheme="majorHAnsi" w:cstheme="majorHAnsi"/>
        </w:rPr>
        <w:t>Read and Publish</w:t>
      </w:r>
      <w:r w:rsidRPr="00806237">
        <w:rPr>
          <w:rFonts w:asciiTheme="majorHAnsi" w:hAnsiTheme="majorHAnsi" w:cstheme="majorHAnsi"/>
        </w:rPr>
        <w:t xml:space="preserve"> Plan (rolling collection)</w:t>
      </w:r>
      <w:r w:rsidR="00806237">
        <w:rPr>
          <w:rFonts w:asciiTheme="majorHAnsi" w:hAnsiTheme="majorHAnsi" w:cstheme="majorHAnsi"/>
        </w:rPr>
        <w:t>, Royal Society Read and Publish</w:t>
      </w:r>
    </w:p>
    <w:p w14:paraId="5C60275C" w14:textId="02197331" w:rsidR="00C74BD9" w:rsidRPr="00B53BF3" w:rsidRDefault="00000000" w:rsidP="00C74BD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hyperlink r:id="rId7" w:history="1">
        <w:r w:rsidR="00C74BD9" w:rsidRPr="00806237">
          <w:rPr>
            <w:rStyle w:val="Hyperlink"/>
            <w:rFonts w:asciiTheme="majorHAnsi" w:hAnsiTheme="majorHAnsi" w:cstheme="majorHAnsi"/>
          </w:rPr>
          <w:t>Current Investments</w:t>
        </w:r>
        <w:r w:rsidR="00A17B40" w:rsidRPr="00806237">
          <w:rPr>
            <w:rStyle w:val="Hyperlink"/>
            <w:rFonts w:asciiTheme="majorHAnsi" w:hAnsiTheme="majorHAnsi" w:cstheme="majorHAnsi"/>
          </w:rPr>
          <w:t xml:space="preserve"> in Open Access Initiatives and Infrastructure</w:t>
        </w:r>
      </w:hyperlink>
      <w:r w:rsidR="00B53BF3">
        <w:rPr>
          <w:rStyle w:val="Hyperlink"/>
          <w:rFonts w:asciiTheme="majorHAnsi" w:hAnsiTheme="majorHAnsi" w:cstheme="majorHAnsi"/>
        </w:rPr>
        <w:t xml:space="preserve"> </w:t>
      </w:r>
    </w:p>
    <w:p w14:paraId="04C6F773" w14:textId="3A1374F5" w:rsidR="00C74BD9" w:rsidRPr="00806237" w:rsidRDefault="00C74BD9" w:rsidP="008062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Jun</w:t>
      </w:r>
      <w:r w:rsidR="00B53BF3">
        <w:rPr>
          <w:rFonts w:asciiTheme="majorHAnsi" w:hAnsiTheme="majorHAnsi" w:cstheme="majorHAnsi"/>
        </w:rPr>
        <w:t>e</w:t>
      </w:r>
      <w:r w:rsidRPr="00806237">
        <w:rPr>
          <w:rFonts w:asciiTheme="majorHAnsi" w:hAnsiTheme="majorHAnsi" w:cstheme="majorHAnsi"/>
        </w:rPr>
        <w:t xml:space="preserve"> 2023 Revision of our Open Access Collection Development Policy</w:t>
      </w:r>
      <w:r w:rsidR="00B53BF3">
        <w:rPr>
          <w:rFonts w:asciiTheme="majorHAnsi" w:hAnsiTheme="majorHAnsi" w:cstheme="majorHAnsi"/>
        </w:rPr>
        <w:t xml:space="preserve"> to address increase in transformative agreement offers and pure OA.</w:t>
      </w:r>
    </w:p>
    <w:p w14:paraId="00000010" w14:textId="77777777" w:rsidR="002E54AC" w:rsidRPr="00806237" w:rsidRDefault="00CF67DA">
      <w:pPr>
        <w:pStyle w:val="Heading2"/>
        <w:rPr>
          <w:rFonts w:asciiTheme="majorHAnsi" w:eastAsia="Cambria" w:hAnsiTheme="majorHAnsi" w:cstheme="majorHAnsi"/>
          <w:b w:val="0"/>
          <w:color w:val="000000"/>
          <w:sz w:val="24"/>
          <w:szCs w:val="24"/>
        </w:rPr>
      </w:pPr>
      <w:r w:rsidRPr="00806237">
        <w:rPr>
          <w:rFonts w:asciiTheme="majorHAnsi" w:hAnsiTheme="majorHAnsi" w:cstheme="majorHAnsi"/>
        </w:rPr>
        <w:t>Notable Acquisitions, Grants, Exhibits</w:t>
      </w:r>
    </w:p>
    <w:p w14:paraId="00000011" w14:textId="77777777" w:rsidR="002E54AC" w:rsidRPr="00806237" w:rsidRDefault="00CF67DA">
      <w:pPr>
        <w:pStyle w:val="Heading2"/>
        <w:ind w:firstLine="720"/>
        <w:rPr>
          <w:rFonts w:asciiTheme="majorHAnsi" w:hAnsiTheme="majorHAnsi" w:cstheme="majorHAnsi"/>
        </w:rPr>
      </w:pPr>
      <w:bookmarkStart w:id="6" w:name="_kbo8evcmeyo7" w:colFirst="0" w:colLast="0"/>
      <w:bookmarkEnd w:id="6"/>
      <w:r w:rsidRPr="00806237">
        <w:rPr>
          <w:rFonts w:asciiTheme="majorHAnsi" w:hAnsiTheme="majorHAnsi" w:cstheme="majorHAnsi"/>
        </w:rPr>
        <w:t>Special Collections/Archives</w:t>
      </w:r>
    </w:p>
    <w:p w14:paraId="2B31DF02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Jim Alexander photographs</w:t>
      </w:r>
    </w:p>
    <w:p w14:paraId="33450CCB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Doris Derby papers</w:t>
      </w:r>
    </w:p>
    <w:p w14:paraId="7B08A301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Major Jackson papers</w:t>
      </w:r>
    </w:p>
    <w:p w14:paraId="156266B6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Gary Monroe photographs</w:t>
      </w:r>
    </w:p>
    <w:p w14:paraId="7B0B05A4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Lawrence O'Halloran collection of Derek Mahon papers</w:t>
      </w:r>
    </w:p>
    <w:p w14:paraId="70E46740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Kathy Perkins papers</w:t>
      </w:r>
    </w:p>
    <w:p w14:paraId="0559FA10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Ed Roberson papers</w:t>
      </w:r>
    </w:p>
    <w:p w14:paraId="67DAFC5F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Carolyn Rodgers papers</w:t>
      </w:r>
    </w:p>
    <w:p w14:paraId="5710AA11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Aram Saroyan papers</w:t>
      </w:r>
    </w:p>
    <w:p w14:paraId="35593B0C" w14:textId="77777777" w:rsidR="00C74BD9" w:rsidRPr="00806237" w:rsidRDefault="00C74BD9" w:rsidP="008062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Michael Schwarz photographs</w:t>
      </w:r>
    </w:p>
    <w:p w14:paraId="6E37B606" w14:textId="77777777" w:rsidR="00C74BD9" w:rsidRPr="00806237" w:rsidRDefault="00C74BD9" w:rsidP="00C74BD9">
      <w:pPr>
        <w:rPr>
          <w:rFonts w:asciiTheme="majorHAnsi" w:hAnsiTheme="majorHAnsi" w:cstheme="majorHAnsi"/>
        </w:rPr>
      </w:pPr>
    </w:p>
    <w:p w14:paraId="00000012" w14:textId="77777777" w:rsidR="002E54AC" w:rsidRPr="00806237" w:rsidRDefault="00CF67DA">
      <w:pPr>
        <w:pStyle w:val="Heading2"/>
        <w:ind w:firstLine="720"/>
        <w:rPr>
          <w:rFonts w:asciiTheme="majorHAnsi" w:hAnsiTheme="majorHAnsi" w:cstheme="majorHAnsi"/>
        </w:rPr>
      </w:pPr>
      <w:bookmarkStart w:id="7" w:name="_657kndzu77p" w:colFirst="0" w:colLast="0"/>
      <w:bookmarkEnd w:id="7"/>
      <w:r w:rsidRPr="00806237">
        <w:rPr>
          <w:rFonts w:asciiTheme="majorHAnsi" w:hAnsiTheme="majorHAnsi" w:cstheme="majorHAnsi"/>
        </w:rPr>
        <w:t>General Collections</w:t>
      </w:r>
    </w:p>
    <w:p w14:paraId="4197F094" w14:textId="77777777" w:rsidR="00806237" w:rsidRPr="00806237" w:rsidRDefault="00806237" w:rsidP="00806237">
      <w:pPr>
        <w:rPr>
          <w:rFonts w:asciiTheme="majorHAnsi" w:hAnsiTheme="majorHAnsi" w:cstheme="majorHAnsi"/>
        </w:rPr>
      </w:pPr>
    </w:p>
    <w:p w14:paraId="1D33F192" w14:textId="31F8286F" w:rsidR="00806237" w:rsidRPr="00806237" w:rsidRDefault="00806237" w:rsidP="008062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806237">
        <w:rPr>
          <w:rFonts w:asciiTheme="majorHAnsi" w:hAnsiTheme="majorHAnsi" w:cstheme="majorHAnsi"/>
          <w:b/>
          <w:bCs/>
        </w:rPr>
        <w:t>Data and Data Tools</w:t>
      </w:r>
    </w:p>
    <w:p w14:paraId="115B196B" w14:textId="1747166C" w:rsidR="00363DC2" w:rsidRPr="00806237" w:rsidRDefault="00363DC2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ProQuest TDM Studio</w:t>
      </w:r>
    </w:p>
    <w:p w14:paraId="4A34368D" w14:textId="405A4F47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proofErr w:type="spellStart"/>
      <w:r w:rsidRPr="00806237">
        <w:rPr>
          <w:rFonts w:asciiTheme="majorHAnsi" w:hAnsiTheme="majorHAnsi" w:cstheme="majorHAnsi"/>
        </w:rPr>
        <w:t>Lantia</w:t>
      </w:r>
      <w:proofErr w:type="spellEnd"/>
      <w:r w:rsidRPr="00806237">
        <w:rPr>
          <w:rFonts w:asciiTheme="majorHAnsi" w:hAnsiTheme="majorHAnsi" w:cstheme="majorHAnsi"/>
        </w:rPr>
        <w:t xml:space="preserve"> Intelligence Premium</w:t>
      </w:r>
    </w:p>
    <w:p w14:paraId="15B84E88" w14:textId="76DBA4E8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proofErr w:type="spellStart"/>
      <w:r w:rsidRPr="00806237">
        <w:rPr>
          <w:rFonts w:asciiTheme="majorHAnsi" w:hAnsiTheme="majorHAnsi" w:cstheme="majorHAnsi"/>
        </w:rPr>
        <w:t>WavTeq</w:t>
      </w:r>
      <w:proofErr w:type="spellEnd"/>
      <w:r w:rsidRPr="00806237">
        <w:rPr>
          <w:rFonts w:asciiTheme="majorHAnsi" w:hAnsiTheme="majorHAnsi" w:cstheme="majorHAnsi"/>
        </w:rPr>
        <w:t xml:space="preserve"> Financial Data</w:t>
      </w:r>
    </w:p>
    <w:p w14:paraId="48D0F30B" w14:textId="202A6968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Global Data Medical Devices and Pharmaceuticals (Renewal)</w:t>
      </w:r>
    </w:p>
    <w:p w14:paraId="6A7AEEF6" w14:textId="00F943B1" w:rsidR="00806237" w:rsidRPr="00806237" w:rsidRDefault="00806237" w:rsidP="008062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806237">
        <w:rPr>
          <w:rFonts w:asciiTheme="majorHAnsi" w:hAnsiTheme="majorHAnsi" w:cstheme="majorHAnsi"/>
          <w:b/>
          <w:bCs/>
        </w:rPr>
        <w:t>Audiovisual</w:t>
      </w:r>
    </w:p>
    <w:p w14:paraId="05A41940" w14:textId="635261B3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proofErr w:type="spellStart"/>
      <w:r w:rsidRPr="00806237">
        <w:rPr>
          <w:rFonts w:asciiTheme="majorHAnsi" w:hAnsiTheme="majorHAnsi" w:cstheme="majorHAnsi"/>
        </w:rPr>
        <w:t>ProjectR</w:t>
      </w:r>
      <w:proofErr w:type="spellEnd"/>
      <w:r w:rsidRPr="00806237">
        <w:rPr>
          <w:rFonts w:asciiTheme="majorHAnsi" w:hAnsiTheme="majorHAnsi" w:cstheme="majorHAnsi"/>
        </w:rPr>
        <w:t xml:space="preserve"> (Grasshopper Streaming Video)</w:t>
      </w:r>
    </w:p>
    <w:p w14:paraId="7E245224" w14:textId="43D0871C" w:rsidR="0027200C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proofErr w:type="spellStart"/>
      <w:r w:rsidRPr="00806237">
        <w:rPr>
          <w:rFonts w:asciiTheme="majorHAnsi" w:hAnsiTheme="majorHAnsi" w:cstheme="majorHAnsi"/>
        </w:rPr>
        <w:t>Platino</w:t>
      </w:r>
      <w:proofErr w:type="spellEnd"/>
      <w:r w:rsidRPr="00806237">
        <w:rPr>
          <w:rFonts w:asciiTheme="majorHAnsi" w:hAnsiTheme="majorHAnsi" w:cstheme="majorHAnsi"/>
        </w:rPr>
        <w:t xml:space="preserve"> </w:t>
      </w:r>
      <w:proofErr w:type="spellStart"/>
      <w:r w:rsidRPr="00806237">
        <w:rPr>
          <w:rFonts w:asciiTheme="majorHAnsi" w:hAnsiTheme="majorHAnsi" w:cstheme="majorHAnsi"/>
        </w:rPr>
        <w:t>Educa</w:t>
      </w:r>
      <w:proofErr w:type="spellEnd"/>
      <w:r w:rsidRPr="00806237">
        <w:rPr>
          <w:rFonts w:asciiTheme="majorHAnsi" w:hAnsiTheme="majorHAnsi" w:cstheme="majorHAnsi"/>
        </w:rPr>
        <w:t xml:space="preserve"> (Spanish-language streaming video/feature films)</w:t>
      </w:r>
    </w:p>
    <w:p w14:paraId="0FA5CFA5" w14:textId="6B74D951" w:rsidR="00806237" w:rsidRPr="00806237" w:rsidRDefault="00806237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Re-e</w:t>
      </w:r>
      <w:r w:rsidR="00B53BF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tablished plan with Midwest Tapes for physical AV acquisitions and long-term collection development of AV</w:t>
      </w:r>
    </w:p>
    <w:p w14:paraId="00FB049F" w14:textId="183407B0" w:rsidR="0027200C" w:rsidRPr="00806237" w:rsidRDefault="00363DC2" w:rsidP="008062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806237">
        <w:rPr>
          <w:rFonts w:asciiTheme="majorHAnsi" w:hAnsiTheme="majorHAnsi" w:cstheme="majorHAnsi"/>
          <w:b/>
          <w:bCs/>
        </w:rPr>
        <w:t>Primary Source Collections</w:t>
      </w:r>
      <w:r w:rsidR="0027200C" w:rsidRPr="00806237">
        <w:rPr>
          <w:rFonts w:asciiTheme="majorHAnsi" w:hAnsiTheme="majorHAnsi" w:cstheme="majorHAnsi"/>
          <w:b/>
          <w:bCs/>
        </w:rPr>
        <w:t xml:space="preserve"> Purchases</w:t>
      </w:r>
    </w:p>
    <w:p w14:paraId="608A4DF8" w14:textId="62CD86DF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Classic Brazilian American Cinema</w:t>
      </w:r>
    </w:p>
    <w:p w14:paraId="3C3FFB12" w14:textId="77777777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eastAsia="Times New Roman" w:hAnsiTheme="majorHAnsi" w:cstheme="majorHAnsi"/>
          <w:color w:val="212121"/>
        </w:rPr>
      </w:pPr>
      <w:r w:rsidRPr="00806237">
        <w:rPr>
          <w:rFonts w:asciiTheme="majorHAnsi" w:eastAsia="Times New Roman" w:hAnsiTheme="majorHAnsi" w:cstheme="majorHAnsi"/>
          <w:color w:val="212121"/>
        </w:rPr>
        <w:t>Kenya Under Colonial Rule</w:t>
      </w:r>
    </w:p>
    <w:p w14:paraId="66498B97" w14:textId="77777777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0623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19th C. UK Periodicals I: Women's, Children's, </w:t>
      </w:r>
      <w:proofErr w:type="spellStart"/>
      <w:r w:rsidRPr="00806237">
        <w:rPr>
          <w:rFonts w:asciiTheme="majorHAnsi" w:eastAsia="Times New Roman" w:hAnsiTheme="majorHAnsi" w:cstheme="majorHAnsi"/>
          <w:color w:val="000000"/>
          <w:sz w:val="22"/>
          <w:szCs w:val="22"/>
        </w:rPr>
        <w:t>Humour</w:t>
      </w:r>
      <w:proofErr w:type="spellEnd"/>
      <w:r w:rsidRPr="00806237">
        <w:rPr>
          <w:rFonts w:asciiTheme="majorHAnsi" w:eastAsia="Times New Roman" w:hAnsiTheme="majorHAnsi" w:cstheme="majorHAnsi"/>
          <w:color w:val="000000"/>
          <w:sz w:val="22"/>
          <w:szCs w:val="22"/>
        </w:rPr>
        <w:t>, Leisure</w:t>
      </w:r>
    </w:p>
    <w:p w14:paraId="6E3A853E" w14:textId="77777777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06237">
        <w:rPr>
          <w:rFonts w:asciiTheme="majorHAnsi" w:eastAsia="Times New Roman" w:hAnsiTheme="majorHAnsi" w:cstheme="majorHAnsi"/>
          <w:color w:val="000000"/>
          <w:sz w:val="22"/>
          <w:szCs w:val="22"/>
        </w:rPr>
        <w:t>19th C. UK Periodicals II: Empire/Colonial, Travel, Culture, Missions</w:t>
      </w:r>
    </w:p>
    <w:p w14:paraId="2787CB82" w14:textId="24929A87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</w:rPr>
      </w:pPr>
      <w:r w:rsidRPr="00806237">
        <w:rPr>
          <w:rFonts w:asciiTheme="majorHAnsi" w:hAnsiTheme="majorHAnsi" w:cstheme="majorHAnsi"/>
          <w:i/>
          <w:iCs/>
        </w:rPr>
        <w:t>Hindustan Times</w:t>
      </w:r>
    </w:p>
    <w:p w14:paraId="32BF39E9" w14:textId="3A1ED85B" w:rsidR="0027200C" w:rsidRPr="00806237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</w:rPr>
      </w:pPr>
      <w:r w:rsidRPr="00806237">
        <w:rPr>
          <w:rFonts w:asciiTheme="majorHAnsi" w:hAnsiTheme="majorHAnsi" w:cstheme="majorHAnsi"/>
          <w:i/>
          <w:iCs/>
        </w:rPr>
        <w:t>Louisville Defender</w:t>
      </w:r>
    </w:p>
    <w:p w14:paraId="7275A6C2" w14:textId="2AC680CD" w:rsidR="0027200C" w:rsidRDefault="0027200C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</w:rPr>
      </w:pPr>
      <w:r w:rsidRPr="00806237">
        <w:rPr>
          <w:rFonts w:asciiTheme="majorHAnsi" w:hAnsiTheme="majorHAnsi" w:cstheme="majorHAnsi"/>
          <w:i/>
          <w:iCs/>
        </w:rPr>
        <w:t>Philadelphia Inquirer</w:t>
      </w:r>
    </w:p>
    <w:p w14:paraId="5B699A32" w14:textId="36FA16F9" w:rsidR="00806237" w:rsidRPr="00806237" w:rsidRDefault="00806237" w:rsidP="008062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i/>
          <w:iCs/>
        </w:rPr>
      </w:pPr>
      <w:r w:rsidRPr="00806237">
        <w:rPr>
          <w:rFonts w:asciiTheme="majorHAnsi" w:hAnsiTheme="majorHAnsi" w:cstheme="majorHAnsi"/>
          <w:b/>
          <w:bCs/>
        </w:rPr>
        <w:t>Other</w:t>
      </w:r>
    </w:p>
    <w:p w14:paraId="703C1F35" w14:textId="77777777" w:rsidR="00806237" w:rsidRPr="00806237" w:rsidRDefault="00806237" w:rsidP="00806237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 xml:space="preserve">Ongoing purchase of </w:t>
      </w:r>
      <w:r w:rsidRPr="00B53BF3">
        <w:rPr>
          <w:rFonts w:asciiTheme="majorHAnsi" w:hAnsiTheme="majorHAnsi" w:cstheme="majorHAnsi"/>
          <w:i/>
          <w:iCs/>
        </w:rPr>
        <w:t>Chronicle of Higher Education</w:t>
      </w:r>
      <w:r w:rsidRPr="00806237">
        <w:rPr>
          <w:rFonts w:asciiTheme="majorHAnsi" w:hAnsiTheme="majorHAnsi" w:cstheme="majorHAnsi"/>
        </w:rPr>
        <w:t xml:space="preserve"> Reports, hosted on Alexander Street Press</w:t>
      </w:r>
    </w:p>
    <w:p w14:paraId="7FC5F9A3" w14:textId="5E5484BB" w:rsidR="00B53BF3" w:rsidRDefault="00806237" w:rsidP="00B53BF3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proofErr w:type="spellStart"/>
      <w:r w:rsidRPr="00806237">
        <w:rPr>
          <w:rFonts w:asciiTheme="majorHAnsi" w:hAnsiTheme="majorHAnsi" w:cstheme="majorHAnsi"/>
        </w:rPr>
        <w:t>Kyobo</w:t>
      </w:r>
      <w:proofErr w:type="spellEnd"/>
      <w:r w:rsidRPr="00806237">
        <w:rPr>
          <w:rFonts w:asciiTheme="majorHAnsi" w:hAnsiTheme="majorHAnsi" w:cstheme="majorHAnsi"/>
        </w:rPr>
        <w:t xml:space="preserve"> Scholar</w:t>
      </w:r>
    </w:p>
    <w:p w14:paraId="33FC9D3F" w14:textId="77777777" w:rsidR="00B53BF3" w:rsidRDefault="00B53BF3" w:rsidP="00B53BF3">
      <w:pPr>
        <w:rPr>
          <w:rFonts w:asciiTheme="majorHAnsi" w:hAnsiTheme="majorHAnsi" w:cstheme="majorHAnsi"/>
        </w:rPr>
      </w:pPr>
    </w:p>
    <w:p w14:paraId="6DCBB64C" w14:textId="406C85FE" w:rsidR="00B53BF3" w:rsidRPr="00B53BF3" w:rsidRDefault="00B53BF3" w:rsidP="00B53B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New shelving on main floor installed to highlight new books/print acquisitions, along with popular reading (McNaughton). In addition, some of this new shelving will be used for a semi-permanent graphic novels display (to replace the graphic novels exhibit de-installed after commencement) along with student and staff-led mini-displays (Lambda literary awards and </w:t>
      </w:r>
      <w:proofErr w:type="spellStart"/>
      <w:r>
        <w:rPr>
          <w:rFonts w:asciiTheme="majorHAnsi" w:hAnsiTheme="majorHAnsi" w:cstheme="majorHAnsi"/>
        </w:rPr>
        <w:t>Homosaurus</w:t>
      </w:r>
      <w:proofErr w:type="spellEnd"/>
      <w:r>
        <w:rPr>
          <w:rFonts w:asciiTheme="majorHAnsi" w:hAnsiTheme="majorHAnsi" w:cstheme="majorHAnsi"/>
        </w:rPr>
        <w:t xml:space="preserve"> project and Afro-Futurism, Emory authors).</w:t>
      </w:r>
      <w:r w:rsidR="00337CA7">
        <w:rPr>
          <w:rFonts w:asciiTheme="majorHAnsi" w:hAnsiTheme="majorHAnsi" w:cstheme="majorHAnsi"/>
        </w:rPr>
        <w:t xml:space="preserve"> We are looking at new ways to highlight the increasing number of e-books in our collection into these displays.</w:t>
      </w:r>
    </w:p>
    <w:p w14:paraId="07BDB6B5" w14:textId="77777777" w:rsidR="00B53BF3" w:rsidRPr="00806237" w:rsidRDefault="00B53BF3" w:rsidP="00363DC2">
      <w:pPr>
        <w:rPr>
          <w:rFonts w:asciiTheme="majorHAnsi" w:hAnsiTheme="majorHAnsi" w:cstheme="majorHAnsi"/>
        </w:rPr>
      </w:pPr>
    </w:p>
    <w:p w14:paraId="3D003E6D" w14:textId="186F3246" w:rsidR="00363DC2" w:rsidRPr="00806237" w:rsidRDefault="00363DC2" w:rsidP="00363DC2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Our Digital Collections repository continued to grow, with an emphasis on both new and legacy collections. A few highlights over the past year:</w:t>
      </w:r>
    </w:p>
    <w:p w14:paraId="0A765F05" w14:textId="77777777" w:rsidR="00363DC2" w:rsidRPr="00806237" w:rsidRDefault="00363DC2" w:rsidP="00363DC2">
      <w:pPr>
        <w:rPr>
          <w:rFonts w:asciiTheme="majorHAnsi" w:hAnsiTheme="majorHAnsi" w:cstheme="majorHAnsi"/>
        </w:rPr>
      </w:pPr>
    </w:p>
    <w:p w14:paraId="6D3CA918" w14:textId="63B5CAE9" w:rsidR="00363DC2" w:rsidRPr="00806237" w:rsidRDefault="00000000" w:rsidP="00363DC2">
      <w:pPr>
        <w:rPr>
          <w:rFonts w:asciiTheme="majorHAnsi" w:hAnsiTheme="majorHAnsi" w:cstheme="majorHAnsi"/>
        </w:rPr>
      </w:pPr>
      <w:hyperlink r:id="rId8" w:history="1">
        <w:r w:rsidR="00363DC2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Emory Lawyer Magazine</w:t>
        </w:r>
      </w:hyperlink>
    </w:p>
    <w:p w14:paraId="7811322B" w14:textId="1BFCC0D8" w:rsidR="00363DC2" w:rsidRPr="00806237" w:rsidRDefault="00000000" w:rsidP="00363DC2">
      <w:pPr>
        <w:rPr>
          <w:rFonts w:asciiTheme="majorHAnsi" w:hAnsiTheme="majorHAnsi" w:cstheme="majorHAnsi"/>
        </w:rPr>
      </w:pPr>
      <w:hyperlink r:id="rId9" w:history="1"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William H. Scott Family Papers, 1848-1982</w:t>
        </w:r>
      </w:hyperlink>
    </w:p>
    <w:p w14:paraId="323AC399" w14:textId="49716B7D" w:rsidR="0027200C" w:rsidRPr="00806237" w:rsidRDefault="00000000" w:rsidP="00363DC2">
      <w:pPr>
        <w:rPr>
          <w:rFonts w:asciiTheme="majorHAnsi" w:hAnsiTheme="majorHAnsi" w:cstheme="majorHAnsi"/>
        </w:rPr>
      </w:pPr>
      <w:hyperlink r:id="rId10" w:history="1"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Emory Phoenix, Mirror, and Georgia College Journal</w:t>
        </w:r>
      </w:hyperlink>
    </w:p>
    <w:p w14:paraId="4EE30F75" w14:textId="77DBDB25" w:rsidR="0027200C" w:rsidRPr="00806237" w:rsidRDefault="00000000" w:rsidP="00363DC2">
      <w:pPr>
        <w:rPr>
          <w:rFonts w:asciiTheme="majorHAnsi" w:hAnsiTheme="majorHAnsi" w:cstheme="majorHAnsi"/>
        </w:rPr>
      </w:pPr>
      <w:hyperlink r:id="rId11" w:history="1"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South Asia Open Archives at Emory</w:t>
        </w:r>
      </w:hyperlink>
    </w:p>
    <w:p w14:paraId="481BBD4D" w14:textId="240DC529" w:rsidR="0027200C" w:rsidRPr="00806237" w:rsidRDefault="00000000" w:rsidP="00363DC2">
      <w:pPr>
        <w:rPr>
          <w:rFonts w:asciiTheme="majorHAnsi" w:hAnsiTheme="majorHAnsi" w:cstheme="majorHAnsi"/>
        </w:rPr>
      </w:pPr>
      <w:hyperlink r:id="rId12" w:history="1"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 xml:space="preserve">Yun </w:t>
        </w:r>
        <w:proofErr w:type="gramStart"/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Ch‘</w:t>
        </w:r>
        <w:proofErr w:type="gramEnd"/>
        <w:r w:rsidR="0027200C" w:rsidRPr="00806237">
          <w:rPr>
            <w:rStyle w:val="Hyperlink"/>
            <w:rFonts w:asciiTheme="majorHAnsi" w:hAnsiTheme="majorHAnsi" w:cstheme="majorHAnsi"/>
            <w:b/>
            <w:bCs/>
            <w:color w:val="5387F7"/>
            <w:sz w:val="23"/>
            <w:szCs w:val="23"/>
            <w:shd w:val="clear" w:color="auto" w:fill="FFFFFF"/>
          </w:rPr>
          <w:t>i-ho Papers</w:t>
        </w:r>
      </w:hyperlink>
    </w:p>
    <w:p w14:paraId="71A93B3F" w14:textId="77777777" w:rsidR="00363DC2" w:rsidRPr="00806237" w:rsidRDefault="00363DC2" w:rsidP="00363DC2">
      <w:pPr>
        <w:rPr>
          <w:rFonts w:asciiTheme="majorHAnsi" w:hAnsiTheme="majorHAnsi" w:cstheme="majorHAnsi"/>
        </w:rPr>
      </w:pPr>
    </w:p>
    <w:p w14:paraId="00000013" w14:textId="77777777" w:rsidR="002E54AC" w:rsidRPr="00806237" w:rsidRDefault="00CF67DA">
      <w:pPr>
        <w:pStyle w:val="Heading2"/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>“Top of Mind” (Challenges, Issues, etc. to surface)</w:t>
      </w:r>
    </w:p>
    <w:p w14:paraId="56EF87DC" w14:textId="77777777" w:rsidR="00337CA7" w:rsidRDefault="00337CA7" w:rsidP="00337CA7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bookmarkStart w:id="8" w:name="_2z6wxuuq1pft" w:colFirst="0" w:colLast="0"/>
      <w:bookmarkEnd w:id="8"/>
    </w:p>
    <w:p w14:paraId="7CCEF917" w14:textId="46B633D7" w:rsidR="00B53BF3" w:rsidRPr="00337CA7" w:rsidRDefault="00B53BF3" w:rsidP="00337C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 w:rsidRPr="00337CA7">
        <w:rPr>
          <w:rFonts w:asciiTheme="majorHAnsi" w:hAnsiTheme="majorHAnsi" w:cstheme="majorHAnsi"/>
          <w:bCs/>
          <w:color w:val="000000" w:themeColor="text1"/>
        </w:rPr>
        <w:t>Managing increasing number of dataset requests, including establ</w:t>
      </w:r>
      <w:r w:rsidR="00337CA7" w:rsidRPr="00337CA7">
        <w:rPr>
          <w:rFonts w:asciiTheme="majorHAnsi" w:hAnsiTheme="majorHAnsi" w:cstheme="majorHAnsi"/>
          <w:bCs/>
          <w:color w:val="000000" w:themeColor="text1"/>
        </w:rPr>
        <w:t>ishing a more sustainable (and affordable) TDM support model</w:t>
      </w:r>
    </w:p>
    <w:p w14:paraId="5124B013" w14:textId="46BA36A9" w:rsidR="00337CA7" w:rsidRDefault="00337CA7" w:rsidP="00337C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 w:rsidRPr="00337CA7">
        <w:rPr>
          <w:rFonts w:asciiTheme="majorHAnsi" w:hAnsiTheme="majorHAnsi" w:cstheme="majorHAnsi"/>
          <w:bCs/>
          <w:color w:val="000000" w:themeColor="text1"/>
        </w:rPr>
        <w:t>Implications of dominant e-book access models for Interlibrary Loan</w:t>
      </w:r>
    </w:p>
    <w:p w14:paraId="656B8C8E" w14:textId="3C067153" w:rsidR="00337CA7" w:rsidRDefault="00337CA7" w:rsidP="00337C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Budget for FY24</w:t>
      </w:r>
    </w:p>
    <w:p w14:paraId="7A07D553" w14:textId="633AEA32" w:rsidR="00337CA7" w:rsidRPr="00337CA7" w:rsidRDefault="00337CA7" w:rsidP="00337C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Future of transformative agreements</w:t>
      </w:r>
    </w:p>
    <w:p w14:paraId="10D9EE5C" w14:textId="77777777" w:rsidR="00337CA7" w:rsidRPr="00B53BF3" w:rsidRDefault="00337CA7" w:rsidP="00B53BF3"/>
    <w:p w14:paraId="00000015" w14:textId="77777777" w:rsidR="002E54AC" w:rsidRPr="00806237" w:rsidRDefault="002E54AC">
      <w:pPr>
        <w:rPr>
          <w:rFonts w:asciiTheme="majorHAnsi" w:hAnsiTheme="majorHAnsi" w:cstheme="majorHAnsi"/>
        </w:rPr>
      </w:pPr>
    </w:p>
    <w:p w14:paraId="00000016" w14:textId="77777777" w:rsidR="002E54AC" w:rsidRPr="00806237" w:rsidRDefault="002E54AC">
      <w:pPr>
        <w:rPr>
          <w:rFonts w:asciiTheme="majorHAnsi" w:hAnsiTheme="majorHAnsi" w:cstheme="majorHAnsi"/>
        </w:rPr>
      </w:pPr>
    </w:p>
    <w:p w14:paraId="00000017" w14:textId="77777777" w:rsidR="002E54AC" w:rsidRPr="00806237" w:rsidRDefault="002E54AC">
      <w:pPr>
        <w:rPr>
          <w:rFonts w:asciiTheme="majorHAnsi" w:hAnsiTheme="majorHAnsi" w:cstheme="majorHAnsi"/>
        </w:rPr>
      </w:pPr>
    </w:p>
    <w:p w14:paraId="0000001B" w14:textId="18AE1F95" w:rsidR="002E54AC" w:rsidRPr="00806237" w:rsidRDefault="00CF67DA">
      <w:pPr>
        <w:rPr>
          <w:rFonts w:asciiTheme="majorHAnsi" w:hAnsiTheme="majorHAnsi" w:cstheme="majorHAnsi"/>
        </w:rPr>
      </w:pPr>
      <w:r w:rsidRPr="00806237">
        <w:rPr>
          <w:rFonts w:asciiTheme="majorHAnsi" w:hAnsiTheme="majorHAnsi" w:cstheme="majorHAnsi"/>
        </w:rPr>
        <w:t xml:space="preserve"> </w:t>
      </w:r>
    </w:p>
    <w:sectPr w:rsidR="002E54AC" w:rsidRPr="00806237"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7A1" w14:textId="77777777" w:rsidR="000805B0" w:rsidRDefault="000805B0">
      <w:r>
        <w:separator/>
      </w:r>
    </w:p>
  </w:endnote>
  <w:endnote w:type="continuationSeparator" w:id="0">
    <w:p w14:paraId="2E1AD4A0" w14:textId="77777777" w:rsidR="000805B0" w:rsidRDefault="000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2E54AC" w:rsidRDefault="00CF6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8" w14:textId="77777777" w:rsidR="002E54AC" w:rsidRDefault="002E5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482713E6" w:rsidR="002E54AC" w:rsidRDefault="00CF6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BFBFBF"/>
      </w:rPr>
    </w:pPr>
    <w:r>
      <w:rPr>
        <w:color w:val="BFBFBF"/>
      </w:rPr>
      <w:fldChar w:fldCharType="begin"/>
    </w:r>
    <w:r>
      <w:rPr>
        <w:color w:val="BFBFBF"/>
      </w:rPr>
      <w:instrText>PAGE</w:instrText>
    </w:r>
    <w:r>
      <w:rPr>
        <w:color w:val="BFBFBF"/>
      </w:rPr>
      <w:fldChar w:fldCharType="separate"/>
    </w:r>
    <w:r w:rsidR="00C94487">
      <w:rPr>
        <w:noProof/>
        <w:color w:val="BFBFBF"/>
      </w:rPr>
      <w:t>1</w:t>
    </w:r>
    <w:r>
      <w:rPr>
        <w:color w:val="BFBFBF"/>
      </w:rPr>
      <w:fldChar w:fldCharType="end"/>
    </w:r>
  </w:p>
  <w:p w14:paraId="00000026" w14:textId="77777777" w:rsidR="002E54AC" w:rsidRDefault="002E54AC">
    <w:pPr>
      <w:rPr>
        <w:color w:val="BFBF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94B4" w14:textId="77777777" w:rsidR="000805B0" w:rsidRDefault="000805B0">
      <w:r>
        <w:separator/>
      </w:r>
    </w:p>
  </w:footnote>
  <w:footnote w:type="continuationSeparator" w:id="0">
    <w:p w14:paraId="6F6C843E" w14:textId="77777777" w:rsidR="000805B0" w:rsidRDefault="0008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F9"/>
    <w:multiLevelType w:val="hybridMultilevel"/>
    <w:tmpl w:val="A1D0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5C8C"/>
    <w:multiLevelType w:val="hybridMultilevel"/>
    <w:tmpl w:val="6AFE0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520C4"/>
    <w:multiLevelType w:val="hybridMultilevel"/>
    <w:tmpl w:val="939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9EA"/>
    <w:multiLevelType w:val="hybridMultilevel"/>
    <w:tmpl w:val="494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C4E"/>
    <w:multiLevelType w:val="hybridMultilevel"/>
    <w:tmpl w:val="46EC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9D6"/>
    <w:multiLevelType w:val="hybridMultilevel"/>
    <w:tmpl w:val="583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732A"/>
    <w:multiLevelType w:val="hybridMultilevel"/>
    <w:tmpl w:val="AC6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3B39"/>
    <w:multiLevelType w:val="hybridMultilevel"/>
    <w:tmpl w:val="724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D61F0"/>
    <w:multiLevelType w:val="hybridMultilevel"/>
    <w:tmpl w:val="1A2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1ED7"/>
    <w:multiLevelType w:val="hybridMultilevel"/>
    <w:tmpl w:val="C3D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206">
    <w:abstractNumId w:val="0"/>
  </w:num>
  <w:num w:numId="2" w16cid:durableId="1149251952">
    <w:abstractNumId w:val="8"/>
  </w:num>
  <w:num w:numId="3" w16cid:durableId="1769503913">
    <w:abstractNumId w:val="7"/>
  </w:num>
  <w:num w:numId="4" w16cid:durableId="949892777">
    <w:abstractNumId w:val="4"/>
  </w:num>
  <w:num w:numId="5" w16cid:durableId="446000833">
    <w:abstractNumId w:val="6"/>
  </w:num>
  <w:num w:numId="6" w16cid:durableId="563956921">
    <w:abstractNumId w:val="1"/>
  </w:num>
  <w:num w:numId="7" w16cid:durableId="210072254">
    <w:abstractNumId w:val="5"/>
  </w:num>
  <w:num w:numId="8" w16cid:durableId="1562517651">
    <w:abstractNumId w:val="9"/>
  </w:num>
  <w:num w:numId="9" w16cid:durableId="1318342574">
    <w:abstractNumId w:val="3"/>
  </w:num>
  <w:num w:numId="10" w16cid:durableId="199690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AC"/>
    <w:rsid w:val="000805B0"/>
    <w:rsid w:val="0027200C"/>
    <w:rsid w:val="002E54AC"/>
    <w:rsid w:val="00337CA7"/>
    <w:rsid w:val="00353B80"/>
    <w:rsid w:val="00363DC2"/>
    <w:rsid w:val="003C62D2"/>
    <w:rsid w:val="004B6F38"/>
    <w:rsid w:val="005A5806"/>
    <w:rsid w:val="005D747C"/>
    <w:rsid w:val="006E2EB2"/>
    <w:rsid w:val="00806237"/>
    <w:rsid w:val="00897E93"/>
    <w:rsid w:val="008E4F89"/>
    <w:rsid w:val="008F4C57"/>
    <w:rsid w:val="00927702"/>
    <w:rsid w:val="00A04805"/>
    <w:rsid w:val="00A17B40"/>
    <w:rsid w:val="00A9405A"/>
    <w:rsid w:val="00B53BF3"/>
    <w:rsid w:val="00C3324E"/>
    <w:rsid w:val="00C74BD9"/>
    <w:rsid w:val="00C94487"/>
    <w:rsid w:val="00CF67DA"/>
    <w:rsid w:val="00D365E4"/>
    <w:rsid w:val="00DA131B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4CDA"/>
  <w15:docId w15:val="{7425D968-ED6C-4F24-9594-6423AF2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7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library.emory.edu/?f%5Bsource_collection_title_ssim%5D%5B%5D=Emory+Lawyer+Magaz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ies.emory.edu/about/investments-external-open-access-and-dei-initiatives" TargetMode="External"/><Relationship Id="rId12" Type="http://schemas.openxmlformats.org/officeDocument/2006/relationships/hyperlink" Target="https://digital.library.emory.edu/?f%5Bsource_collection_title_ssim%5D%5B%5D=Yun+Ch%E2%80%98i-ho+Pap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library.emory.edu/?f%5Bsource_collection_title_ssim%5D%5B%5D=South+Asia+Open+Archives+at+Emo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gital.library.emory.edu/?f%5Bsource_collection_title_ssim%5D%5B%5D=Emory+Phoenix%2C+Mirror%2C+and+Georgia+College+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library.emory.edu/?f%5Bsource_collection_title_ssim%5D%5B%5D=William+H.+Scott+Family+Papers%2C+1848-19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Palazzolo, Christopher</cp:lastModifiedBy>
  <cp:revision>8</cp:revision>
  <dcterms:created xsi:type="dcterms:W3CDTF">2023-06-22T21:02:00Z</dcterms:created>
  <dcterms:modified xsi:type="dcterms:W3CDTF">2023-06-25T20:07:00Z</dcterms:modified>
</cp:coreProperties>
</file>