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5C6D8C" w:rsidR="005D0F8E" w:rsidRPr="00F9744C" w:rsidRDefault="006B0428">
      <w:pPr>
        <w:pStyle w:val="Heading1"/>
        <w:rPr>
          <w:rFonts w:ascii="Times New Roman" w:hAnsi="Times New Roman" w:cs="Times New Roman"/>
          <w:sz w:val="48"/>
          <w:szCs w:val="48"/>
        </w:rPr>
      </w:pPr>
      <w:bookmarkStart w:id="0" w:name="_9hnuqbnf9b3p" w:colFirst="0" w:colLast="0"/>
      <w:bookmarkEnd w:id="0"/>
      <w:r w:rsidRPr="00F9744C">
        <w:rPr>
          <w:rFonts w:ascii="Times New Roman" w:hAnsi="Times New Roman" w:cs="Times New Roman"/>
          <w:sz w:val="48"/>
          <w:szCs w:val="48"/>
        </w:rPr>
        <w:t xml:space="preserve">DRAFT: Rating Systems: An Interpretation of the </w:t>
      </w:r>
      <w:r w:rsidRPr="00F9744C">
        <w:rPr>
          <w:rFonts w:ascii="Times New Roman" w:hAnsi="Times New Roman" w:cs="Times New Roman"/>
          <w:i/>
          <w:sz w:val="48"/>
          <w:szCs w:val="48"/>
        </w:rPr>
        <w:t>Library Bill of Rights</w:t>
      </w:r>
    </w:p>
    <w:p w14:paraId="00000002" w14:textId="77777777" w:rsidR="005D0F8E" w:rsidRDefault="005D0F8E"/>
    <w:p w14:paraId="00000003" w14:textId="77777777" w:rsidR="005D0F8E" w:rsidRDefault="005D0F8E"/>
    <w:p w14:paraId="00000004" w14:textId="77777777" w:rsidR="005D0F8E" w:rsidRPr="006B0428" w:rsidRDefault="006B0428" w:rsidP="006B0428">
      <w:pPr>
        <w:spacing w:line="360" w:lineRule="auto"/>
        <w:rPr>
          <w:rFonts w:ascii="Times New Roman" w:hAnsi="Times New Roman" w:cs="Times New Roman"/>
          <w:sz w:val="24"/>
          <w:szCs w:val="24"/>
        </w:rPr>
      </w:pPr>
      <w:r w:rsidRPr="006B0428">
        <w:rPr>
          <w:rFonts w:ascii="Times New Roman" w:hAnsi="Times New Roman" w:cs="Times New Roman"/>
          <w:sz w:val="24"/>
          <w:szCs w:val="24"/>
        </w:rPr>
        <w:t>Libraries, no matter their size, contain an enormous wealth of viewpoints and are responsible for making those viewpoints available to all. However, libraries do not advocate or endorse the content found in their collections or in resources made accessible through the library. Rating systems are tools or labels devised by individuals or organizations to advise people of suitability or content of materials. Rating systems appearing in library catalogs or discovery systems present distinct challenges to these intellectual freedom principles.</w:t>
      </w:r>
    </w:p>
    <w:p w14:paraId="00000005" w14:textId="77777777" w:rsidR="005D0F8E" w:rsidRPr="006B0428" w:rsidRDefault="006B0428" w:rsidP="006B0428">
      <w:pPr>
        <w:spacing w:line="360" w:lineRule="auto"/>
        <w:rPr>
          <w:rFonts w:ascii="Times New Roman" w:hAnsi="Times New Roman" w:cs="Times New Roman"/>
          <w:sz w:val="24"/>
          <w:szCs w:val="24"/>
        </w:rPr>
      </w:pPr>
      <w:r w:rsidRPr="006B0428">
        <w:rPr>
          <w:rFonts w:ascii="Times New Roman" w:hAnsi="Times New Roman" w:cs="Times New Roman"/>
          <w:sz w:val="24"/>
          <w:szCs w:val="24"/>
        </w:rPr>
        <w:br/>
        <w:t>Creators of rating systems assume that individuals or groups exist who can determine what is appropriate or inappropriate for others. They also assume that individuals want or need direction in making decisions about the materials or resources they use. While the creation and publication of such systems is protected by the First Amendment’s right to free speech, the American Library Association also affirms the rights of individuals to form their own opinions about the information that they consume.</w:t>
      </w:r>
    </w:p>
    <w:p w14:paraId="00000006" w14:textId="77777777" w:rsidR="005D0F8E" w:rsidRPr="006B0428" w:rsidRDefault="006B0428" w:rsidP="006B0428">
      <w:pPr>
        <w:spacing w:line="360" w:lineRule="auto"/>
        <w:rPr>
          <w:rFonts w:ascii="Times New Roman" w:hAnsi="Times New Roman" w:cs="Times New Roman"/>
          <w:sz w:val="24"/>
          <w:szCs w:val="24"/>
        </w:rPr>
      </w:pPr>
      <w:r w:rsidRPr="006B0428">
        <w:rPr>
          <w:rFonts w:ascii="Times New Roman" w:hAnsi="Times New Roman" w:cs="Times New Roman"/>
          <w:sz w:val="24"/>
          <w:szCs w:val="24"/>
        </w:rPr>
        <w:br/>
        <w:t xml:space="preserve">Libraries’ explicit or implicit adoption, enforcement, or endorsement of any of these rating systems violates the </w:t>
      </w:r>
      <w:r w:rsidRPr="006B0428">
        <w:rPr>
          <w:rFonts w:ascii="Times New Roman" w:hAnsi="Times New Roman" w:cs="Times New Roman"/>
          <w:i/>
          <w:sz w:val="24"/>
          <w:szCs w:val="24"/>
        </w:rPr>
        <w:t>Library Bill of Rights</w:t>
      </w:r>
      <w:r w:rsidRPr="006B0428">
        <w:rPr>
          <w:rFonts w:ascii="Times New Roman" w:hAnsi="Times New Roman" w:cs="Times New Roman"/>
          <w:sz w:val="24"/>
          <w:szCs w:val="24"/>
        </w:rPr>
        <w:t xml:space="preserve"> and may be unconstitutional if used to prevent an individual’s access to materials or resources. If enforcement of rating systems is mandated by law, the library should seek legal advice regarding the law’s applicability to library operations.</w:t>
      </w:r>
      <w:r w:rsidRPr="006B0428">
        <w:rPr>
          <w:rFonts w:ascii="Times New Roman" w:hAnsi="Times New Roman" w:cs="Times New Roman"/>
          <w:sz w:val="24"/>
          <w:szCs w:val="24"/>
        </w:rPr>
        <w:br/>
      </w:r>
      <w:r w:rsidRPr="006B0428">
        <w:rPr>
          <w:rFonts w:ascii="Times New Roman" w:hAnsi="Times New Roman" w:cs="Times New Roman"/>
          <w:sz w:val="24"/>
          <w:szCs w:val="24"/>
        </w:rPr>
        <w:br/>
        <w:t>Libraries often acquire resources, such as DVDs and video games, that include ratings as part of their publication materials. Library workers should not endorse the inclusion of such rating systems; however, removing or destroying the rating placed on the original item by the publisher, distributor, or copyright holder could constitute expurgation.</w:t>
      </w:r>
      <w:r w:rsidRPr="006B0428">
        <w:rPr>
          <w:rFonts w:ascii="Times New Roman" w:hAnsi="Times New Roman" w:cs="Times New Roman"/>
          <w:sz w:val="24"/>
          <w:szCs w:val="24"/>
          <w:vertAlign w:val="superscript"/>
        </w:rPr>
        <w:footnoteReference w:id="1"/>
      </w:r>
      <w:r w:rsidRPr="006B0428">
        <w:rPr>
          <w:rFonts w:ascii="Times New Roman" w:hAnsi="Times New Roman" w:cs="Times New Roman"/>
          <w:sz w:val="24"/>
          <w:szCs w:val="24"/>
        </w:rPr>
        <w:br/>
      </w:r>
      <w:r w:rsidRPr="006B0428">
        <w:rPr>
          <w:rFonts w:ascii="Times New Roman" w:hAnsi="Times New Roman" w:cs="Times New Roman"/>
          <w:sz w:val="24"/>
          <w:szCs w:val="24"/>
        </w:rPr>
        <w:lastRenderedPageBreak/>
        <w:br/>
        <w:t>Because cataloging standards provide an opportunity for libraries to include ratings in their bibliographic records, many libraries have chosen to do so—some by acceptance of standard records containing such ratings and others by a desire to provide the maximum descriptive information available on a resource. Libraries are not required by cataloging best practices to provide this information. If they choose to do so, for whatever reason, they should cite the source of the rating and indicate that the library does not endorse external rating systems.</w:t>
      </w:r>
      <w:r w:rsidRPr="006B0428">
        <w:rPr>
          <w:rFonts w:ascii="Times New Roman" w:hAnsi="Times New Roman" w:cs="Times New Roman"/>
          <w:sz w:val="24"/>
          <w:szCs w:val="24"/>
        </w:rPr>
        <w:br/>
      </w:r>
      <w:r w:rsidRPr="006B0428">
        <w:rPr>
          <w:rFonts w:ascii="Times New Roman" w:hAnsi="Times New Roman" w:cs="Times New Roman"/>
          <w:sz w:val="24"/>
          <w:szCs w:val="24"/>
        </w:rPr>
        <w:br/>
        <w:t xml:space="preserve">The inclusion of ratings in bibliographic records within library catalogs or discovery systems may be interpreted as an endorsement by the library. Therefore, without attribution, inclusion of such ratings is a violation of the </w:t>
      </w:r>
      <w:r w:rsidRPr="006B0428">
        <w:rPr>
          <w:rFonts w:ascii="Times New Roman" w:hAnsi="Times New Roman" w:cs="Times New Roman"/>
          <w:i/>
          <w:sz w:val="24"/>
          <w:szCs w:val="24"/>
        </w:rPr>
        <w:t>Library Bill of Rights</w:t>
      </w:r>
      <w:r w:rsidRPr="006B0428">
        <w:rPr>
          <w:rFonts w:ascii="Times New Roman" w:hAnsi="Times New Roman" w:cs="Times New Roman"/>
          <w:sz w:val="24"/>
          <w:szCs w:val="24"/>
        </w:rPr>
        <w:t>.</w:t>
      </w:r>
      <w:r w:rsidRPr="006B0428">
        <w:rPr>
          <w:rFonts w:ascii="Times New Roman" w:hAnsi="Times New Roman" w:cs="Times New Roman"/>
          <w:sz w:val="24"/>
          <w:szCs w:val="24"/>
        </w:rPr>
        <w:br/>
      </w:r>
    </w:p>
    <w:p w14:paraId="00000007" w14:textId="77777777" w:rsidR="005D0F8E" w:rsidRPr="006B0428" w:rsidRDefault="006B0428" w:rsidP="006B0428">
      <w:pPr>
        <w:spacing w:line="360" w:lineRule="auto"/>
        <w:rPr>
          <w:rFonts w:ascii="Times New Roman" w:hAnsi="Times New Roman" w:cs="Times New Roman"/>
          <w:sz w:val="24"/>
          <w:szCs w:val="24"/>
        </w:rPr>
      </w:pPr>
      <w:r w:rsidRPr="006B0428">
        <w:rPr>
          <w:rFonts w:ascii="Times New Roman" w:hAnsi="Times New Roman" w:cs="Times New Roman"/>
          <w:sz w:val="24"/>
          <w:szCs w:val="24"/>
        </w:rPr>
        <w:t>If libraries include information about rating systems on items or records, this information should not be used to restrict access to those materials based on the age of library users. Such a restriction may violate minors’ First Amendment rights.</w:t>
      </w:r>
      <w:r w:rsidRPr="006B0428">
        <w:rPr>
          <w:rFonts w:ascii="Times New Roman" w:hAnsi="Times New Roman" w:cs="Times New Roman"/>
          <w:sz w:val="24"/>
          <w:szCs w:val="24"/>
          <w:vertAlign w:val="superscript"/>
        </w:rPr>
        <w:footnoteReference w:id="2"/>
      </w:r>
    </w:p>
    <w:p w14:paraId="7A3E7AD7" w14:textId="77777777" w:rsidR="006B0428" w:rsidRDefault="006B0428" w:rsidP="006B0428">
      <w:pPr>
        <w:spacing w:line="360" w:lineRule="auto"/>
        <w:rPr>
          <w:rFonts w:ascii="Times New Roman" w:hAnsi="Times New Roman" w:cs="Times New Roman"/>
          <w:sz w:val="24"/>
          <w:szCs w:val="24"/>
        </w:rPr>
      </w:pPr>
      <w:r w:rsidRPr="006B0428">
        <w:rPr>
          <w:rFonts w:ascii="Times New Roman" w:hAnsi="Times New Roman" w:cs="Times New Roman"/>
          <w:sz w:val="24"/>
          <w:szCs w:val="24"/>
        </w:rPr>
        <w:br/>
        <w:t xml:space="preserve">That libraries do not endorse or advocate for the use of rating systems does not preclude them from answering questions about such systems. It is appropriate to provide access to sources containing information on rating systems in order to meet the specific information-seeking needs of individual users. </w:t>
      </w:r>
      <w:r w:rsidRPr="006B0428">
        <w:rPr>
          <w:rFonts w:ascii="Times New Roman" w:hAnsi="Times New Roman" w:cs="Times New Roman"/>
          <w:sz w:val="24"/>
          <w:szCs w:val="24"/>
          <w:highlight w:val="white"/>
        </w:rPr>
        <w:t>The American Library Association affirms the rights of individuals to form their own opinions about resources they choose to read or view.</w:t>
      </w:r>
    </w:p>
    <w:p w14:paraId="00000008" w14:textId="7022986D" w:rsidR="005D0F8E" w:rsidRPr="006B0428" w:rsidRDefault="006B0428" w:rsidP="006B0428">
      <w:pPr>
        <w:spacing w:line="360" w:lineRule="auto"/>
        <w:rPr>
          <w:rFonts w:ascii="Times New Roman" w:hAnsi="Times New Roman" w:cs="Times New Roman"/>
          <w:sz w:val="24"/>
          <w:szCs w:val="24"/>
        </w:rPr>
      </w:pPr>
      <w:r w:rsidRPr="006B0428">
        <w:rPr>
          <w:rFonts w:ascii="Times New Roman" w:hAnsi="Times New Roman" w:cs="Times New Roman"/>
          <w:sz w:val="24"/>
          <w:szCs w:val="24"/>
        </w:rPr>
        <w:br/>
      </w:r>
      <w:r w:rsidRPr="006B0428">
        <w:rPr>
          <w:rFonts w:ascii="Times New Roman" w:hAnsi="Times New Roman" w:cs="Times New Roman"/>
          <w:sz w:val="24"/>
          <w:szCs w:val="24"/>
        </w:rPr>
        <w:br/>
        <w:t xml:space="preserve">Adopted on June 30, 2015, by ALA Council. Revisions proposed for ALA Annual Conference 2019. </w:t>
      </w:r>
    </w:p>
    <w:p w14:paraId="00000009" w14:textId="631912BD" w:rsidR="005D0F8E" w:rsidRDefault="005D0F8E">
      <w:pPr>
        <w:rPr>
          <w:rFonts w:ascii="Times New Roman" w:hAnsi="Times New Roman" w:cs="Times New Roman"/>
          <w:sz w:val="24"/>
          <w:szCs w:val="24"/>
        </w:rPr>
      </w:pPr>
    </w:p>
    <w:p w14:paraId="53F0B620" w14:textId="49FB8403" w:rsidR="006B0428" w:rsidRDefault="006B0428">
      <w:pPr>
        <w:rPr>
          <w:rFonts w:ascii="Times New Roman" w:hAnsi="Times New Roman" w:cs="Times New Roman"/>
          <w:sz w:val="24"/>
          <w:szCs w:val="24"/>
        </w:rPr>
      </w:pPr>
    </w:p>
    <w:p w14:paraId="5104554F" w14:textId="77777777" w:rsidR="006B0428" w:rsidRPr="006B0428" w:rsidRDefault="006B0428">
      <w:pPr>
        <w:rPr>
          <w:rFonts w:ascii="Times New Roman" w:hAnsi="Times New Roman" w:cs="Times New Roman"/>
          <w:sz w:val="24"/>
          <w:szCs w:val="24"/>
        </w:rPr>
      </w:pPr>
    </w:p>
    <w:p w14:paraId="0000000A" w14:textId="77777777" w:rsidR="005D0F8E" w:rsidRPr="006B0428" w:rsidRDefault="005D0F8E">
      <w:pPr>
        <w:rPr>
          <w:rFonts w:ascii="Times New Roman" w:hAnsi="Times New Roman" w:cs="Times New Roman"/>
          <w:sz w:val="24"/>
          <w:szCs w:val="24"/>
        </w:rPr>
      </w:pPr>
    </w:p>
    <w:p w14:paraId="0000000B" w14:textId="77777777" w:rsidR="005D0F8E" w:rsidRPr="006B0428" w:rsidRDefault="006B0428" w:rsidP="006B0428">
      <w:pPr>
        <w:spacing w:line="360" w:lineRule="auto"/>
        <w:rPr>
          <w:rFonts w:ascii="Times New Roman" w:hAnsi="Times New Roman" w:cs="Times New Roman"/>
          <w:b/>
          <w:sz w:val="24"/>
          <w:szCs w:val="24"/>
        </w:rPr>
      </w:pPr>
      <w:r w:rsidRPr="006B0428">
        <w:rPr>
          <w:rFonts w:ascii="Times New Roman" w:hAnsi="Times New Roman" w:cs="Times New Roman"/>
          <w:b/>
          <w:sz w:val="24"/>
          <w:szCs w:val="24"/>
        </w:rPr>
        <w:lastRenderedPageBreak/>
        <w:t>See Also</w:t>
      </w:r>
    </w:p>
    <w:p w14:paraId="0000000C" w14:textId="77777777" w:rsidR="005D0F8E" w:rsidRPr="006B0428" w:rsidRDefault="005D0F8E" w:rsidP="006B0428">
      <w:pPr>
        <w:spacing w:line="360" w:lineRule="auto"/>
        <w:rPr>
          <w:rFonts w:ascii="Times New Roman" w:hAnsi="Times New Roman" w:cs="Times New Roman"/>
          <w:sz w:val="24"/>
          <w:szCs w:val="24"/>
        </w:rPr>
      </w:pPr>
    </w:p>
    <w:p w14:paraId="0000000D" w14:textId="77777777" w:rsidR="005D0F8E" w:rsidRPr="006B0428" w:rsidRDefault="006B0428" w:rsidP="006B0428">
      <w:pPr>
        <w:numPr>
          <w:ilvl w:val="0"/>
          <w:numId w:val="1"/>
        </w:numPr>
        <w:spacing w:line="360" w:lineRule="auto"/>
        <w:rPr>
          <w:rFonts w:ascii="Times New Roman" w:hAnsi="Times New Roman" w:cs="Times New Roman"/>
          <w:sz w:val="24"/>
          <w:szCs w:val="24"/>
        </w:rPr>
      </w:pPr>
      <w:r w:rsidRPr="006B0428">
        <w:rPr>
          <w:rFonts w:ascii="Times New Roman" w:hAnsi="Times New Roman" w:cs="Times New Roman"/>
          <w:sz w:val="24"/>
          <w:szCs w:val="24"/>
        </w:rPr>
        <w:t>“</w:t>
      </w:r>
      <w:hyperlink r:id="rId7">
        <w:r w:rsidRPr="006B0428">
          <w:rPr>
            <w:rFonts w:ascii="Times New Roman" w:hAnsi="Times New Roman" w:cs="Times New Roman"/>
            <w:color w:val="1155CC"/>
            <w:sz w:val="24"/>
            <w:szCs w:val="24"/>
            <w:u w:val="single"/>
          </w:rPr>
          <w:t>Questions and Answers on Labeling and Rating Systems</w:t>
        </w:r>
      </w:hyperlink>
      <w:r w:rsidRPr="006B0428">
        <w:rPr>
          <w:rFonts w:ascii="Times New Roman" w:hAnsi="Times New Roman" w:cs="Times New Roman"/>
          <w:sz w:val="24"/>
          <w:szCs w:val="24"/>
        </w:rPr>
        <w:t>,” approved April 6, 2016, by the Intellectual Freedom Committee; updated January 16, 2010.</w:t>
      </w:r>
    </w:p>
    <w:p w14:paraId="0000000E" w14:textId="77777777" w:rsidR="005D0F8E" w:rsidRPr="006B0428" w:rsidRDefault="006B0428" w:rsidP="006B0428">
      <w:pPr>
        <w:numPr>
          <w:ilvl w:val="0"/>
          <w:numId w:val="1"/>
        </w:numPr>
        <w:spacing w:line="360" w:lineRule="auto"/>
        <w:rPr>
          <w:rFonts w:ascii="Times New Roman" w:hAnsi="Times New Roman" w:cs="Times New Roman"/>
          <w:sz w:val="24"/>
          <w:szCs w:val="24"/>
        </w:rPr>
      </w:pPr>
      <w:r w:rsidRPr="006B0428">
        <w:rPr>
          <w:rFonts w:ascii="Times New Roman" w:hAnsi="Times New Roman" w:cs="Times New Roman"/>
          <w:sz w:val="24"/>
          <w:szCs w:val="24"/>
        </w:rPr>
        <w:t>Deborah Caldwell-Stone, "</w:t>
      </w:r>
      <w:hyperlink r:id="rId8">
        <w:r w:rsidRPr="006B0428">
          <w:rPr>
            <w:rFonts w:ascii="Times New Roman" w:hAnsi="Times New Roman" w:cs="Times New Roman"/>
            <w:color w:val="1155CC"/>
            <w:sz w:val="24"/>
            <w:szCs w:val="24"/>
            <w:u w:val="single"/>
          </w:rPr>
          <w:t>Movie Ratings are Private, Not Public Policy</w:t>
        </w:r>
      </w:hyperlink>
      <w:r w:rsidRPr="006B0428">
        <w:rPr>
          <w:rFonts w:ascii="Times New Roman" w:hAnsi="Times New Roman" w:cs="Times New Roman"/>
          <w:sz w:val="24"/>
          <w:szCs w:val="24"/>
        </w:rPr>
        <w:t>," Illinois Library Association Reporter, Vol. 22, No. 2, April 2004.</w:t>
      </w:r>
    </w:p>
    <w:p w14:paraId="0000000F" w14:textId="77777777" w:rsidR="005D0F8E" w:rsidRPr="006B0428" w:rsidRDefault="005D0F8E" w:rsidP="006B0428">
      <w:pPr>
        <w:spacing w:line="360" w:lineRule="auto"/>
        <w:rPr>
          <w:rFonts w:ascii="Times New Roman" w:hAnsi="Times New Roman" w:cs="Times New Roman"/>
          <w:sz w:val="24"/>
          <w:szCs w:val="24"/>
        </w:rPr>
      </w:pPr>
    </w:p>
    <w:sectPr w:rsidR="005D0F8E" w:rsidRPr="006B04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F94E" w14:textId="77777777" w:rsidR="00B150FD" w:rsidRDefault="00B150FD">
      <w:pPr>
        <w:spacing w:line="240" w:lineRule="auto"/>
      </w:pPr>
      <w:r>
        <w:separator/>
      </w:r>
    </w:p>
  </w:endnote>
  <w:endnote w:type="continuationSeparator" w:id="0">
    <w:p w14:paraId="7CA69DCF" w14:textId="77777777" w:rsidR="00B150FD" w:rsidRDefault="00B15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3DCD" w14:textId="77777777" w:rsidR="005B218C" w:rsidRDefault="005B2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7D6A" w14:textId="77777777" w:rsidR="005B218C" w:rsidRDefault="005B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15FE" w14:textId="77777777" w:rsidR="005B218C" w:rsidRDefault="005B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7583" w14:textId="77777777" w:rsidR="00B150FD" w:rsidRDefault="00B150FD">
      <w:pPr>
        <w:spacing w:line="240" w:lineRule="auto"/>
      </w:pPr>
      <w:r>
        <w:separator/>
      </w:r>
    </w:p>
  </w:footnote>
  <w:footnote w:type="continuationSeparator" w:id="0">
    <w:p w14:paraId="305AEE54" w14:textId="77777777" w:rsidR="00B150FD" w:rsidRDefault="00B150FD">
      <w:pPr>
        <w:spacing w:line="240" w:lineRule="auto"/>
      </w:pPr>
      <w:r>
        <w:continuationSeparator/>
      </w:r>
    </w:p>
  </w:footnote>
  <w:footnote w:id="1">
    <w:p w14:paraId="00000010" w14:textId="77777777" w:rsidR="005D0F8E" w:rsidRDefault="006B042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Expurgation of Library Resources: An Interpretation of the </w:t>
        </w:r>
      </w:hyperlink>
      <w:hyperlink r:id="rId2">
        <w:r>
          <w:rPr>
            <w:i/>
            <w:color w:val="1155CC"/>
            <w:sz w:val="20"/>
            <w:szCs w:val="20"/>
            <w:u w:val="single"/>
          </w:rPr>
          <w:t>Library Bill of Rights</w:t>
        </w:r>
      </w:hyperlink>
      <w:r>
        <w:rPr>
          <w:sz w:val="20"/>
          <w:szCs w:val="20"/>
        </w:rPr>
        <w:t>,” adopted February 2, 1973, by the ALA Council; amended July 1, 1981; January 10, 1990; July 2, 2008; and July 1, 2014.</w:t>
      </w:r>
    </w:p>
  </w:footnote>
  <w:footnote w:id="2">
    <w:p w14:paraId="00000011" w14:textId="77777777" w:rsidR="005D0F8E" w:rsidRDefault="006B0428">
      <w:pPr>
        <w:spacing w:line="240" w:lineRule="auto"/>
        <w:rPr>
          <w:sz w:val="20"/>
          <w:szCs w:val="20"/>
        </w:rPr>
      </w:pPr>
      <w:r>
        <w:rPr>
          <w:vertAlign w:val="superscript"/>
        </w:rPr>
        <w:footnoteRef/>
      </w:r>
      <w:r>
        <w:rPr>
          <w:i/>
          <w:sz w:val="20"/>
          <w:szCs w:val="20"/>
        </w:rPr>
        <w:t xml:space="preserve"> Enghahl v. City of Kenosha</w:t>
      </w:r>
      <w:r>
        <w:rPr>
          <w:sz w:val="20"/>
          <w:szCs w:val="20"/>
        </w:rPr>
        <w:t xml:space="preserve">, 317 F. Supp. 1133 (E.D. Wis. 1970); </w:t>
      </w:r>
      <w:r>
        <w:rPr>
          <w:i/>
          <w:sz w:val="20"/>
          <w:szCs w:val="20"/>
        </w:rPr>
        <w:t>Motion Picture Association of America v. Specter</w:t>
      </w:r>
      <w:r>
        <w:rPr>
          <w:sz w:val="20"/>
          <w:szCs w:val="20"/>
        </w:rPr>
        <w:t xml:space="preserve">, 315 F. Supp. 824 (E.D. Pa. 1970); </w:t>
      </w:r>
      <w:r>
        <w:rPr>
          <w:i/>
          <w:sz w:val="20"/>
          <w:szCs w:val="20"/>
        </w:rPr>
        <w:t>Swope v. Lubbers</w:t>
      </w:r>
      <w:r>
        <w:rPr>
          <w:sz w:val="20"/>
          <w:szCs w:val="20"/>
        </w:rPr>
        <w:t xml:space="preserve">, 560 F.Supp. 1328 (W.D. Mich. 1983) and </w:t>
      </w:r>
      <w:r>
        <w:rPr>
          <w:i/>
          <w:sz w:val="20"/>
          <w:szCs w:val="20"/>
        </w:rPr>
        <w:t>Rosen v. Budco</w:t>
      </w:r>
      <w:r>
        <w:rPr>
          <w:sz w:val="20"/>
          <w:szCs w:val="20"/>
        </w:rPr>
        <w:t>, 10 Phila. 112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71DD" w14:textId="77777777" w:rsidR="005B218C" w:rsidRDefault="005B2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15AB57EB" w:rsidR="005D0F8E" w:rsidRDefault="005D0F8E">
    <w:pPr>
      <w:jc w:val="right"/>
      <w:rPr>
        <w:i/>
        <w:sz w:val="20"/>
        <w:szCs w:val="20"/>
      </w:rPr>
    </w:pPr>
  </w:p>
  <w:p w14:paraId="337CB1FE" w14:textId="63D202C2" w:rsidR="006B0428" w:rsidRPr="006B0428" w:rsidRDefault="00F95D49">
    <w:pPr>
      <w:jc w:val="right"/>
      <w:rPr>
        <w:iCs/>
        <w:sz w:val="20"/>
        <w:szCs w:val="20"/>
        <w:highlight w:val="yellow"/>
      </w:rPr>
    </w:pPr>
    <w:r>
      <w:rPr>
        <w:iCs/>
        <w:sz w:val="20"/>
        <w:szCs w:val="20"/>
      </w:rPr>
      <w:t xml:space="preserve">DRAFT </w:t>
    </w:r>
    <w:bookmarkStart w:id="1" w:name="_GoBack"/>
    <w:bookmarkEnd w:id="1"/>
    <w:r w:rsidR="00F9744C">
      <w:rPr>
        <w:iCs/>
        <w:sz w:val="20"/>
        <w:szCs w:val="20"/>
      </w:rPr>
      <w:t>Exhibit XII</w:t>
    </w:r>
    <w:r w:rsidR="005B218C">
      <w:rPr>
        <w:iCs/>
        <w:sz w:val="20"/>
        <w:szCs w:val="2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A27C" w14:textId="77777777" w:rsidR="005B218C" w:rsidRDefault="005B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2BC8"/>
    <w:multiLevelType w:val="multilevel"/>
    <w:tmpl w:val="BC0E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8E"/>
    <w:rsid w:val="005B218C"/>
    <w:rsid w:val="005D0F8E"/>
    <w:rsid w:val="006B0428"/>
    <w:rsid w:val="00B150FD"/>
    <w:rsid w:val="00CA2FC8"/>
    <w:rsid w:val="00F95D49"/>
    <w:rsid w:val="00F9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57CF"/>
  <w15:docId w15:val="{52494B3F-D652-46D0-A908-42C83EDE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B0428"/>
    <w:pPr>
      <w:tabs>
        <w:tab w:val="center" w:pos="4680"/>
        <w:tab w:val="right" w:pos="9360"/>
      </w:tabs>
      <w:spacing w:line="240" w:lineRule="auto"/>
    </w:pPr>
  </w:style>
  <w:style w:type="character" w:customStyle="1" w:styleId="HeaderChar">
    <w:name w:val="Header Char"/>
    <w:basedOn w:val="DefaultParagraphFont"/>
    <w:link w:val="Header"/>
    <w:uiPriority w:val="99"/>
    <w:rsid w:val="006B0428"/>
  </w:style>
  <w:style w:type="paragraph" w:styleId="Footer">
    <w:name w:val="footer"/>
    <w:basedOn w:val="Normal"/>
    <w:link w:val="FooterChar"/>
    <w:uiPriority w:val="99"/>
    <w:unhideWhenUsed/>
    <w:rsid w:val="006B0428"/>
    <w:pPr>
      <w:tabs>
        <w:tab w:val="center" w:pos="4680"/>
        <w:tab w:val="right" w:pos="9360"/>
      </w:tabs>
      <w:spacing w:line="240" w:lineRule="auto"/>
    </w:pPr>
  </w:style>
  <w:style w:type="character" w:customStyle="1" w:styleId="FooterChar">
    <w:name w:val="Footer Char"/>
    <w:basedOn w:val="DefaultParagraphFont"/>
    <w:link w:val="Footer"/>
    <w:uiPriority w:val="99"/>
    <w:rsid w:val="006B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if.ala.org/oif/wp-content/uploads/2019/05/ILAReportervol22no2Rating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a.org/advocacy/intfreedom/librarybill/interpretations/qa-label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la.org/advocacy/intfreedom/librarybill/interpretations/expurgationlibrary" TargetMode="External"/><Relationship Id="rId1" Type="http://schemas.openxmlformats.org/officeDocument/2006/relationships/hyperlink" Target="http://www.ala.org/advocacy/intfreedom/librarybill/interpretations/expurgation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2019-06-10T16:04:00Z</dcterms:created>
  <dcterms:modified xsi:type="dcterms:W3CDTF">2019-06-14T17:20:00Z</dcterms:modified>
</cp:coreProperties>
</file>