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276091" w14:textId="719BEC81" w:rsidR="009D13D6" w:rsidRPr="001158B6" w:rsidRDefault="009D13D6" w:rsidP="009D13D6">
      <w:pPr>
        <w:pStyle w:val="ListParagraph"/>
        <w:numPr>
          <w:ilvl w:val="0"/>
          <w:numId w:val="1"/>
        </w:numPr>
      </w:pPr>
      <w:r w:rsidRPr="001158B6">
        <w:t>What is the name of the program, event, or product you are commending</w:t>
      </w:r>
      <w:r w:rsidR="00865EA8" w:rsidRPr="001158B6">
        <w:t>?</w:t>
      </w:r>
    </w:p>
    <w:p w14:paraId="3E81C99B" w14:textId="77777777" w:rsidR="00865EA8" w:rsidRPr="001158B6" w:rsidRDefault="00865EA8" w:rsidP="001158B6">
      <w:pPr>
        <w:ind w:left="360"/>
      </w:pPr>
    </w:p>
    <w:p w14:paraId="34D56452" w14:textId="77777777" w:rsidR="001158B6" w:rsidRPr="001158B6" w:rsidRDefault="009D13D6" w:rsidP="001158B6">
      <w:pPr>
        <w:pStyle w:val="ListParagraph"/>
        <w:numPr>
          <w:ilvl w:val="0"/>
          <w:numId w:val="1"/>
        </w:numPr>
        <w:rPr>
          <w:i/>
          <w:iCs/>
        </w:rPr>
      </w:pPr>
      <w:r w:rsidRPr="001158B6">
        <w:t>Write 3 to 7 standalone sentences explaining why the program, event, or product is deserving of national</w:t>
      </w:r>
      <w:r>
        <w:t xml:space="preserve"> recognition.</w:t>
      </w:r>
      <w:r w:rsidR="00865EA8">
        <w:t xml:space="preserve"> Start each sentence with the name of the program, event, or product you entered in question one.</w:t>
      </w:r>
      <w:r w:rsidR="001158B6">
        <w:t xml:space="preserve"> </w:t>
      </w:r>
    </w:p>
    <w:p w14:paraId="59B421B2" w14:textId="77777777" w:rsidR="001158B6" w:rsidRDefault="001158B6" w:rsidP="001158B6">
      <w:pPr>
        <w:pStyle w:val="ListParagraph"/>
      </w:pPr>
    </w:p>
    <w:p w14:paraId="568DC5F7" w14:textId="79695A24" w:rsidR="009D13D6" w:rsidRDefault="001158B6" w:rsidP="001158B6">
      <w:pPr>
        <w:pStyle w:val="ListParagraph"/>
        <w:rPr>
          <w:i/>
          <w:iCs/>
        </w:rPr>
      </w:pPr>
      <w:r>
        <w:t xml:space="preserve">Example: </w:t>
      </w:r>
      <w:r w:rsidRPr="001158B6">
        <w:rPr>
          <w:i/>
          <w:iCs/>
        </w:rPr>
        <w:t>the American Civil Liberties Union of Missouri (ACLU of MO) represents the Missouri Association of School Librarians (MASL) and the Missouri Library Association (MLA) pro bono in unprecedented litigation against Senate Bill 775 (SB 775), which created misdemeanor criminal penalties</w:t>
      </w:r>
      <w:r>
        <w:rPr>
          <w:i/>
          <w:iCs/>
        </w:rPr>
        <w:t xml:space="preserve"> </w:t>
      </w:r>
      <w:r w:rsidRPr="001158B6">
        <w:rPr>
          <w:i/>
          <w:iCs/>
        </w:rPr>
        <w:t>for any educator, including school librarians, distributing "explicit sexual material" as defined by SB 775;</w:t>
      </w:r>
    </w:p>
    <w:p w14:paraId="59AA2455" w14:textId="77777777" w:rsidR="001158B6" w:rsidRPr="001158B6" w:rsidRDefault="001158B6" w:rsidP="001158B6">
      <w:pPr>
        <w:pStyle w:val="ListParagraph"/>
        <w:rPr>
          <w:i/>
          <w:iCs/>
        </w:rPr>
      </w:pPr>
    </w:p>
    <w:p w14:paraId="2684D164" w14:textId="02E53E18" w:rsidR="00865EA8" w:rsidRDefault="00865EA8" w:rsidP="001158B6">
      <w:pPr>
        <w:pStyle w:val="ListParagraph"/>
        <w:numPr>
          <w:ilvl w:val="1"/>
          <w:numId w:val="4"/>
        </w:numPr>
      </w:pPr>
      <w:r>
        <w:t xml:space="preserve"> </w:t>
      </w:r>
    </w:p>
    <w:p w14:paraId="213CA327" w14:textId="2E4BCF02" w:rsidR="00865EA8" w:rsidRDefault="00865EA8" w:rsidP="001158B6">
      <w:pPr>
        <w:pStyle w:val="ListParagraph"/>
        <w:numPr>
          <w:ilvl w:val="1"/>
          <w:numId w:val="4"/>
        </w:numPr>
      </w:pPr>
      <w:r>
        <w:t xml:space="preserve"> </w:t>
      </w:r>
    </w:p>
    <w:p w14:paraId="23817163" w14:textId="37E7A248" w:rsidR="00865EA8" w:rsidRDefault="00865EA8" w:rsidP="001158B6">
      <w:pPr>
        <w:pStyle w:val="ListParagraph"/>
        <w:numPr>
          <w:ilvl w:val="1"/>
          <w:numId w:val="4"/>
        </w:numPr>
      </w:pPr>
      <w:r>
        <w:t xml:space="preserve"> </w:t>
      </w:r>
    </w:p>
    <w:p w14:paraId="377F7352" w14:textId="2F77F3D8" w:rsidR="00865EA8" w:rsidRDefault="00865EA8" w:rsidP="001158B6">
      <w:pPr>
        <w:pStyle w:val="ListParagraph"/>
        <w:numPr>
          <w:ilvl w:val="1"/>
          <w:numId w:val="4"/>
        </w:numPr>
      </w:pPr>
      <w:r>
        <w:t xml:space="preserve"> </w:t>
      </w:r>
    </w:p>
    <w:p w14:paraId="522882D6" w14:textId="773021AF" w:rsidR="00865EA8" w:rsidRDefault="00865EA8" w:rsidP="001158B6">
      <w:pPr>
        <w:pStyle w:val="ListParagraph"/>
        <w:numPr>
          <w:ilvl w:val="1"/>
          <w:numId w:val="4"/>
        </w:numPr>
      </w:pPr>
      <w:r>
        <w:t xml:space="preserve"> </w:t>
      </w:r>
    </w:p>
    <w:p w14:paraId="033E8DB4" w14:textId="11CED4B6" w:rsidR="00865EA8" w:rsidRDefault="00865EA8" w:rsidP="001158B6">
      <w:pPr>
        <w:pStyle w:val="ListParagraph"/>
        <w:numPr>
          <w:ilvl w:val="1"/>
          <w:numId w:val="4"/>
        </w:numPr>
      </w:pPr>
      <w:r>
        <w:t xml:space="preserve"> </w:t>
      </w:r>
    </w:p>
    <w:p w14:paraId="31B979E6" w14:textId="77777777" w:rsidR="00865EA8" w:rsidRDefault="00865EA8" w:rsidP="001158B6">
      <w:pPr>
        <w:pStyle w:val="ListParagraph"/>
        <w:numPr>
          <w:ilvl w:val="1"/>
          <w:numId w:val="4"/>
        </w:numPr>
      </w:pPr>
    </w:p>
    <w:p w14:paraId="42A14C38" w14:textId="77777777" w:rsidR="00865EA8" w:rsidRDefault="00865EA8" w:rsidP="00865EA8"/>
    <w:p w14:paraId="60643AF2" w14:textId="77777777" w:rsidR="001158B6" w:rsidRDefault="009D13D6" w:rsidP="001158B6">
      <w:pPr>
        <w:pStyle w:val="ListParagraph"/>
        <w:numPr>
          <w:ilvl w:val="0"/>
          <w:numId w:val="1"/>
        </w:numPr>
      </w:pPr>
      <w:r>
        <w:t xml:space="preserve">Write </w:t>
      </w:r>
      <w:r w:rsidR="00865EA8">
        <w:t>1 to 2 sentences</w:t>
      </w:r>
      <w:r>
        <w:t xml:space="preserve"> on how the program, event, or product supports AASL’s </w:t>
      </w:r>
      <w:r w:rsidR="00865EA8">
        <w:t>strategic plan</w:t>
      </w:r>
      <w:r>
        <w:t xml:space="preserve">, core values, </w:t>
      </w:r>
      <w:r w:rsidR="00865EA8">
        <w:t xml:space="preserve">common beliefs, </w:t>
      </w:r>
      <w:r>
        <w:t>or mission.</w:t>
      </w:r>
      <w:r w:rsidR="001158B6">
        <w:t xml:space="preserve"> </w:t>
      </w:r>
    </w:p>
    <w:p w14:paraId="3EAC98EB" w14:textId="77777777" w:rsidR="001158B6" w:rsidRDefault="001158B6" w:rsidP="001158B6">
      <w:pPr>
        <w:pStyle w:val="ListParagraph"/>
      </w:pPr>
    </w:p>
    <w:p w14:paraId="0D78ABFE" w14:textId="00365020" w:rsidR="009D13D6" w:rsidRDefault="001158B6" w:rsidP="001158B6">
      <w:pPr>
        <w:pStyle w:val="ListParagraph"/>
        <w:rPr>
          <w:i/>
          <w:iCs/>
        </w:rPr>
      </w:pPr>
      <w:r>
        <w:t xml:space="preserve">Be specific about the connection, for example: </w:t>
      </w:r>
      <w:r w:rsidRPr="001158B6">
        <w:rPr>
          <w:i/>
          <w:iCs/>
        </w:rPr>
        <w:t xml:space="preserve">the American Association of School Librarians (AASL) states in the </w:t>
      </w:r>
      <w:r w:rsidRPr="001158B6">
        <w:t>National School Library Standards</w:t>
      </w:r>
      <w:r w:rsidRPr="001158B6">
        <w:rPr>
          <w:i/>
          <w:iCs/>
        </w:rPr>
        <w:t xml:space="preserve"> Common Beliefs that “Intellectual freedom is every learner’s right”</w:t>
      </w:r>
    </w:p>
    <w:p w14:paraId="3F4A1EA9" w14:textId="77777777" w:rsidR="001158B6" w:rsidRDefault="001158B6" w:rsidP="001158B6">
      <w:pPr>
        <w:pStyle w:val="ListParagraph"/>
      </w:pPr>
    </w:p>
    <w:p w14:paraId="340A9FE0" w14:textId="16A42035" w:rsidR="00865EA8" w:rsidRDefault="00865EA8" w:rsidP="001158B6">
      <w:pPr>
        <w:pStyle w:val="ListParagraph"/>
        <w:numPr>
          <w:ilvl w:val="1"/>
          <w:numId w:val="3"/>
        </w:numPr>
      </w:pPr>
      <w:r>
        <w:t xml:space="preserve"> </w:t>
      </w:r>
    </w:p>
    <w:p w14:paraId="1E8C830B" w14:textId="2CDBA9A3" w:rsidR="00865EA8" w:rsidRDefault="00865EA8" w:rsidP="001158B6">
      <w:pPr>
        <w:pStyle w:val="ListParagraph"/>
        <w:numPr>
          <w:ilvl w:val="1"/>
          <w:numId w:val="3"/>
        </w:numPr>
      </w:pPr>
      <w:r>
        <w:t xml:space="preserve"> </w:t>
      </w:r>
    </w:p>
    <w:p w14:paraId="6FC5A1C6" w14:textId="77777777" w:rsidR="001158B6" w:rsidRDefault="001158B6" w:rsidP="001158B6">
      <w:pPr>
        <w:pStyle w:val="ListParagraph"/>
        <w:ind w:left="1440"/>
      </w:pPr>
    </w:p>
    <w:p w14:paraId="16A2C3F8" w14:textId="44AEFD06" w:rsidR="001158B6" w:rsidRDefault="00D022C7" w:rsidP="001158B6">
      <w:pPr>
        <w:pStyle w:val="ListParagraph"/>
        <w:numPr>
          <w:ilvl w:val="0"/>
          <w:numId w:val="1"/>
        </w:numPr>
      </w:pPr>
      <w:r>
        <w:t>Reread</w:t>
      </w:r>
      <w:r w:rsidR="00901757">
        <w:t xml:space="preserve"> the sentences you wrote above. Write one sentence that summarizes the impact the program, event, or product has made.</w:t>
      </w:r>
    </w:p>
    <w:p w14:paraId="4EABB6E7" w14:textId="2EC5DEB4" w:rsidR="00901757" w:rsidRDefault="00901757" w:rsidP="00901757">
      <w:pPr>
        <w:ind w:left="720"/>
        <w:rPr>
          <w:i/>
          <w:iCs/>
        </w:rPr>
      </w:pPr>
      <w:r>
        <w:t xml:space="preserve">Example: </w:t>
      </w:r>
      <w:r w:rsidRPr="00901757">
        <w:rPr>
          <w:i/>
          <w:iCs/>
        </w:rPr>
        <w:t>Florida Freedom to Read Project</w:t>
      </w:r>
      <w:r>
        <w:rPr>
          <w:i/>
          <w:iCs/>
        </w:rPr>
        <w:t xml:space="preserve"> helps </w:t>
      </w:r>
      <w:r w:rsidRPr="00901757">
        <w:rPr>
          <w:i/>
          <w:iCs/>
        </w:rPr>
        <w:t>defend the intellectual freedom of all</w:t>
      </w:r>
      <w:r>
        <w:rPr>
          <w:i/>
          <w:iCs/>
        </w:rPr>
        <w:t xml:space="preserve"> </w:t>
      </w:r>
      <w:r w:rsidRPr="00901757">
        <w:rPr>
          <w:i/>
          <w:iCs/>
        </w:rPr>
        <w:t>school librarians, students, and community members by curating resources to educate and</w:t>
      </w:r>
      <w:r>
        <w:rPr>
          <w:i/>
          <w:iCs/>
        </w:rPr>
        <w:t xml:space="preserve"> </w:t>
      </w:r>
      <w:r w:rsidRPr="00901757">
        <w:rPr>
          <w:i/>
          <w:iCs/>
        </w:rPr>
        <w:t>empower the public to fight censorship.</w:t>
      </w:r>
    </w:p>
    <w:p w14:paraId="57061517" w14:textId="77777777" w:rsidR="0014690A" w:rsidRDefault="0014690A" w:rsidP="00901757">
      <w:pPr>
        <w:ind w:left="720"/>
        <w:rPr>
          <w:i/>
          <w:iCs/>
        </w:rPr>
      </w:pPr>
    </w:p>
    <w:p w14:paraId="58AEDBE7" w14:textId="4EDF8CBB" w:rsidR="0014690A" w:rsidRDefault="0014690A" w:rsidP="0014690A">
      <w:pPr>
        <w:pStyle w:val="ListParagraph"/>
        <w:numPr>
          <w:ilvl w:val="0"/>
          <w:numId w:val="1"/>
        </w:numPr>
      </w:pPr>
      <w:r>
        <w:t>Now, use what you’ve written above to fill in the next page.</w:t>
      </w:r>
    </w:p>
    <w:p w14:paraId="1813ED10" w14:textId="77777777" w:rsidR="00865EA8" w:rsidRDefault="00865EA8">
      <w:r>
        <w:br w:type="page"/>
      </w:r>
    </w:p>
    <w:p w14:paraId="7A90CA3E" w14:textId="4FFA0BB8" w:rsidR="00865EA8" w:rsidRDefault="00865EA8" w:rsidP="00865EA8">
      <w:pPr>
        <w:jc w:val="center"/>
        <w:rPr>
          <w:rFonts w:ascii="Calibri-Bold" w:hAnsi="Calibri-Bold" w:cs="Calibri-Bold"/>
          <w:b/>
          <w:bCs/>
          <w:kern w:val="0"/>
          <w:sz w:val="28"/>
          <w:szCs w:val="28"/>
        </w:rPr>
      </w:pPr>
      <w:r>
        <w:rPr>
          <w:rFonts w:ascii="Calibri-Bold" w:hAnsi="Calibri-Bold" w:cs="Calibri-Bold"/>
          <w:b/>
          <w:bCs/>
          <w:kern w:val="0"/>
          <w:sz w:val="28"/>
          <w:szCs w:val="28"/>
        </w:rPr>
        <w:lastRenderedPageBreak/>
        <w:t>Resolution</w:t>
      </w:r>
      <w:r w:rsidR="001158B6">
        <w:rPr>
          <w:rFonts w:ascii="Calibri-Bold" w:hAnsi="Calibri-Bold" w:cs="Calibri-Bold"/>
          <w:b/>
          <w:bCs/>
          <w:kern w:val="0"/>
          <w:sz w:val="28"/>
          <w:szCs w:val="28"/>
        </w:rPr>
        <w:t xml:space="preserve"> Commending</w:t>
      </w:r>
      <w:r>
        <w:rPr>
          <w:rFonts w:ascii="Calibri-Bold" w:hAnsi="Calibri-Bold" w:cs="Calibri-Bold"/>
          <w:b/>
          <w:bCs/>
          <w:kern w:val="0"/>
          <w:sz w:val="28"/>
          <w:szCs w:val="28"/>
        </w:rPr>
        <w:t xml:space="preserve"> (answer from question 1)</w:t>
      </w:r>
    </w:p>
    <w:p w14:paraId="0EE44215" w14:textId="51A34C4F" w:rsidR="00865EA8" w:rsidRPr="00865EA8" w:rsidRDefault="00865EA8" w:rsidP="00865EA8">
      <w:r w:rsidRPr="00865EA8">
        <w:t>Whereas (sentence 2a);</w:t>
      </w:r>
    </w:p>
    <w:p w14:paraId="1EDED03C" w14:textId="33F55C74" w:rsidR="00865EA8" w:rsidRPr="00865EA8" w:rsidRDefault="00865EA8" w:rsidP="00865EA8">
      <w:r w:rsidRPr="00865EA8">
        <w:t xml:space="preserve">Whereas </w:t>
      </w:r>
      <w:r>
        <w:t>(sentence 2b)</w:t>
      </w:r>
      <w:r w:rsidRPr="00865EA8">
        <w:t>;</w:t>
      </w:r>
    </w:p>
    <w:p w14:paraId="64E74F0F" w14:textId="0350BE97" w:rsidR="00865EA8" w:rsidRPr="00865EA8" w:rsidRDefault="00865EA8" w:rsidP="00865EA8">
      <w:r w:rsidRPr="00865EA8">
        <w:t xml:space="preserve">Whereas </w:t>
      </w:r>
      <w:r>
        <w:t>(sentence 2c)</w:t>
      </w:r>
      <w:r w:rsidRPr="00865EA8">
        <w:t>;</w:t>
      </w:r>
    </w:p>
    <w:p w14:paraId="7F5FF249" w14:textId="2B2CA1EC" w:rsidR="00865EA8" w:rsidRDefault="00865EA8" w:rsidP="00865EA8">
      <w:r w:rsidRPr="00865EA8">
        <w:t>Whereas (sentence 2</w:t>
      </w:r>
      <w:r>
        <w:t>d</w:t>
      </w:r>
      <w:r w:rsidRPr="00865EA8">
        <w:t>);</w:t>
      </w:r>
    </w:p>
    <w:p w14:paraId="2BBE8EBE" w14:textId="17B60B3F" w:rsidR="00865EA8" w:rsidRPr="00865EA8" w:rsidRDefault="00865EA8" w:rsidP="00865EA8">
      <w:r w:rsidRPr="00865EA8">
        <w:t xml:space="preserve">Whereas </w:t>
      </w:r>
      <w:r>
        <w:t>(sentence 2e)</w:t>
      </w:r>
      <w:r w:rsidRPr="00865EA8">
        <w:t>;</w:t>
      </w:r>
    </w:p>
    <w:p w14:paraId="4876E1AB" w14:textId="767CC215" w:rsidR="00865EA8" w:rsidRPr="00865EA8" w:rsidRDefault="00865EA8" w:rsidP="00865EA8">
      <w:r w:rsidRPr="00865EA8">
        <w:t xml:space="preserve">Whereas </w:t>
      </w:r>
      <w:r>
        <w:t>(sentence 2f)</w:t>
      </w:r>
      <w:r w:rsidRPr="00865EA8">
        <w:t>;</w:t>
      </w:r>
    </w:p>
    <w:p w14:paraId="13BC4460" w14:textId="3349C7A5" w:rsidR="00865EA8" w:rsidRPr="00865EA8" w:rsidRDefault="00865EA8" w:rsidP="00865EA8">
      <w:r w:rsidRPr="00865EA8">
        <w:t xml:space="preserve">Whereas </w:t>
      </w:r>
      <w:r>
        <w:t>(sentence 2g)</w:t>
      </w:r>
      <w:r w:rsidRPr="00865EA8">
        <w:t>;</w:t>
      </w:r>
    </w:p>
    <w:p w14:paraId="7FC3002A" w14:textId="7BFF4B98" w:rsidR="001158B6" w:rsidRPr="00865EA8" w:rsidRDefault="001158B6" w:rsidP="001158B6">
      <w:r w:rsidRPr="00865EA8">
        <w:t xml:space="preserve">Whereas </w:t>
      </w:r>
      <w:r>
        <w:t>(sentence 3a)</w:t>
      </w:r>
      <w:r w:rsidRPr="00865EA8">
        <w:t>;</w:t>
      </w:r>
    </w:p>
    <w:p w14:paraId="76EA4C95" w14:textId="489BBFAD" w:rsidR="001158B6" w:rsidRDefault="001158B6" w:rsidP="001158B6">
      <w:pPr>
        <w:rPr>
          <w:rFonts w:ascii="Calibri" w:hAnsi="Calibri" w:cs="Calibri"/>
          <w:kern w:val="0"/>
        </w:rPr>
      </w:pPr>
      <w:r w:rsidRPr="00865EA8">
        <w:t xml:space="preserve">Whereas </w:t>
      </w:r>
      <w:r>
        <w:t xml:space="preserve">(sentence 3b) </w:t>
      </w:r>
      <w:r>
        <w:rPr>
          <w:rFonts w:ascii="Calibri" w:hAnsi="Calibri" w:cs="Calibri"/>
          <w:kern w:val="0"/>
        </w:rPr>
        <w:t>now, therefore, be it</w:t>
      </w:r>
    </w:p>
    <w:p w14:paraId="2D0CE663" w14:textId="0F2E58FE" w:rsidR="001158B6" w:rsidRDefault="001158B6" w:rsidP="001158B6">
      <w:pPr>
        <w:rPr>
          <w:rFonts w:ascii="Calibri" w:hAnsi="Calibri" w:cs="Calibri"/>
          <w:kern w:val="0"/>
        </w:rPr>
      </w:pPr>
      <w:r>
        <w:rPr>
          <w:rFonts w:ascii="Calibri-Italic" w:hAnsi="Calibri-Italic" w:cs="Calibri-Italic"/>
          <w:i/>
          <w:iCs/>
          <w:kern w:val="0"/>
        </w:rPr>
        <w:t>Resolved</w:t>
      </w:r>
      <w:r>
        <w:rPr>
          <w:rFonts w:ascii="Calibri" w:hAnsi="Calibri" w:cs="Calibri"/>
          <w:kern w:val="0"/>
        </w:rPr>
        <w:t>, that the American Association of School Librarians (AASL), on behalf of its members:</w:t>
      </w:r>
    </w:p>
    <w:p w14:paraId="2FC42152" w14:textId="6E513816" w:rsidR="001158B6" w:rsidRDefault="00901757" w:rsidP="001158B6">
      <w:pPr>
        <w:pStyle w:val="ListParagraph"/>
        <w:numPr>
          <w:ilvl w:val="0"/>
          <w:numId w:val="2"/>
        </w:numPr>
      </w:pPr>
      <w:r>
        <w:t>Commend (answer from #1) for (</w:t>
      </w:r>
      <w:r w:rsidR="007732D8">
        <w:t xml:space="preserve">sentence </w:t>
      </w:r>
      <w:r>
        <w:t>from question 4).</w:t>
      </w:r>
    </w:p>
    <w:p w14:paraId="3B02617D" w14:textId="77777777" w:rsidR="0036658D" w:rsidRDefault="0036658D" w:rsidP="0036658D"/>
    <w:p w14:paraId="0DA6C885" w14:textId="0AE7EA02" w:rsidR="0036658D" w:rsidRPr="00865EA8" w:rsidRDefault="0036658D" w:rsidP="0036658D">
      <w:r>
        <w:t xml:space="preserve">Note: </w:t>
      </w:r>
      <w:r w:rsidR="00AC6384">
        <w:t>Add “now, therefore, be it” to the last sentence you wrote for the whereas statements</w:t>
      </w:r>
      <w:r w:rsidR="00E81D1E">
        <w:t>.</w:t>
      </w:r>
    </w:p>
    <w:p w14:paraId="6D3BD746" w14:textId="77777777" w:rsidR="00865EA8" w:rsidRPr="00865EA8" w:rsidRDefault="00865EA8" w:rsidP="00865EA8"/>
    <w:p w14:paraId="21303A53" w14:textId="77777777" w:rsidR="00865EA8" w:rsidRPr="00865EA8" w:rsidRDefault="00865EA8" w:rsidP="00865EA8"/>
    <w:p w14:paraId="1F4A861A" w14:textId="77777777" w:rsidR="00865EA8" w:rsidRPr="00865EA8" w:rsidRDefault="00865EA8" w:rsidP="00865EA8"/>
    <w:sectPr w:rsidR="00865EA8" w:rsidRPr="0086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A0752"/>
    <w:multiLevelType w:val="hybridMultilevel"/>
    <w:tmpl w:val="8B0CD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12291"/>
    <w:multiLevelType w:val="hybridMultilevel"/>
    <w:tmpl w:val="9B34AE7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73C5A92"/>
    <w:multiLevelType w:val="hybridMultilevel"/>
    <w:tmpl w:val="9A1E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D6DBA"/>
    <w:multiLevelType w:val="hybridMultilevel"/>
    <w:tmpl w:val="1442A7D2"/>
    <w:lvl w:ilvl="0" w:tplc="BD981294">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48996720">
    <w:abstractNumId w:val="0"/>
  </w:num>
  <w:num w:numId="2" w16cid:durableId="1132554836">
    <w:abstractNumId w:val="2"/>
  </w:num>
  <w:num w:numId="3" w16cid:durableId="1240166429">
    <w:abstractNumId w:val="1"/>
  </w:num>
  <w:num w:numId="4" w16cid:durableId="1361664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D6"/>
    <w:rsid w:val="001158B6"/>
    <w:rsid w:val="0014690A"/>
    <w:rsid w:val="0036658D"/>
    <w:rsid w:val="00447796"/>
    <w:rsid w:val="006168E8"/>
    <w:rsid w:val="007732D8"/>
    <w:rsid w:val="00865EA8"/>
    <w:rsid w:val="00901757"/>
    <w:rsid w:val="009D13D6"/>
    <w:rsid w:val="00AC6384"/>
    <w:rsid w:val="00D022C7"/>
    <w:rsid w:val="00E8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0E2C"/>
  <w15:chartTrackingRefBased/>
  <w15:docId w15:val="{1E8BDF93-2CA4-4692-9450-9942A3CA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Habley</dc:creator>
  <cp:keywords/>
  <dc:description/>
  <cp:lastModifiedBy>Jennifer Habley</cp:lastModifiedBy>
  <cp:revision>8</cp:revision>
  <dcterms:created xsi:type="dcterms:W3CDTF">2024-03-25T21:15:00Z</dcterms:created>
  <dcterms:modified xsi:type="dcterms:W3CDTF">2024-04-18T00:43:00Z</dcterms:modified>
</cp:coreProperties>
</file>