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668CD4B4"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r>
      <w:r w:rsidR="007739FA">
        <w:rPr>
          <w:rFonts w:asciiTheme="minorHAnsi" w:hAnsiTheme="minorHAnsi"/>
        </w:rPr>
        <w:t>Lost and Postponed Revenue due to COVID-19</w:t>
      </w:r>
    </w:p>
    <w:p w14:paraId="7D7F2693" w14:textId="57DA84F4"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9B2C5C">
        <w:rPr>
          <w:rFonts w:asciiTheme="minorHAnsi" w:hAnsiTheme="minorHAnsi"/>
        </w:rPr>
        <w:t>April 13</w:t>
      </w:r>
      <w:r w:rsidR="00427B50">
        <w:rPr>
          <w:rFonts w:asciiTheme="minorHAnsi" w:hAnsiTheme="minorHAnsi"/>
        </w:rPr>
        <w:t>, 2020</w:t>
      </w:r>
    </w:p>
    <w:p w14:paraId="11F7C2F3" w14:textId="77777777" w:rsidR="00DD1B11" w:rsidRDefault="00DD1B11" w:rsidP="00DD1B11">
      <w:pPr>
        <w:tabs>
          <w:tab w:val="left" w:pos="720"/>
          <w:tab w:val="left" w:pos="1440"/>
          <w:tab w:val="left" w:pos="2160"/>
          <w:tab w:val="left" w:pos="3120"/>
        </w:tabs>
        <w:rPr>
          <w:rFonts w:asciiTheme="minorHAnsi" w:hAnsiTheme="minorHAnsi"/>
        </w:rPr>
      </w:pPr>
    </w:p>
    <w:p w14:paraId="48F950EB" w14:textId="4B509199" w:rsidR="00DD1B11" w:rsidRDefault="00DD1B11" w:rsidP="00953105">
      <w:pPr>
        <w:ind w:left="2160" w:hanging="2160"/>
        <w:rPr>
          <w:rFonts w:asciiTheme="minorHAnsi" w:hAnsiTheme="minorHAnsi"/>
          <w:i/>
        </w:rPr>
      </w:pPr>
      <w:r>
        <w:rPr>
          <w:rFonts w:asciiTheme="minorHAnsi" w:hAnsiTheme="minorHAnsi"/>
          <w:b/>
        </w:rPr>
        <w:t>ACTION REQUESTED/INFORMATION/REPORT:</w:t>
      </w:r>
      <w:r w:rsidR="00953105">
        <w:rPr>
          <w:rFonts w:asciiTheme="minorHAnsi" w:hAnsiTheme="minorHAnsi"/>
          <w:b/>
        </w:rPr>
        <w:t xml:space="preserve"> </w:t>
      </w:r>
      <w:r>
        <w:rPr>
          <w:rFonts w:asciiTheme="minorHAnsi" w:hAnsiTheme="minorHAnsi"/>
        </w:rPr>
        <w:t>Information</w:t>
      </w:r>
    </w:p>
    <w:p w14:paraId="2CCF2489" w14:textId="63B940C4" w:rsidR="00DD1B11" w:rsidRDefault="00DD1B11" w:rsidP="00A45381">
      <w:pPr>
        <w:ind w:left="2880" w:hanging="2880"/>
        <w:rPr>
          <w:rFonts w:asciiTheme="minorHAnsi" w:hAnsiTheme="minorHAnsi"/>
        </w:rPr>
      </w:pPr>
      <w:r>
        <w:rPr>
          <w:rFonts w:ascii="Calibri" w:hAnsi="Calibri"/>
          <w:b/>
        </w:rPr>
        <w:t>ACTION REQUESTED BY</w:t>
      </w:r>
      <w:r>
        <w:rPr>
          <w:rFonts w:asciiTheme="minorHAnsi" w:hAnsiTheme="minorHAnsi"/>
          <w:b/>
        </w:rPr>
        <w:t>:</w:t>
      </w:r>
      <w:r w:rsidR="00A45381">
        <w:rPr>
          <w:rFonts w:asciiTheme="minorHAnsi" w:hAnsiTheme="minorHAnsi"/>
          <w:b/>
        </w:rPr>
        <w:t xml:space="preserve"> </w:t>
      </w:r>
      <w:r>
        <w:rPr>
          <w:rFonts w:asciiTheme="minorHAnsi" w:hAnsiTheme="minorHAnsi"/>
        </w:rPr>
        <w:t>N/A</w:t>
      </w:r>
      <w:bookmarkStart w:id="0" w:name="_GoBack"/>
      <w:bookmarkEnd w:id="0"/>
    </w:p>
    <w:p w14:paraId="6299D693" w14:textId="129C1DFC" w:rsidR="00DD1B11" w:rsidRDefault="00DD1B11" w:rsidP="00A45381">
      <w:pPr>
        <w:rPr>
          <w:rFonts w:asciiTheme="minorHAnsi" w:hAnsiTheme="minorHAnsi"/>
        </w:rPr>
      </w:pPr>
      <w:r>
        <w:rPr>
          <w:rFonts w:asciiTheme="minorHAnsi" w:hAnsiTheme="minorHAnsi"/>
          <w:b/>
        </w:rPr>
        <w:t>DRAFT OF MOTION:</w:t>
      </w:r>
      <w:r w:rsidR="00A45381">
        <w:rPr>
          <w:rFonts w:asciiTheme="minorHAnsi" w:hAnsiTheme="minorHAnsi"/>
          <w:b/>
        </w:rPr>
        <w:t xml:space="preserve"> </w:t>
      </w:r>
      <w:r>
        <w:rPr>
          <w:rFonts w:asciiTheme="minorHAnsi" w:hAnsiTheme="minorHAnsi"/>
        </w:rPr>
        <w:t>N/A</w:t>
      </w:r>
    </w:p>
    <w:p w14:paraId="7C3C4A03" w14:textId="77777777" w:rsidR="00A45381" w:rsidRDefault="00A45381" w:rsidP="00DD1B11">
      <w:pPr>
        <w:rPr>
          <w:rFonts w:asciiTheme="minorHAnsi" w:hAnsiTheme="minorHAnsi"/>
        </w:rPr>
      </w:pPr>
    </w:p>
    <w:p w14:paraId="36C61C55" w14:textId="445CA234" w:rsidR="0044711E" w:rsidRDefault="0044711E" w:rsidP="0044711E">
      <w:pPr>
        <w:rPr>
          <w:rFonts w:asciiTheme="minorHAnsi" w:hAnsiTheme="minorHAnsi"/>
        </w:rPr>
      </w:pPr>
    </w:p>
    <w:p w14:paraId="30C789D2" w14:textId="5596B9E0" w:rsidR="009B2C5C" w:rsidRDefault="007739FA" w:rsidP="0044711E">
      <w:pPr>
        <w:rPr>
          <w:rFonts w:asciiTheme="minorHAnsi" w:hAnsiTheme="minorHAnsi"/>
        </w:rPr>
      </w:pPr>
      <w:r>
        <w:rPr>
          <w:rFonts w:asciiTheme="minorHAnsi" w:hAnsiTheme="minorHAnsi"/>
        </w:rPr>
        <w:t xml:space="preserve">ALA asked </w:t>
      </w:r>
      <w:r w:rsidR="00754CC3">
        <w:rPr>
          <w:rFonts w:asciiTheme="minorHAnsi" w:hAnsiTheme="minorHAnsi"/>
        </w:rPr>
        <w:t>all units</w:t>
      </w:r>
      <w:r>
        <w:rPr>
          <w:rFonts w:asciiTheme="minorHAnsi" w:hAnsiTheme="minorHAnsi"/>
        </w:rPr>
        <w:t xml:space="preserve"> to prepare report</w:t>
      </w:r>
      <w:r w:rsidR="00754CC3">
        <w:rPr>
          <w:rFonts w:asciiTheme="minorHAnsi" w:hAnsiTheme="minorHAnsi"/>
        </w:rPr>
        <w:t>s</w:t>
      </w:r>
      <w:r>
        <w:rPr>
          <w:rFonts w:asciiTheme="minorHAnsi" w:hAnsiTheme="minorHAnsi"/>
        </w:rPr>
        <w:t xml:space="preserve"> on how COVID-19 has impacted revenue, including how canceled and postponed events have resulted in “sunken” (lost) expenses, wasted staff time, and revenue that will not be realized, at least in the near future. What PLA </w:t>
      </w:r>
      <w:r w:rsidR="009F3991">
        <w:rPr>
          <w:rFonts w:asciiTheme="minorHAnsi" w:hAnsiTheme="minorHAnsi"/>
        </w:rPr>
        <w:t>submitted</w:t>
      </w:r>
      <w:r>
        <w:rPr>
          <w:rFonts w:asciiTheme="minorHAnsi" w:hAnsiTheme="minorHAnsi"/>
        </w:rPr>
        <w:t xml:space="preserve"> is</w:t>
      </w:r>
      <w:r w:rsidR="006D18F6">
        <w:rPr>
          <w:rFonts w:asciiTheme="minorHAnsi" w:hAnsiTheme="minorHAnsi"/>
        </w:rPr>
        <w:t xml:space="preserve"> summarized</w:t>
      </w:r>
      <w:r>
        <w:rPr>
          <w:rFonts w:asciiTheme="minorHAnsi" w:hAnsiTheme="minorHAnsi"/>
        </w:rPr>
        <w:t xml:space="preserve"> below.</w:t>
      </w:r>
      <w:r w:rsidR="00754CC3">
        <w:rPr>
          <w:rFonts w:asciiTheme="minorHAnsi" w:hAnsiTheme="minorHAnsi"/>
        </w:rPr>
        <w:t xml:space="preserve"> The purpose of this is to help ALA apply for newly-available loans and other support due to the COVID-19 crisis.</w:t>
      </w:r>
    </w:p>
    <w:p w14:paraId="625BA04B" w14:textId="70215282" w:rsidR="009F3991" w:rsidRDefault="009F3991" w:rsidP="0044711E">
      <w:pPr>
        <w:rPr>
          <w:rFonts w:asciiTheme="minorHAnsi" w:hAnsiTheme="minorHAnsi"/>
        </w:rPr>
      </w:pPr>
    </w:p>
    <w:p w14:paraId="49672955" w14:textId="671076F9" w:rsidR="009F3991" w:rsidRDefault="009F3991" w:rsidP="0044711E">
      <w:pPr>
        <w:rPr>
          <w:rFonts w:asciiTheme="minorHAnsi" w:hAnsiTheme="minorHAnsi"/>
        </w:rPr>
      </w:pPr>
      <w:r>
        <w:rPr>
          <w:rFonts w:asciiTheme="minorHAnsi" w:hAnsiTheme="minorHAnsi"/>
        </w:rPr>
        <w:t>These are very rough estimates and subject to change</w:t>
      </w:r>
      <w:r w:rsidR="006D18F6">
        <w:rPr>
          <w:rFonts w:asciiTheme="minorHAnsi" w:hAnsiTheme="minorHAnsi"/>
        </w:rPr>
        <w:t xml:space="preserve">, for instance </w:t>
      </w:r>
      <w:r>
        <w:rPr>
          <w:rFonts w:asciiTheme="minorHAnsi" w:hAnsiTheme="minorHAnsi"/>
        </w:rPr>
        <w:t>if some postponed events do occur. The totals are roughly:</w:t>
      </w:r>
    </w:p>
    <w:p w14:paraId="2CEDCE77" w14:textId="6F7CD3ED" w:rsidR="009F3991" w:rsidRDefault="009F3991" w:rsidP="009F3991">
      <w:pPr>
        <w:pStyle w:val="ListParagraph"/>
        <w:numPr>
          <w:ilvl w:val="0"/>
          <w:numId w:val="28"/>
        </w:numPr>
        <w:rPr>
          <w:rFonts w:asciiTheme="minorHAnsi" w:hAnsiTheme="minorHAnsi"/>
        </w:rPr>
      </w:pPr>
      <w:r>
        <w:rPr>
          <w:rFonts w:asciiTheme="minorHAnsi" w:hAnsiTheme="minorHAnsi"/>
        </w:rPr>
        <w:t>Lost staff time: $33,000</w:t>
      </w:r>
    </w:p>
    <w:p w14:paraId="22DB168C" w14:textId="21CFBA9D" w:rsidR="009F3991" w:rsidRDefault="009F3991" w:rsidP="009F3991">
      <w:pPr>
        <w:pStyle w:val="ListParagraph"/>
        <w:numPr>
          <w:ilvl w:val="0"/>
          <w:numId w:val="28"/>
        </w:numPr>
        <w:rPr>
          <w:rFonts w:asciiTheme="minorHAnsi" w:hAnsiTheme="minorHAnsi"/>
        </w:rPr>
      </w:pPr>
      <w:r>
        <w:rPr>
          <w:rFonts w:asciiTheme="minorHAnsi" w:hAnsiTheme="minorHAnsi"/>
        </w:rPr>
        <w:t>Total Projected Revenue Loss: $616,400</w:t>
      </w:r>
    </w:p>
    <w:p w14:paraId="3936CF82" w14:textId="3F28EFBE" w:rsidR="009F3991" w:rsidRPr="009F3991" w:rsidRDefault="009F3991" w:rsidP="009F3991">
      <w:pPr>
        <w:pStyle w:val="ListParagraph"/>
        <w:numPr>
          <w:ilvl w:val="0"/>
          <w:numId w:val="28"/>
        </w:numPr>
        <w:rPr>
          <w:rFonts w:asciiTheme="minorHAnsi" w:hAnsiTheme="minorHAnsi"/>
        </w:rPr>
      </w:pPr>
      <w:r>
        <w:rPr>
          <w:rFonts w:asciiTheme="minorHAnsi" w:hAnsiTheme="minorHAnsi"/>
        </w:rPr>
        <w:t>Total Net Revenue</w:t>
      </w:r>
      <w:r w:rsidR="00754CC3">
        <w:rPr>
          <w:rFonts w:asciiTheme="minorHAnsi" w:hAnsiTheme="minorHAnsi"/>
        </w:rPr>
        <w:t>*</w:t>
      </w:r>
      <w:r>
        <w:rPr>
          <w:rFonts w:asciiTheme="minorHAnsi" w:hAnsiTheme="minorHAnsi"/>
        </w:rPr>
        <w:t xml:space="preserve"> Loss: $139,800</w:t>
      </w:r>
    </w:p>
    <w:p w14:paraId="48E13B98" w14:textId="03B82424" w:rsidR="007739FA" w:rsidRDefault="007739FA" w:rsidP="0044711E">
      <w:pPr>
        <w:rPr>
          <w:rFonts w:asciiTheme="minorHAnsi" w:hAnsiTheme="minorHAnsi"/>
        </w:rPr>
      </w:pPr>
    </w:p>
    <w:tbl>
      <w:tblPr>
        <w:tblStyle w:val="TableGrid"/>
        <w:tblW w:w="0" w:type="auto"/>
        <w:tblLook w:val="04A0" w:firstRow="1" w:lastRow="0" w:firstColumn="1" w:lastColumn="0" w:noHBand="0" w:noVBand="1"/>
      </w:tblPr>
      <w:tblGrid>
        <w:gridCol w:w="4706"/>
        <w:gridCol w:w="1136"/>
        <w:gridCol w:w="1254"/>
        <w:gridCol w:w="2254"/>
      </w:tblGrid>
      <w:tr w:rsidR="00D90FE6" w:rsidRPr="00D90FE6" w14:paraId="1E2853E9" w14:textId="5EE6CFE1" w:rsidTr="00313226">
        <w:tc>
          <w:tcPr>
            <w:tcW w:w="0" w:type="auto"/>
          </w:tcPr>
          <w:p w14:paraId="71DBF3E4" w14:textId="75EB8599" w:rsidR="00D90FE6" w:rsidRPr="00D90FE6" w:rsidRDefault="00D90FE6" w:rsidP="00AA7ECB">
            <w:pPr>
              <w:rPr>
                <w:rFonts w:ascii="Calibri" w:eastAsia="Times New Roman" w:hAnsi="Calibri" w:cs="Calibri"/>
                <w:color w:val="0563C1"/>
                <w:u w:val="single"/>
              </w:rPr>
            </w:pPr>
            <w:r>
              <w:rPr>
                <w:rFonts w:asciiTheme="minorHAnsi" w:hAnsiTheme="minorHAnsi"/>
                <w:b/>
              </w:rPr>
              <w:t>ACTIVITY</w:t>
            </w:r>
          </w:p>
        </w:tc>
        <w:tc>
          <w:tcPr>
            <w:tcW w:w="0" w:type="auto"/>
          </w:tcPr>
          <w:p w14:paraId="02CEF6FB" w14:textId="4F39678F" w:rsidR="00D90FE6" w:rsidRPr="00D90FE6" w:rsidRDefault="00D90FE6" w:rsidP="00AA7ECB">
            <w:pPr>
              <w:rPr>
                <w:rFonts w:ascii="Calibri" w:eastAsia="Times New Roman" w:hAnsi="Calibri" w:cs="Calibri"/>
                <w:b/>
                <w:bCs/>
                <w:color w:val="000000"/>
              </w:rPr>
            </w:pPr>
            <w:r>
              <w:rPr>
                <w:rFonts w:ascii="Calibri" w:hAnsi="Calibri" w:cs="Calibri"/>
                <w:b/>
                <w:bCs/>
                <w:color w:val="000000"/>
              </w:rPr>
              <w:t>Lost Staff Time</w:t>
            </w:r>
          </w:p>
        </w:tc>
        <w:tc>
          <w:tcPr>
            <w:tcW w:w="0" w:type="auto"/>
          </w:tcPr>
          <w:p w14:paraId="1B49C16D" w14:textId="77777777" w:rsidR="00D90FE6" w:rsidRDefault="00D90FE6" w:rsidP="00D90FE6">
            <w:pPr>
              <w:rPr>
                <w:rFonts w:ascii="Calibri" w:eastAsia="Times New Roman" w:hAnsi="Calibri" w:cs="Calibri"/>
                <w:b/>
                <w:bCs/>
                <w:color w:val="000000"/>
              </w:rPr>
            </w:pPr>
            <w:r>
              <w:rPr>
                <w:rFonts w:ascii="Calibri" w:hAnsi="Calibri" w:cs="Calibri"/>
                <w:b/>
                <w:bCs/>
                <w:color w:val="000000"/>
              </w:rPr>
              <w:t>Total Projected</w:t>
            </w:r>
            <w:r>
              <w:rPr>
                <w:rFonts w:ascii="Calibri" w:hAnsi="Calibri" w:cs="Calibri"/>
                <w:b/>
                <w:bCs/>
                <w:color w:val="000000"/>
              </w:rPr>
              <w:br/>
              <w:t>Revenue Loss</w:t>
            </w:r>
          </w:p>
          <w:p w14:paraId="774A2983" w14:textId="77777777" w:rsidR="00D90FE6" w:rsidRDefault="00D90FE6" w:rsidP="00AA7ECB">
            <w:pPr>
              <w:rPr>
                <w:rFonts w:asciiTheme="minorHAnsi" w:hAnsiTheme="minorHAnsi"/>
                <w:b/>
              </w:rPr>
            </w:pPr>
          </w:p>
        </w:tc>
        <w:tc>
          <w:tcPr>
            <w:tcW w:w="0" w:type="auto"/>
          </w:tcPr>
          <w:p w14:paraId="57C1D369" w14:textId="54415B44" w:rsidR="00D90FE6" w:rsidRDefault="00D90FE6" w:rsidP="00D90FE6">
            <w:pPr>
              <w:rPr>
                <w:rFonts w:asciiTheme="minorHAnsi" w:hAnsiTheme="minorHAnsi"/>
                <w:b/>
              </w:rPr>
            </w:pPr>
            <w:r>
              <w:rPr>
                <w:rFonts w:ascii="Calibri" w:hAnsi="Calibri" w:cs="Calibri"/>
                <w:b/>
                <w:bCs/>
                <w:color w:val="000000"/>
              </w:rPr>
              <w:t>Total Net Loss</w:t>
            </w:r>
            <w:r w:rsidR="00754CC3">
              <w:rPr>
                <w:rFonts w:ascii="Calibri" w:hAnsi="Calibri" w:cs="Calibri"/>
                <w:b/>
                <w:bCs/>
                <w:color w:val="000000"/>
              </w:rPr>
              <w:t>*</w:t>
            </w:r>
            <w:r>
              <w:rPr>
                <w:rFonts w:ascii="Calibri" w:hAnsi="Calibri" w:cs="Calibri"/>
                <w:b/>
                <w:bCs/>
                <w:color w:val="000000"/>
              </w:rPr>
              <w:t xml:space="preserve"> including ALA OH (after expenses)</w:t>
            </w:r>
          </w:p>
        </w:tc>
      </w:tr>
      <w:tr w:rsidR="00313226" w:rsidRPr="00D90FE6" w14:paraId="23924C67" w14:textId="41D859D5" w:rsidTr="00313226">
        <w:tc>
          <w:tcPr>
            <w:tcW w:w="0" w:type="auto"/>
          </w:tcPr>
          <w:p w14:paraId="12A5077C" w14:textId="77777777" w:rsidR="00313226" w:rsidRDefault="00CA2DEC" w:rsidP="00313226">
            <w:pPr>
              <w:rPr>
                <w:rFonts w:ascii="Calibri" w:eastAsia="Times New Roman" w:hAnsi="Calibri" w:cs="Calibri"/>
                <w:color w:val="000000"/>
              </w:rPr>
            </w:pPr>
            <w:hyperlink r:id="rId8" w:history="1">
              <w:r w:rsidR="00313226" w:rsidRPr="00D90FE6">
                <w:rPr>
                  <w:rFonts w:ascii="Calibri" w:eastAsia="Times New Roman" w:hAnsi="Calibri" w:cs="Calibri"/>
                  <w:color w:val="0563C1"/>
                  <w:u w:val="single"/>
                </w:rPr>
                <w:t>Space Planning Workshops</w:t>
              </w:r>
            </w:hyperlink>
            <w:r w:rsidR="00313226" w:rsidRPr="00D90FE6">
              <w:rPr>
                <w:rFonts w:ascii="Calibri" w:eastAsia="Times New Roman" w:hAnsi="Calibri" w:cs="Calibri"/>
                <w:color w:val="0563C1"/>
                <w:u w:val="single"/>
              </w:rPr>
              <w:t xml:space="preserve">, </w:t>
            </w:r>
            <w:r w:rsidR="00313226" w:rsidRPr="00D90FE6">
              <w:rPr>
                <w:rFonts w:ascii="Calibri" w:eastAsia="Times New Roman" w:hAnsi="Calibri" w:cs="Calibri"/>
                <w:color w:val="000000"/>
              </w:rPr>
              <w:t>Day-long regional CE events for 60 each</w:t>
            </w:r>
          </w:p>
          <w:p w14:paraId="78BDC743" w14:textId="6B6C7EFC"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4 of the 5 events are canceled (as of 4/8/2020)</w:t>
            </w:r>
          </w:p>
        </w:tc>
        <w:tc>
          <w:tcPr>
            <w:tcW w:w="0" w:type="auto"/>
          </w:tcPr>
          <w:p w14:paraId="7F3C31A0" w14:textId="5298F0AD" w:rsidR="00313226" w:rsidRPr="00D90FE6" w:rsidRDefault="00313226" w:rsidP="00313226">
            <w:pPr>
              <w:rPr>
                <w:rFonts w:ascii="Calibri" w:eastAsia="Times New Roman" w:hAnsi="Calibri" w:cs="Calibri"/>
                <w:color w:val="0563C1"/>
                <w:u w:val="single"/>
              </w:rPr>
            </w:pPr>
            <w:r>
              <w:rPr>
                <w:rFonts w:ascii="Calibri" w:hAnsi="Calibri" w:cs="Calibri"/>
                <w:color w:val="000000"/>
              </w:rPr>
              <w:t>$16,182</w:t>
            </w:r>
          </w:p>
        </w:tc>
        <w:tc>
          <w:tcPr>
            <w:tcW w:w="0" w:type="auto"/>
          </w:tcPr>
          <w:p w14:paraId="4E8A8A25" w14:textId="118238D1" w:rsidR="00313226" w:rsidRPr="00D90FE6" w:rsidRDefault="00313226" w:rsidP="00313226">
            <w:pPr>
              <w:rPr>
                <w:rFonts w:ascii="Calibri" w:eastAsia="Times New Roman" w:hAnsi="Calibri" w:cs="Calibri"/>
                <w:color w:val="0563C1"/>
                <w:u w:val="single"/>
              </w:rPr>
            </w:pPr>
            <w:r>
              <w:rPr>
                <w:rFonts w:ascii="Calibri" w:hAnsi="Calibri" w:cs="Calibri"/>
                <w:color w:val="000000"/>
              </w:rPr>
              <w:t>$59,250</w:t>
            </w:r>
          </w:p>
        </w:tc>
        <w:tc>
          <w:tcPr>
            <w:tcW w:w="0" w:type="auto"/>
          </w:tcPr>
          <w:p w14:paraId="23FB0F6E" w14:textId="7EBDF771" w:rsidR="00313226" w:rsidRPr="00D90FE6" w:rsidRDefault="00313226" w:rsidP="00313226">
            <w:pPr>
              <w:rPr>
                <w:rFonts w:ascii="Calibri" w:eastAsia="Times New Roman" w:hAnsi="Calibri" w:cs="Calibri"/>
                <w:color w:val="0563C1"/>
                <w:u w:val="single"/>
              </w:rPr>
            </w:pPr>
            <w:r>
              <w:rPr>
                <w:rFonts w:ascii="Calibri" w:hAnsi="Calibri" w:cs="Calibri"/>
                <w:color w:val="000000"/>
              </w:rPr>
              <w:t>$17,250</w:t>
            </w:r>
          </w:p>
        </w:tc>
      </w:tr>
      <w:tr w:rsidR="00313226" w:rsidRPr="00D90FE6" w14:paraId="490ABF38" w14:textId="718BBAA3" w:rsidTr="00313226">
        <w:tc>
          <w:tcPr>
            <w:tcW w:w="0" w:type="auto"/>
          </w:tcPr>
          <w:p w14:paraId="26040164" w14:textId="77777777" w:rsidR="00313226" w:rsidRDefault="00313226" w:rsidP="00313226">
            <w:pPr>
              <w:rPr>
                <w:rFonts w:ascii="Calibri" w:eastAsia="Times New Roman" w:hAnsi="Calibri" w:cs="Calibri"/>
                <w:color w:val="000000"/>
              </w:rPr>
            </w:pPr>
            <w:r w:rsidRPr="00D90FE6">
              <w:rPr>
                <w:rFonts w:ascii="Calibri" w:eastAsia="Times New Roman" w:hAnsi="Calibri" w:cs="Calibri"/>
                <w:color w:val="000000"/>
              </w:rPr>
              <w:t>Space Planning Book Sales, Included with workshop registrations</w:t>
            </w:r>
          </w:p>
          <w:p w14:paraId="3E89D705" w14:textId="0467029F"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see above</w:t>
            </w:r>
          </w:p>
        </w:tc>
        <w:tc>
          <w:tcPr>
            <w:tcW w:w="0" w:type="auto"/>
          </w:tcPr>
          <w:p w14:paraId="589E0413" w14:textId="5056096B" w:rsidR="00313226" w:rsidRPr="00D90FE6" w:rsidRDefault="00313226" w:rsidP="00313226">
            <w:pPr>
              <w:rPr>
                <w:rFonts w:ascii="Calibri" w:eastAsia="Times New Roman" w:hAnsi="Calibri" w:cs="Calibri"/>
                <w:color w:val="000000"/>
              </w:rPr>
            </w:pPr>
            <w:r>
              <w:rPr>
                <w:rFonts w:ascii="Calibri" w:hAnsi="Calibri" w:cs="Calibri"/>
                <w:color w:val="000000"/>
              </w:rPr>
              <w:t>$0</w:t>
            </w:r>
          </w:p>
        </w:tc>
        <w:tc>
          <w:tcPr>
            <w:tcW w:w="0" w:type="auto"/>
          </w:tcPr>
          <w:p w14:paraId="15699B73" w14:textId="4BCA5F20" w:rsidR="00313226" w:rsidRPr="00D90FE6" w:rsidRDefault="00313226" w:rsidP="00313226">
            <w:pPr>
              <w:rPr>
                <w:rFonts w:ascii="Calibri" w:eastAsia="Times New Roman" w:hAnsi="Calibri" w:cs="Calibri"/>
                <w:color w:val="000000"/>
              </w:rPr>
            </w:pPr>
            <w:r>
              <w:rPr>
                <w:rFonts w:ascii="Calibri" w:hAnsi="Calibri" w:cs="Calibri"/>
                <w:color w:val="000000"/>
              </w:rPr>
              <w:t>$6,500</w:t>
            </w:r>
          </w:p>
        </w:tc>
        <w:tc>
          <w:tcPr>
            <w:tcW w:w="0" w:type="auto"/>
          </w:tcPr>
          <w:p w14:paraId="1883EA97" w14:textId="58CAAFB9" w:rsidR="00313226" w:rsidRPr="00D90FE6" w:rsidRDefault="00313226" w:rsidP="00313226">
            <w:pPr>
              <w:rPr>
                <w:rFonts w:ascii="Calibri" w:eastAsia="Times New Roman" w:hAnsi="Calibri" w:cs="Calibri"/>
                <w:color w:val="000000"/>
              </w:rPr>
            </w:pPr>
            <w:r>
              <w:rPr>
                <w:rFonts w:ascii="Calibri" w:hAnsi="Calibri" w:cs="Calibri"/>
                <w:color w:val="000000"/>
              </w:rPr>
              <w:t>$6,500</w:t>
            </w:r>
          </w:p>
        </w:tc>
      </w:tr>
      <w:tr w:rsidR="00313226" w:rsidRPr="00D90FE6" w14:paraId="64BCBF5D" w14:textId="17CB6193" w:rsidTr="00313226">
        <w:tc>
          <w:tcPr>
            <w:tcW w:w="0" w:type="auto"/>
          </w:tcPr>
          <w:p w14:paraId="20B682BD" w14:textId="77777777" w:rsidR="00313226" w:rsidRDefault="00CA2DEC" w:rsidP="00313226">
            <w:pPr>
              <w:rPr>
                <w:rFonts w:ascii="Calibri" w:eastAsia="Times New Roman" w:hAnsi="Calibri" w:cs="Calibri"/>
                <w:color w:val="000000"/>
              </w:rPr>
            </w:pPr>
            <w:hyperlink r:id="rId9" w:history="1">
              <w:r w:rsidR="00313226" w:rsidRPr="00D90FE6">
                <w:rPr>
                  <w:rFonts w:ascii="Calibri" w:eastAsia="Times New Roman" w:hAnsi="Calibri" w:cs="Calibri"/>
                  <w:color w:val="0563C1"/>
                  <w:u w:val="single"/>
                </w:rPr>
                <w:t>Equity Starts with Us Workshops</w:t>
              </w:r>
            </w:hyperlink>
            <w:r w:rsidR="00313226" w:rsidRPr="00D90FE6">
              <w:rPr>
                <w:rFonts w:ascii="Calibri" w:eastAsia="Times New Roman" w:hAnsi="Calibri" w:cs="Calibri"/>
                <w:color w:val="0563C1"/>
                <w:u w:val="single"/>
              </w:rPr>
              <w:t>,</w:t>
            </w:r>
            <w:r w:rsidR="00313226" w:rsidRPr="00D90FE6">
              <w:rPr>
                <w:rFonts w:ascii="Calibri" w:eastAsia="Times New Roman" w:hAnsi="Calibri" w:cs="Calibri"/>
                <w:color w:val="000000"/>
              </w:rPr>
              <w:t xml:space="preserve"> 1.5 day regional CE events for 100 each</w:t>
            </w:r>
          </w:p>
          <w:p w14:paraId="3C56B078" w14:textId="247BBB27"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2 of the 6 events are canceled (as of 4/8/2020)</w:t>
            </w:r>
          </w:p>
        </w:tc>
        <w:tc>
          <w:tcPr>
            <w:tcW w:w="0" w:type="auto"/>
          </w:tcPr>
          <w:p w14:paraId="7E146FC5" w14:textId="0FB42F48" w:rsidR="00313226" w:rsidRPr="00D90FE6" w:rsidRDefault="00313226" w:rsidP="00313226">
            <w:pPr>
              <w:rPr>
                <w:rFonts w:ascii="Calibri" w:eastAsia="Times New Roman" w:hAnsi="Calibri" w:cs="Calibri"/>
                <w:color w:val="0563C1"/>
                <w:u w:val="single"/>
              </w:rPr>
            </w:pPr>
            <w:r>
              <w:rPr>
                <w:rFonts w:ascii="Calibri" w:hAnsi="Calibri" w:cs="Calibri"/>
                <w:color w:val="000000"/>
              </w:rPr>
              <w:t>$5,187</w:t>
            </w:r>
          </w:p>
        </w:tc>
        <w:tc>
          <w:tcPr>
            <w:tcW w:w="0" w:type="auto"/>
          </w:tcPr>
          <w:p w14:paraId="55DDB1D9" w14:textId="2DB0271E" w:rsidR="00313226" w:rsidRPr="00D90FE6" w:rsidRDefault="00313226" w:rsidP="00313226">
            <w:pPr>
              <w:rPr>
                <w:rFonts w:ascii="Calibri" w:eastAsia="Times New Roman" w:hAnsi="Calibri" w:cs="Calibri"/>
                <w:color w:val="0563C1"/>
                <w:u w:val="single"/>
              </w:rPr>
            </w:pPr>
            <w:r>
              <w:rPr>
                <w:rFonts w:ascii="Calibri" w:hAnsi="Calibri" w:cs="Calibri"/>
                <w:color w:val="000000"/>
              </w:rPr>
              <w:t>$167,250</w:t>
            </w:r>
          </w:p>
        </w:tc>
        <w:tc>
          <w:tcPr>
            <w:tcW w:w="0" w:type="auto"/>
          </w:tcPr>
          <w:p w14:paraId="706AF926" w14:textId="72C427D7" w:rsidR="00313226" w:rsidRPr="00D90FE6" w:rsidRDefault="00313226" w:rsidP="00313226">
            <w:pPr>
              <w:rPr>
                <w:rFonts w:ascii="Calibri" w:eastAsia="Times New Roman" w:hAnsi="Calibri" w:cs="Calibri"/>
                <w:color w:val="0563C1"/>
                <w:u w:val="single"/>
              </w:rPr>
            </w:pPr>
            <w:r>
              <w:rPr>
                <w:rFonts w:ascii="Calibri" w:hAnsi="Calibri" w:cs="Calibri"/>
                <w:color w:val="000000"/>
              </w:rPr>
              <w:t>$43,476</w:t>
            </w:r>
          </w:p>
        </w:tc>
      </w:tr>
      <w:tr w:rsidR="00313226" w:rsidRPr="00D90FE6" w14:paraId="605802E1" w14:textId="52E52236" w:rsidTr="00313226">
        <w:tc>
          <w:tcPr>
            <w:tcW w:w="0" w:type="auto"/>
          </w:tcPr>
          <w:p w14:paraId="7CCFB41E" w14:textId="77777777" w:rsidR="00313226" w:rsidRDefault="00313226" w:rsidP="00313226">
            <w:pPr>
              <w:rPr>
                <w:rFonts w:ascii="Calibri" w:eastAsia="Times New Roman" w:hAnsi="Calibri" w:cs="Calibri"/>
                <w:color w:val="000000"/>
              </w:rPr>
            </w:pPr>
            <w:r w:rsidRPr="00D90FE6">
              <w:rPr>
                <w:rFonts w:ascii="Calibri" w:eastAsia="Times New Roman" w:hAnsi="Calibri" w:cs="Calibri"/>
                <w:color w:val="000000"/>
              </w:rPr>
              <w:t>Regional Event Sponsorships, Vendor support of regional CE; anticipated sponsorships of 50% of events</w:t>
            </w:r>
          </w:p>
          <w:p w14:paraId="38062F79" w14:textId="5A7ECBBD"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No longer possible due to canceled events</w:t>
            </w:r>
          </w:p>
        </w:tc>
        <w:tc>
          <w:tcPr>
            <w:tcW w:w="0" w:type="auto"/>
          </w:tcPr>
          <w:p w14:paraId="2BE90B74" w14:textId="0E8695BB" w:rsidR="00313226" w:rsidRPr="00D90FE6" w:rsidRDefault="00313226" w:rsidP="00313226">
            <w:pPr>
              <w:rPr>
                <w:rFonts w:ascii="Calibri" w:eastAsia="Times New Roman" w:hAnsi="Calibri" w:cs="Calibri"/>
                <w:color w:val="000000"/>
              </w:rPr>
            </w:pPr>
            <w:r>
              <w:rPr>
                <w:rFonts w:ascii="Calibri" w:hAnsi="Calibri" w:cs="Calibri"/>
                <w:color w:val="000000"/>
              </w:rPr>
              <w:t>$320</w:t>
            </w:r>
          </w:p>
        </w:tc>
        <w:tc>
          <w:tcPr>
            <w:tcW w:w="0" w:type="auto"/>
          </w:tcPr>
          <w:p w14:paraId="5F83126D" w14:textId="59D9713B" w:rsidR="00313226" w:rsidRPr="00D90FE6" w:rsidRDefault="00313226" w:rsidP="00313226">
            <w:pPr>
              <w:rPr>
                <w:rFonts w:ascii="Calibri" w:eastAsia="Times New Roman" w:hAnsi="Calibri" w:cs="Calibri"/>
                <w:color w:val="000000"/>
              </w:rPr>
            </w:pPr>
            <w:r>
              <w:rPr>
                <w:rFonts w:ascii="Calibri" w:hAnsi="Calibri" w:cs="Calibri"/>
                <w:color w:val="000000"/>
              </w:rPr>
              <w:t>$12,500</w:t>
            </w:r>
          </w:p>
        </w:tc>
        <w:tc>
          <w:tcPr>
            <w:tcW w:w="0" w:type="auto"/>
          </w:tcPr>
          <w:p w14:paraId="3B5E51C0" w14:textId="6A3968ED" w:rsidR="00313226" w:rsidRPr="00D90FE6" w:rsidRDefault="00313226" w:rsidP="00313226">
            <w:pPr>
              <w:rPr>
                <w:rFonts w:ascii="Calibri" w:eastAsia="Times New Roman" w:hAnsi="Calibri" w:cs="Calibri"/>
                <w:color w:val="000000"/>
              </w:rPr>
            </w:pPr>
            <w:r>
              <w:rPr>
                <w:rFonts w:ascii="Calibri" w:hAnsi="Calibri" w:cs="Calibri"/>
                <w:color w:val="000000"/>
              </w:rPr>
              <w:t>$12,500</w:t>
            </w:r>
          </w:p>
        </w:tc>
      </w:tr>
      <w:tr w:rsidR="00313226" w:rsidRPr="00D90FE6" w14:paraId="065D026F" w14:textId="2C730E50" w:rsidTr="00313226">
        <w:tc>
          <w:tcPr>
            <w:tcW w:w="0" w:type="auto"/>
          </w:tcPr>
          <w:p w14:paraId="2AC87F02" w14:textId="77777777" w:rsidR="00313226" w:rsidRDefault="00313226" w:rsidP="00313226">
            <w:pPr>
              <w:rPr>
                <w:rFonts w:ascii="Calibri" w:eastAsia="Times New Roman" w:hAnsi="Calibri" w:cs="Calibri"/>
                <w:color w:val="000000"/>
              </w:rPr>
            </w:pPr>
            <w:r w:rsidRPr="00D90FE6">
              <w:rPr>
                <w:rFonts w:ascii="Calibri" w:eastAsia="Times New Roman" w:hAnsi="Calibri" w:cs="Calibri"/>
                <w:color w:val="000000"/>
              </w:rPr>
              <w:t>Member Breakfast Sponsorship, Vendor or publisher support of Annual Conference speaker/event</w:t>
            </w:r>
          </w:p>
          <w:p w14:paraId="2B736E58" w14:textId="1CF55F6C"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No longer possible due to canceled events</w:t>
            </w:r>
          </w:p>
        </w:tc>
        <w:tc>
          <w:tcPr>
            <w:tcW w:w="0" w:type="auto"/>
          </w:tcPr>
          <w:p w14:paraId="2C1A171A" w14:textId="5C2ADFBA" w:rsidR="00313226" w:rsidRPr="00D90FE6" w:rsidRDefault="00313226" w:rsidP="00313226">
            <w:pPr>
              <w:rPr>
                <w:rFonts w:ascii="Calibri" w:eastAsia="Times New Roman" w:hAnsi="Calibri" w:cs="Calibri"/>
                <w:color w:val="000000"/>
              </w:rPr>
            </w:pPr>
            <w:r>
              <w:rPr>
                <w:rFonts w:ascii="Calibri" w:hAnsi="Calibri" w:cs="Calibri"/>
                <w:color w:val="000000"/>
              </w:rPr>
              <w:t>$3,000</w:t>
            </w:r>
          </w:p>
        </w:tc>
        <w:tc>
          <w:tcPr>
            <w:tcW w:w="0" w:type="auto"/>
          </w:tcPr>
          <w:p w14:paraId="7CA7EF8B" w14:textId="05D9BB48" w:rsidR="00313226" w:rsidRPr="00D90FE6" w:rsidRDefault="00313226" w:rsidP="00313226">
            <w:pPr>
              <w:rPr>
                <w:rFonts w:ascii="Calibri" w:eastAsia="Times New Roman" w:hAnsi="Calibri" w:cs="Calibri"/>
                <w:color w:val="000000"/>
              </w:rPr>
            </w:pPr>
            <w:r>
              <w:rPr>
                <w:rFonts w:ascii="Calibri" w:hAnsi="Calibri" w:cs="Calibri"/>
                <w:color w:val="000000"/>
              </w:rPr>
              <w:t>$15,000</w:t>
            </w:r>
          </w:p>
        </w:tc>
        <w:tc>
          <w:tcPr>
            <w:tcW w:w="0" w:type="auto"/>
          </w:tcPr>
          <w:p w14:paraId="54F8EB8D" w14:textId="377B35D3" w:rsidR="00313226" w:rsidRPr="00D90FE6" w:rsidRDefault="00313226" w:rsidP="00313226">
            <w:pPr>
              <w:rPr>
                <w:rFonts w:ascii="Calibri" w:eastAsia="Times New Roman" w:hAnsi="Calibri" w:cs="Calibri"/>
                <w:color w:val="000000"/>
              </w:rPr>
            </w:pPr>
            <w:r>
              <w:rPr>
                <w:rFonts w:ascii="Calibri" w:hAnsi="Calibri" w:cs="Calibri"/>
                <w:color w:val="000000"/>
              </w:rPr>
              <w:t>$15,000</w:t>
            </w:r>
          </w:p>
        </w:tc>
      </w:tr>
      <w:tr w:rsidR="00313226" w:rsidRPr="00D90FE6" w14:paraId="77C6B392" w14:textId="6C716DEA" w:rsidTr="00313226">
        <w:tc>
          <w:tcPr>
            <w:tcW w:w="0" w:type="auto"/>
          </w:tcPr>
          <w:p w14:paraId="3BC2AAA4" w14:textId="77777777" w:rsidR="00313226" w:rsidRDefault="00CA2DEC" w:rsidP="00313226">
            <w:pPr>
              <w:rPr>
                <w:rFonts w:ascii="Calibri" w:eastAsia="Times New Roman" w:hAnsi="Calibri" w:cs="Calibri"/>
                <w:color w:val="000000"/>
              </w:rPr>
            </w:pPr>
            <w:hyperlink r:id="rId10" w:history="1">
              <w:r w:rsidR="00313226" w:rsidRPr="00D90FE6">
                <w:rPr>
                  <w:rFonts w:ascii="Calibri" w:eastAsia="Times New Roman" w:hAnsi="Calibri" w:cs="Calibri"/>
                  <w:color w:val="0563C1"/>
                  <w:u w:val="single"/>
                </w:rPr>
                <w:t>Leadership Academy</w:t>
              </w:r>
            </w:hyperlink>
            <w:r w:rsidR="00313226" w:rsidRPr="00D90FE6">
              <w:rPr>
                <w:rFonts w:ascii="Calibri" w:eastAsia="Times New Roman" w:hAnsi="Calibri" w:cs="Calibri"/>
                <w:color w:val="0563C1"/>
                <w:u w:val="single"/>
              </w:rPr>
              <w:t xml:space="preserve">, </w:t>
            </w:r>
            <w:r w:rsidR="00313226" w:rsidRPr="00D90FE6">
              <w:rPr>
                <w:rFonts w:ascii="Calibri" w:eastAsia="Times New Roman" w:hAnsi="Calibri" w:cs="Calibri"/>
                <w:color w:val="000000"/>
              </w:rPr>
              <w:t>Four-day intensive training for 28 library staff who apply competitively</w:t>
            </w:r>
          </w:p>
          <w:p w14:paraId="39331558" w14:textId="062892E3"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Postponed to 2021</w:t>
            </w:r>
          </w:p>
        </w:tc>
        <w:tc>
          <w:tcPr>
            <w:tcW w:w="0" w:type="auto"/>
          </w:tcPr>
          <w:p w14:paraId="75EA97A0" w14:textId="73D5D6A2" w:rsidR="00313226" w:rsidRPr="00D90FE6" w:rsidRDefault="00313226" w:rsidP="00313226">
            <w:pPr>
              <w:rPr>
                <w:rFonts w:ascii="Calibri" w:eastAsia="Times New Roman" w:hAnsi="Calibri" w:cs="Calibri"/>
                <w:color w:val="0563C1"/>
                <w:u w:val="single"/>
              </w:rPr>
            </w:pPr>
            <w:r>
              <w:rPr>
                <w:rFonts w:ascii="Calibri" w:hAnsi="Calibri" w:cs="Calibri"/>
                <w:color w:val="000000"/>
              </w:rPr>
              <w:t>$1,622</w:t>
            </w:r>
          </w:p>
        </w:tc>
        <w:tc>
          <w:tcPr>
            <w:tcW w:w="0" w:type="auto"/>
          </w:tcPr>
          <w:p w14:paraId="25B36CBF" w14:textId="0CF25A47" w:rsidR="00313226" w:rsidRPr="00D90FE6" w:rsidRDefault="00313226" w:rsidP="00313226">
            <w:pPr>
              <w:rPr>
                <w:rFonts w:ascii="Calibri" w:eastAsia="Times New Roman" w:hAnsi="Calibri" w:cs="Calibri"/>
                <w:color w:val="0563C1"/>
                <w:u w:val="single"/>
              </w:rPr>
            </w:pPr>
            <w:r>
              <w:rPr>
                <w:rFonts w:ascii="Calibri" w:hAnsi="Calibri" w:cs="Calibri"/>
                <w:color w:val="000000"/>
              </w:rPr>
              <w:t>$0</w:t>
            </w:r>
          </w:p>
        </w:tc>
        <w:tc>
          <w:tcPr>
            <w:tcW w:w="0" w:type="auto"/>
          </w:tcPr>
          <w:p w14:paraId="5692A736" w14:textId="0CCC9E72" w:rsidR="00313226" w:rsidRPr="00D90FE6" w:rsidRDefault="00313226" w:rsidP="00313226">
            <w:pPr>
              <w:rPr>
                <w:rFonts w:ascii="Calibri" w:eastAsia="Times New Roman" w:hAnsi="Calibri" w:cs="Calibri"/>
                <w:color w:val="0563C1"/>
                <w:u w:val="single"/>
              </w:rPr>
            </w:pPr>
            <w:r>
              <w:rPr>
                <w:rFonts w:ascii="Calibri" w:hAnsi="Calibri" w:cs="Calibri"/>
                <w:color w:val="000000"/>
              </w:rPr>
              <w:t>-$120,000</w:t>
            </w:r>
          </w:p>
        </w:tc>
      </w:tr>
      <w:tr w:rsidR="00313226" w:rsidRPr="00D90FE6" w14:paraId="6E8AE1AE" w14:textId="5325B089" w:rsidTr="00313226">
        <w:tc>
          <w:tcPr>
            <w:tcW w:w="0" w:type="auto"/>
          </w:tcPr>
          <w:p w14:paraId="13F36656" w14:textId="5D97C1A4" w:rsidR="00313226" w:rsidRPr="00E5288C" w:rsidRDefault="00CA2DEC" w:rsidP="00313226">
            <w:pPr>
              <w:rPr>
                <w:rFonts w:ascii="Calibri" w:eastAsia="Times New Roman" w:hAnsi="Calibri" w:cs="Calibri"/>
                <w:color w:val="000000"/>
              </w:rPr>
            </w:pPr>
            <w:hyperlink r:id="rId11" w:history="1">
              <w:r w:rsidR="00313226" w:rsidRPr="00D90FE6">
                <w:rPr>
                  <w:rFonts w:ascii="Calibri" w:eastAsia="Times New Roman" w:hAnsi="Calibri" w:cs="Calibri"/>
                  <w:color w:val="0563C1"/>
                  <w:u w:val="single"/>
                </w:rPr>
                <w:t>Project Outcome Regional Training (PORT)</w:t>
              </w:r>
            </w:hyperlink>
            <w:r w:rsidR="00313226" w:rsidRPr="00D90FE6">
              <w:rPr>
                <w:rFonts w:ascii="Calibri" w:eastAsia="Times New Roman" w:hAnsi="Calibri" w:cs="Calibri"/>
                <w:color w:val="0563C1"/>
                <w:u w:val="single"/>
              </w:rPr>
              <w:t xml:space="preserve">, </w:t>
            </w:r>
            <w:r w:rsidR="00313226" w:rsidRPr="00D90FE6">
              <w:rPr>
                <w:rFonts w:ascii="Calibri" w:eastAsia="Times New Roman" w:hAnsi="Calibri" w:cs="Calibri"/>
                <w:color w:val="000000"/>
              </w:rPr>
              <w:t xml:space="preserve">Full-day training plus 2 online </w:t>
            </w:r>
            <w:r w:rsidR="00313226">
              <w:rPr>
                <w:rFonts w:ascii="Calibri" w:eastAsia="Times New Roman" w:hAnsi="Calibri" w:cs="Calibri"/>
                <w:color w:val="000000"/>
              </w:rPr>
              <w:t>m</w:t>
            </w:r>
            <w:r w:rsidR="00313226" w:rsidRPr="00D90FE6">
              <w:rPr>
                <w:rFonts w:ascii="Calibri" w:eastAsia="Times New Roman" w:hAnsi="Calibri" w:cs="Calibri"/>
                <w:color w:val="000000"/>
              </w:rPr>
              <w:t>eetings with PLA expert trainer</w:t>
            </w:r>
          </w:p>
          <w:p w14:paraId="1CE3E9BE" w14:textId="15AF2291"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 xml:space="preserve">On hold indefinitely due to library closures </w:t>
            </w:r>
          </w:p>
        </w:tc>
        <w:tc>
          <w:tcPr>
            <w:tcW w:w="0" w:type="auto"/>
          </w:tcPr>
          <w:p w14:paraId="60FCEF8B" w14:textId="6D97EC8D" w:rsidR="00313226" w:rsidRPr="00D90FE6" w:rsidRDefault="00313226" w:rsidP="00313226">
            <w:pPr>
              <w:rPr>
                <w:rFonts w:ascii="Calibri" w:eastAsia="Times New Roman" w:hAnsi="Calibri" w:cs="Calibri"/>
                <w:color w:val="0563C1"/>
                <w:u w:val="single"/>
              </w:rPr>
            </w:pPr>
            <w:r>
              <w:rPr>
                <w:rFonts w:ascii="Calibri" w:hAnsi="Calibri" w:cs="Calibri"/>
                <w:color w:val="000000"/>
              </w:rPr>
              <w:t>$0</w:t>
            </w:r>
          </w:p>
        </w:tc>
        <w:tc>
          <w:tcPr>
            <w:tcW w:w="0" w:type="auto"/>
          </w:tcPr>
          <w:p w14:paraId="414E9691" w14:textId="487E1435" w:rsidR="00313226" w:rsidRPr="00D90FE6" w:rsidRDefault="00313226" w:rsidP="00313226">
            <w:pPr>
              <w:rPr>
                <w:rFonts w:ascii="Calibri" w:eastAsia="Times New Roman" w:hAnsi="Calibri" w:cs="Calibri"/>
                <w:color w:val="0563C1"/>
                <w:u w:val="single"/>
              </w:rPr>
            </w:pPr>
            <w:r>
              <w:rPr>
                <w:rFonts w:ascii="Calibri" w:hAnsi="Calibri" w:cs="Calibri"/>
                <w:color w:val="000000"/>
              </w:rPr>
              <w:t>$30,000</w:t>
            </w:r>
          </w:p>
        </w:tc>
        <w:tc>
          <w:tcPr>
            <w:tcW w:w="0" w:type="auto"/>
          </w:tcPr>
          <w:p w14:paraId="67F26384" w14:textId="20E73722" w:rsidR="00313226" w:rsidRPr="00D90FE6" w:rsidRDefault="00313226" w:rsidP="00313226">
            <w:pPr>
              <w:rPr>
                <w:rFonts w:ascii="Calibri" w:eastAsia="Times New Roman" w:hAnsi="Calibri" w:cs="Calibri"/>
                <w:color w:val="0563C1"/>
                <w:u w:val="single"/>
              </w:rPr>
            </w:pPr>
            <w:r>
              <w:rPr>
                <w:rFonts w:ascii="Calibri" w:hAnsi="Calibri" w:cs="Calibri"/>
                <w:color w:val="000000"/>
              </w:rPr>
              <w:t>$25,800</w:t>
            </w:r>
          </w:p>
        </w:tc>
      </w:tr>
      <w:tr w:rsidR="00313226" w:rsidRPr="00D90FE6" w14:paraId="7767E2E7" w14:textId="58E0A06F" w:rsidTr="00313226">
        <w:tc>
          <w:tcPr>
            <w:tcW w:w="0" w:type="auto"/>
          </w:tcPr>
          <w:p w14:paraId="572F6DDA" w14:textId="7ACDDFD3" w:rsidR="00313226" w:rsidRDefault="00CA2DEC" w:rsidP="00313226">
            <w:pPr>
              <w:rPr>
                <w:rFonts w:ascii="Calibri" w:eastAsia="Times New Roman" w:hAnsi="Calibri" w:cs="Calibri"/>
                <w:color w:val="000000"/>
              </w:rPr>
            </w:pPr>
            <w:hyperlink r:id="rId12" w:history="1">
              <w:r w:rsidR="00313226" w:rsidRPr="00D90FE6">
                <w:rPr>
                  <w:rFonts w:ascii="Calibri" w:eastAsia="Times New Roman" w:hAnsi="Calibri" w:cs="Calibri"/>
                  <w:color w:val="0563C1"/>
                  <w:u w:val="single"/>
                </w:rPr>
                <w:t>Advancing Family Engagement in Libraries Series</w:t>
              </w:r>
            </w:hyperlink>
            <w:r w:rsidR="00313226" w:rsidRPr="00D90FE6">
              <w:rPr>
                <w:rFonts w:ascii="Calibri" w:eastAsia="Times New Roman" w:hAnsi="Calibri" w:cs="Calibri"/>
                <w:color w:val="0563C1"/>
                <w:u w:val="single"/>
              </w:rPr>
              <w:t xml:space="preserve">, </w:t>
            </w:r>
            <w:r w:rsidR="00313226" w:rsidRPr="00D90FE6">
              <w:rPr>
                <w:rFonts w:ascii="Calibri" w:eastAsia="Times New Roman" w:hAnsi="Calibri" w:cs="Calibri"/>
                <w:color w:val="000000"/>
              </w:rPr>
              <w:t>10-month professional development series for 30 libraries per cohort</w:t>
            </w:r>
          </w:p>
          <w:p w14:paraId="6100D13C" w14:textId="4ECFB740" w:rsidR="00313226" w:rsidRPr="00E5288C" w:rsidRDefault="00313226" w:rsidP="00313226">
            <w:pPr>
              <w:pStyle w:val="ListParagraph"/>
              <w:numPr>
                <w:ilvl w:val="0"/>
                <w:numId w:val="29"/>
              </w:numPr>
              <w:rPr>
                <w:rFonts w:asciiTheme="minorHAnsi" w:hAnsiTheme="minorHAnsi"/>
              </w:rPr>
            </w:pPr>
            <w:r w:rsidRPr="00E5288C">
              <w:rPr>
                <w:rFonts w:asciiTheme="minorHAnsi" w:hAnsiTheme="minorHAnsi"/>
              </w:rPr>
              <w:t>Second cohort postponed, may be postponed further</w:t>
            </w:r>
          </w:p>
        </w:tc>
        <w:tc>
          <w:tcPr>
            <w:tcW w:w="0" w:type="auto"/>
          </w:tcPr>
          <w:p w14:paraId="2A03B41D" w14:textId="785AC60B" w:rsidR="00313226" w:rsidRPr="00D90FE6" w:rsidRDefault="00313226" w:rsidP="00313226">
            <w:pPr>
              <w:rPr>
                <w:rFonts w:ascii="Calibri" w:eastAsia="Times New Roman" w:hAnsi="Calibri" w:cs="Calibri"/>
                <w:color w:val="0563C1"/>
                <w:u w:val="single"/>
              </w:rPr>
            </w:pPr>
            <w:r>
              <w:rPr>
                <w:rFonts w:ascii="Calibri" w:hAnsi="Calibri" w:cs="Calibri"/>
                <w:color w:val="000000"/>
              </w:rPr>
              <w:t>$0</w:t>
            </w:r>
          </w:p>
        </w:tc>
        <w:tc>
          <w:tcPr>
            <w:tcW w:w="0" w:type="auto"/>
          </w:tcPr>
          <w:p w14:paraId="4F4AD5EA" w14:textId="27DA1ADC" w:rsidR="00313226" w:rsidRPr="00D90FE6" w:rsidRDefault="00313226" w:rsidP="00313226">
            <w:pPr>
              <w:rPr>
                <w:rFonts w:ascii="Calibri" w:eastAsia="Times New Roman" w:hAnsi="Calibri" w:cs="Calibri"/>
                <w:color w:val="0563C1"/>
                <w:u w:val="single"/>
              </w:rPr>
            </w:pPr>
            <w:r>
              <w:rPr>
                <w:rFonts w:ascii="Calibri" w:hAnsi="Calibri" w:cs="Calibri"/>
                <w:color w:val="000000"/>
              </w:rPr>
              <w:t>$17,500</w:t>
            </w:r>
          </w:p>
        </w:tc>
        <w:tc>
          <w:tcPr>
            <w:tcW w:w="0" w:type="auto"/>
          </w:tcPr>
          <w:p w14:paraId="3C77A83A" w14:textId="613AE446" w:rsidR="00313226" w:rsidRPr="00D90FE6" w:rsidRDefault="00313226" w:rsidP="00313226">
            <w:pPr>
              <w:rPr>
                <w:rFonts w:ascii="Calibri" w:eastAsia="Times New Roman" w:hAnsi="Calibri" w:cs="Calibri"/>
                <w:color w:val="0563C1"/>
                <w:u w:val="single"/>
              </w:rPr>
            </w:pPr>
            <w:r>
              <w:rPr>
                <w:rFonts w:ascii="Calibri" w:hAnsi="Calibri" w:cs="Calibri"/>
                <w:color w:val="000000"/>
              </w:rPr>
              <w:t>$12,850</w:t>
            </w:r>
          </w:p>
        </w:tc>
      </w:tr>
      <w:tr w:rsidR="00313226" w:rsidRPr="00D90FE6" w14:paraId="1E3663D6" w14:textId="557D941B" w:rsidTr="00313226">
        <w:tc>
          <w:tcPr>
            <w:tcW w:w="0" w:type="auto"/>
          </w:tcPr>
          <w:p w14:paraId="3159EE13" w14:textId="11B5EB91" w:rsidR="00313226" w:rsidRPr="00E5288C" w:rsidRDefault="00313226" w:rsidP="00313226">
            <w:pPr>
              <w:rPr>
                <w:rFonts w:ascii="Calibri" w:eastAsia="Times New Roman" w:hAnsi="Calibri" w:cs="Calibri"/>
                <w:color w:val="000000"/>
              </w:rPr>
            </w:pPr>
            <w:r w:rsidRPr="00D90FE6">
              <w:rPr>
                <w:rFonts w:ascii="Calibri" w:eastAsia="Times New Roman" w:hAnsi="Calibri" w:cs="Calibri"/>
                <w:color w:val="0563C1"/>
                <w:u w:val="single"/>
              </w:rPr>
              <w:t>Inclusive Internship Initiative,</w:t>
            </w:r>
            <w:r w:rsidRPr="00D90FE6">
              <w:rPr>
                <w:rFonts w:ascii="Calibri" w:eastAsia="Times New Roman" w:hAnsi="Calibri" w:cs="Calibri"/>
                <w:color w:val="000000"/>
              </w:rPr>
              <w:t xml:space="preserve"> IMLS-funded summer intern program for 50 library mentors and students</w:t>
            </w:r>
          </w:p>
          <w:p w14:paraId="6778BEA3" w14:textId="0B1AE0F0" w:rsidR="00313226" w:rsidRPr="00E5288C" w:rsidRDefault="00313226" w:rsidP="00E5288C">
            <w:pPr>
              <w:pStyle w:val="ListParagraph"/>
              <w:numPr>
                <w:ilvl w:val="0"/>
                <w:numId w:val="29"/>
              </w:numPr>
              <w:rPr>
                <w:rFonts w:asciiTheme="minorHAnsi" w:hAnsiTheme="minorHAnsi"/>
              </w:rPr>
            </w:pPr>
            <w:r w:rsidRPr="00E5288C">
              <w:rPr>
                <w:rFonts w:asciiTheme="minorHAnsi" w:hAnsiTheme="minorHAnsi"/>
              </w:rPr>
              <w:t>Postponed to 2021</w:t>
            </w:r>
          </w:p>
        </w:tc>
        <w:tc>
          <w:tcPr>
            <w:tcW w:w="0" w:type="auto"/>
          </w:tcPr>
          <w:p w14:paraId="01819ED6" w14:textId="4D6C98B2" w:rsidR="00313226" w:rsidRPr="00D90FE6" w:rsidRDefault="00313226" w:rsidP="00313226">
            <w:pPr>
              <w:rPr>
                <w:rFonts w:ascii="Calibri" w:eastAsia="Times New Roman" w:hAnsi="Calibri" w:cs="Calibri"/>
                <w:color w:val="0563C1"/>
                <w:u w:val="single"/>
              </w:rPr>
            </w:pPr>
            <w:r>
              <w:rPr>
                <w:rFonts w:ascii="Calibri" w:hAnsi="Calibri" w:cs="Calibri"/>
                <w:color w:val="000000"/>
              </w:rPr>
              <w:t>$7,055</w:t>
            </w:r>
          </w:p>
        </w:tc>
        <w:tc>
          <w:tcPr>
            <w:tcW w:w="0" w:type="auto"/>
          </w:tcPr>
          <w:p w14:paraId="07C8EDAD" w14:textId="75452915" w:rsidR="00313226" w:rsidRPr="00D90FE6" w:rsidRDefault="00313226" w:rsidP="00313226">
            <w:pPr>
              <w:rPr>
                <w:rFonts w:ascii="Calibri" w:eastAsia="Times New Roman" w:hAnsi="Calibri" w:cs="Calibri"/>
                <w:color w:val="0563C1"/>
                <w:u w:val="single"/>
              </w:rPr>
            </w:pPr>
            <w:r>
              <w:rPr>
                <w:rFonts w:ascii="Calibri" w:hAnsi="Calibri" w:cs="Calibri"/>
                <w:color w:val="000000"/>
              </w:rPr>
              <w:t>$308,400</w:t>
            </w:r>
          </w:p>
        </w:tc>
        <w:tc>
          <w:tcPr>
            <w:tcW w:w="0" w:type="auto"/>
          </w:tcPr>
          <w:p w14:paraId="4DA7C43F" w14:textId="2B5431DD" w:rsidR="00313226" w:rsidRPr="00D90FE6" w:rsidRDefault="00313226" w:rsidP="00313226">
            <w:pPr>
              <w:rPr>
                <w:rFonts w:ascii="Calibri" w:eastAsia="Times New Roman" w:hAnsi="Calibri" w:cs="Calibri"/>
                <w:color w:val="0563C1"/>
                <w:u w:val="single"/>
              </w:rPr>
            </w:pPr>
            <w:r>
              <w:rPr>
                <w:rFonts w:ascii="Calibri" w:hAnsi="Calibri" w:cs="Calibri"/>
                <w:color w:val="000000"/>
              </w:rPr>
              <w:t>$6,400</w:t>
            </w:r>
          </w:p>
        </w:tc>
      </w:tr>
    </w:tbl>
    <w:p w14:paraId="4A4F3E76" w14:textId="601CE5CE" w:rsidR="007739FA" w:rsidRDefault="007739FA" w:rsidP="00D90FE6">
      <w:pPr>
        <w:rPr>
          <w:rFonts w:asciiTheme="minorHAnsi" w:hAnsiTheme="minorHAnsi"/>
        </w:rPr>
      </w:pPr>
    </w:p>
    <w:p w14:paraId="7BA9BCC4" w14:textId="17E173EC" w:rsidR="00FE6377" w:rsidRPr="00754CC3" w:rsidRDefault="00754CC3">
      <w:pPr>
        <w:rPr>
          <w:rFonts w:asciiTheme="minorHAnsi" w:hAnsiTheme="minorHAnsi"/>
        </w:rPr>
      </w:pPr>
      <w:r>
        <w:rPr>
          <w:rFonts w:asciiTheme="minorHAnsi" w:hAnsiTheme="minorHAnsi"/>
        </w:rPr>
        <w:t xml:space="preserve">*net loss is to </w:t>
      </w:r>
      <w:r>
        <w:rPr>
          <w:rFonts w:asciiTheme="minorHAnsi" w:hAnsiTheme="minorHAnsi"/>
          <w:i/>
          <w:iCs/>
        </w:rPr>
        <w:t>ALA</w:t>
      </w:r>
      <w:r>
        <w:rPr>
          <w:rFonts w:asciiTheme="minorHAnsi" w:hAnsiTheme="minorHAnsi"/>
        </w:rPr>
        <w:t>, so it includes ALA overhead. PLA’s portion of the net would typically be lower and may actually be a loss.</w:t>
      </w:r>
    </w:p>
    <w:sectPr w:rsidR="00FE6377" w:rsidRPr="00754CC3" w:rsidSect="00C450B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6699" w14:textId="77777777" w:rsidR="00CA2DEC" w:rsidRDefault="00CA2DEC" w:rsidP="00835953">
      <w:r>
        <w:separator/>
      </w:r>
    </w:p>
  </w:endnote>
  <w:endnote w:type="continuationSeparator" w:id="0">
    <w:p w14:paraId="011BF836" w14:textId="77777777" w:rsidR="00CA2DEC" w:rsidRDefault="00CA2DE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1C89690F"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1751" w14:textId="77777777" w:rsidR="00CA2DEC" w:rsidRDefault="00CA2DEC" w:rsidP="00835953">
      <w:r>
        <w:separator/>
      </w:r>
    </w:p>
  </w:footnote>
  <w:footnote w:type="continuationSeparator" w:id="0">
    <w:p w14:paraId="44AB8CAB" w14:textId="77777777" w:rsidR="00CA2DEC" w:rsidRDefault="00CA2DE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E685666" w14:textId="5B14C18A" w:rsidR="00500609" w:rsidRDefault="009B2C5C" w:rsidP="00427B50">
    <w:pPr>
      <w:pStyle w:val="Header"/>
      <w:jc w:val="right"/>
      <w:rPr>
        <w:rFonts w:asciiTheme="minorHAnsi" w:hAnsiTheme="minorHAnsi"/>
      </w:rPr>
    </w:pPr>
    <w:r>
      <w:rPr>
        <w:rFonts w:asciiTheme="minorHAnsi" w:hAnsiTheme="minorHAnsi"/>
      </w:rPr>
      <w:t xml:space="preserve">Spring </w:t>
    </w:r>
    <w:r w:rsidR="00500609" w:rsidRPr="00500609">
      <w:rPr>
        <w:rFonts w:asciiTheme="minorHAnsi" w:hAnsiTheme="minorHAnsi"/>
      </w:rPr>
      <w:t xml:space="preserve">2020 Board Meeting </w:t>
    </w:r>
  </w:p>
  <w:p w14:paraId="1CD6F1DB" w14:textId="7DADFBD1"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131C15">
      <w:rPr>
        <w:rFonts w:asciiTheme="minorHAnsi" w:hAnsiTheme="minorHAnsi"/>
      </w:rPr>
      <w:t>59</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B7230"/>
    <w:multiLevelType w:val="hybridMultilevel"/>
    <w:tmpl w:val="DEE47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60C21"/>
    <w:multiLevelType w:val="hybridMultilevel"/>
    <w:tmpl w:val="8514B81E"/>
    <w:lvl w:ilvl="0" w:tplc="8C6CA59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021E4"/>
    <w:multiLevelType w:val="hybridMultilevel"/>
    <w:tmpl w:val="CB9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61159"/>
    <w:multiLevelType w:val="hybridMultilevel"/>
    <w:tmpl w:val="4266C614"/>
    <w:lvl w:ilvl="0" w:tplc="8C6CA59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11A11"/>
    <w:multiLevelType w:val="hybridMultilevel"/>
    <w:tmpl w:val="227AF4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5"/>
  </w:num>
  <w:num w:numId="6">
    <w:abstractNumId w:val="26"/>
  </w:num>
  <w:num w:numId="7">
    <w:abstractNumId w:val="24"/>
  </w:num>
  <w:num w:numId="8">
    <w:abstractNumId w:val="18"/>
  </w:num>
  <w:num w:numId="9">
    <w:abstractNumId w:val="14"/>
  </w:num>
  <w:num w:numId="10">
    <w:abstractNumId w:val="6"/>
  </w:num>
  <w:num w:numId="11">
    <w:abstractNumId w:val="20"/>
  </w:num>
  <w:num w:numId="12">
    <w:abstractNumId w:val="0"/>
  </w:num>
  <w:num w:numId="13">
    <w:abstractNumId w:val="7"/>
  </w:num>
  <w:num w:numId="14">
    <w:abstractNumId w:val="12"/>
  </w:num>
  <w:num w:numId="15">
    <w:abstractNumId w:val="1"/>
  </w:num>
  <w:num w:numId="16">
    <w:abstractNumId w:val="4"/>
  </w:num>
  <w:num w:numId="17">
    <w:abstractNumId w:val="27"/>
  </w:num>
  <w:num w:numId="18">
    <w:abstractNumId w:val="5"/>
  </w:num>
  <w:num w:numId="19">
    <w:abstractNumId w:val="3"/>
  </w:num>
  <w:num w:numId="20">
    <w:abstractNumId w:val="23"/>
  </w:num>
  <w:num w:numId="21">
    <w:abstractNumId w:val="10"/>
  </w:num>
  <w:num w:numId="22">
    <w:abstractNumId w:val="11"/>
  </w:num>
  <w:num w:numId="23">
    <w:abstractNumId w:val="22"/>
  </w:num>
  <w:num w:numId="24">
    <w:abstractNumId w:val="16"/>
  </w:num>
  <w:num w:numId="25">
    <w:abstractNumId w:val="15"/>
  </w:num>
  <w:num w:numId="26">
    <w:abstractNumId w:val="19"/>
  </w:num>
  <w:num w:numId="27">
    <w:abstractNumId w:val="9"/>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362D9"/>
    <w:rsid w:val="0004704A"/>
    <w:rsid w:val="0005048D"/>
    <w:rsid w:val="00050E46"/>
    <w:rsid w:val="00066E72"/>
    <w:rsid w:val="00076442"/>
    <w:rsid w:val="0008161D"/>
    <w:rsid w:val="000A053F"/>
    <w:rsid w:val="000A3B14"/>
    <w:rsid w:val="000A7E59"/>
    <w:rsid w:val="000D793A"/>
    <w:rsid w:val="000E1469"/>
    <w:rsid w:val="000E190D"/>
    <w:rsid w:val="000E1B52"/>
    <w:rsid w:val="000E5BCA"/>
    <w:rsid w:val="000F6932"/>
    <w:rsid w:val="00105AEE"/>
    <w:rsid w:val="001122F3"/>
    <w:rsid w:val="00131C15"/>
    <w:rsid w:val="00151A36"/>
    <w:rsid w:val="00156525"/>
    <w:rsid w:val="00162E05"/>
    <w:rsid w:val="001636D1"/>
    <w:rsid w:val="00164145"/>
    <w:rsid w:val="0017246B"/>
    <w:rsid w:val="001734F8"/>
    <w:rsid w:val="00173AEE"/>
    <w:rsid w:val="001A709A"/>
    <w:rsid w:val="001C1FCD"/>
    <w:rsid w:val="001D1269"/>
    <w:rsid w:val="001F52A2"/>
    <w:rsid w:val="00214B30"/>
    <w:rsid w:val="00217969"/>
    <w:rsid w:val="00226B41"/>
    <w:rsid w:val="0023120E"/>
    <w:rsid w:val="0023449D"/>
    <w:rsid w:val="002406B9"/>
    <w:rsid w:val="002427CC"/>
    <w:rsid w:val="002466C4"/>
    <w:rsid w:val="00247C0D"/>
    <w:rsid w:val="00256710"/>
    <w:rsid w:val="00270DB5"/>
    <w:rsid w:val="00273FD6"/>
    <w:rsid w:val="002B06F9"/>
    <w:rsid w:val="002B1DAB"/>
    <w:rsid w:val="002B765E"/>
    <w:rsid w:val="002E3A1B"/>
    <w:rsid w:val="002E7B05"/>
    <w:rsid w:val="003022FD"/>
    <w:rsid w:val="00305AE2"/>
    <w:rsid w:val="00307E02"/>
    <w:rsid w:val="00313226"/>
    <w:rsid w:val="00342CE7"/>
    <w:rsid w:val="003532CE"/>
    <w:rsid w:val="00353E2D"/>
    <w:rsid w:val="003712CD"/>
    <w:rsid w:val="00375084"/>
    <w:rsid w:val="00381330"/>
    <w:rsid w:val="00386245"/>
    <w:rsid w:val="003865DE"/>
    <w:rsid w:val="00393770"/>
    <w:rsid w:val="0039488C"/>
    <w:rsid w:val="003D02AE"/>
    <w:rsid w:val="003D196C"/>
    <w:rsid w:val="003D2C5D"/>
    <w:rsid w:val="003E5F29"/>
    <w:rsid w:val="003E7778"/>
    <w:rsid w:val="0042524D"/>
    <w:rsid w:val="00425F1F"/>
    <w:rsid w:val="00427B50"/>
    <w:rsid w:val="004351F1"/>
    <w:rsid w:val="0043774E"/>
    <w:rsid w:val="004433B2"/>
    <w:rsid w:val="0044711E"/>
    <w:rsid w:val="004547C4"/>
    <w:rsid w:val="004567CA"/>
    <w:rsid w:val="0046669C"/>
    <w:rsid w:val="004C199C"/>
    <w:rsid w:val="004C70CD"/>
    <w:rsid w:val="004D3C8E"/>
    <w:rsid w:val="00500609"/>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7AA4"/>
    <w:rsid w:val="00645B29"/>
    <w:rsid w:val="00651831"/>
    <w:rsid w:val="00667DAE"/>
    <w:rsid w:val="0067319A"/>
    <w:rsid w:val="0068110B"/>
    <w:rsid w:val="00686011"/>
    <w:rsid w:val="00692F37"/>
    <w:rsid w:val="00694B07"/>
    <w:rsid w:val="006A4455"/>
    <w:rsid w:val="006B7262"/>
    <w:rsid w:val="006C7BD5"/>
    <w:rsid w:val="006D0EFC"/>
    <w:rsid w:val="006D18F6"/>
    <w:rsid w:val="006E38E2"/>
    <w:rsid w:val="00702831"/>
    <w:rsid w:val="00705AD6"/>
    <w:rsid w:val="00712A8F"/>
    <w:rsid w:val="00721958"/>
    <w:rsid w:val="007343B2"/>
    <w:rsid w:val="00744EC4"/>
    <w:rsid w:val="00746EBB"/>
    <w:rsid w:val="00754CC3"/>
    <w:rsid w:val="007569B0"/>
    <w:rsid w:val="0076016D"/>
    <w:rsid w:val="00763510"/>
    <w:rsid w:val="00771CA1"/>
    <w:rsid w:val="007739FA"/>
    <w:rsid w:val="007753A1"/>
    <w:rsid w:val="007834C5"/>
    <w:rsid w:val="00785C59"/>
    <w:rsid w:val="0079490D"/>
    <w:rsid w:val="00796F2E"/>
    <w:rsid w:val="007A210D"/>
    <w:rsid w:val="007B2111"/>
    <w:rsid w:val="007C51C6"/>
    <w:rsid w:val="007E059E"/>
    <w:rsid w:val="0080316C"/>
    <w:rsid w:val="008164F7"/>
    <w:rsid w:val="00816B32"/>
    <w:rsid w:val="0082048C"/>
    <w:rsid w:val="008305E0"/>
    <w:rsid w:val="00835953"/>
    <w:rsid w:val="0087313F"/>
    <w:rsid w:val="00880AAD"/>
    <w:rsid w:val="008812E9"/>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24547"/>
    <w:rsid w:val="00931C4E"/>
    <w:rsid w:val="00935422"/>
    <w:rsid w:val="00944261"/>
    <w:rsid w:val="009517AA"/>
    <w:rsid w:val="00953105"/>
    <w:rsid w:val="00957BDC"/>
    <w:rsid w:val="0097672F"/>
    <w:rsid w:val="00985D4E"/>
    <w:rsid w:val="0098675F"/>
    <w:rsid w:val="00994013"/>
    <w:rsid w:val="009B0CB8"/>
    <w:rsid w:val="009B2C5C"/>
    <w:rsid w:val="009B76FB"/>
    <w:rsid w:val="009C4439"/>
    <w:rsid w:val="009C5517"/>
    <w:rsid w:val="009F3991"/>
    <w:rsid w:val="00A14EF4"/>
    <w:rsid w:val="00A15DD4"/>
    <w:rsid w:val="00A16121"/>
    <w:rsid w:val="00A20FE3"/>
    <w:rsid w:val="00A22CB1"/>
    <w:rsid w:val="00A25B34"/>
    <w:rsid w:val="00A269D0"/>
    <w:rsid w:val="00A37744"/>
    <w:rsid w:val="00A41365"/>
    <w:rsid w:val="00A4461B"/>
    <w:rsid w:val="00A45381"/>
    <w:rsid w:val="00A65363"/>
    <w:rsid w:val="00A70741"/>
    <w:rsid w:val="00A83CC7"/>
    <w:rsid w:val="00A85154"/>
    <w:rsid w:val="00A86E8F"/>
    <w:rsid w:val="00A911F8"/>
    <w:rsid w:val="00AA2CB5"/>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C34"/>
    <w:rsid w:val="00B76D52"/>
    <w:rsid w:val="00B86363"/>
    <w:rsid w:val="00B95697"/>
    <w:rsid w:val="00BA406A"/>
    <w:rsid w:val="00BB5BF0"/>
    <w:rsid w:val="00BD61C0"/>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3DF"/>
    <w:rsid w:val="00C95C49"/>
    <w:rsid w:val="00CA2DEC"/>
    <w:rsid w:val="00CA4E0B"/>
    <w:rsid w:val="00CB3199"/>
    <w:rsid w:val="00CC29EF"/>
    <w:rsid w:val="00CE22E6"/>
    <w:rsid w:val="00CE2628"/>
    <w:rsid w:val="00CE4BA4"/>
    <w:rsid w:val="00CF75BF"/>
    <w:rsid w:val="00D0639D"/>
    <w:rsid w:val="00D15DEB"/>
    <w:rsid w:val="00D413DF"/>
    <w:rsid w:val="00D44DD8"/>
    <w:rsid w:val="00D63777"/>
    <w:rsid w:val="00D6774D"/>
    <w:rsid w:val="00D7260A"/>
    <w:rsid w:val="00D73441"/>
    <w:rsid w:val="00D73C7A"/>
    <w:rsid w:val="00D771E3"/>
    <w:rsid w:val="00D815B2"/>
    <w:rsid w:val="00D81778"/>
    <w:rsid w:val="00D90FE6"/>
    <w:rsid w:val="00D94E01"/>
    <w:rsid w:val="00DA25E3"/>
    <w:rsid w:val="00DB63BA"/>
    <w:rsid w:val="00DD1B11"/>
    <w:rsid w:val="00DD1BF2"/>
    <w:rsid w:val="00DD27CB"/>
    <w:rsid w:val="00DE60AE"/>
    <w:rsid w:val="00DE7E9F"/>
    <w:rsid w:val="00E058A3"/>
    <w:rsid w:val="00E11877"/>
    <w:rsid w:val="00E271E2"/>
    <w:rsid w:val="00E5288C"/>
    <w:rsid w:val="00E6018F"/>
    <w:rsid w:val="00E7181F"/>
    <w:rsid w:val="00E72F92"/>
    <w:rsid w:val="00E83506"/>
    <w:rsid w:val="00E91AC8"/>
    <w:rsid w:val="00E9467E"/>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72C9F"/>
    <w:rsid w:val="00F85EDE"/>
    <w:rsid w:val="00F902E4"/>
    <w:rsid w:val="00F93728"/>
    <w:rsid w:val="00FA30D8"/>
    <w:rsid w:val="00FA7148"/>
    <w:rsid w:val="00FB6359"/>
    <w:rsid w:val="00FD09E2"/>
    <w:rsid w:val="00FE6377"/>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362D9"/>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21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462">
      <w:bodyDiv w:val="1"/>
      <w:marLeft w:val="0"/>
      <w:marRight w:val="0"/>
      <w:marTop w:val="0"/>
      <w:marBottom w:val="0"/>
      <w:divBdr>
        <w:top w:val="none" w:sz="0" w:space="0" w:color="auto"/>
        <w:left w:val="none" w:sz="0" w:space="0" w:color="auto"/>
        <w:bottom w:val="none" w:sz="0" w:space="0" w:color="auto"/>
        <w:right w:val="none" w:sz="0" w:space="0" w:color="auto"/>
      </w:divBdr>
    </w:div>
    <w:div w:id="101193475">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42237567">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479544280">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23715527">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929238105">
      <w:bodyDiv w:val="1"/>
      <w:marLeft w:val="0"/>
      <w:marRight w:val="0"/>
      <w:marTop w:val="0"/>
      <w:marBottom w:val="0"/>
      <w:divBdr>
        <w:top w:val="none" w:sz="0" w:space="0" w:color="auto"/>
        <w:left w:val="none" w:sz="0" w:space="0" w:color="auto"/>
        <w:bottom w:val="none" w:sz="0" w:space="0" w:color="auto"/>
        <w:right w:val="none" w:sz="0" w:space="0" w:color="auto"/>
      </w:divBdr>
    </w:div>
    <w:div w:id="954335839">
      <w:bodyDiv w:val="1"/>
      <w:marLeft w:val="0"/>
      <w:marRight w:val="0"/>
      <w:marTop w:val="0"/>
      <w:marBottom w:val="0"/>
      <w:divBdr>
        <w:top w:val="none" w:sz="0" w:space="0" w:color="auto"/>
        <w:left w:val="none" w:sz="0" w:space="0" w:color="auto"/>
        <w:bottom w:val="none" w:sz="0" w:space="0" w:color="auto"/>
        <w:right w:val="none" w:sz="0" w:space="0" w:color="auto"/>
      </w:divBdr>
    </w:div>
    <w:div w:id="1020007438">
      <w:bodyDiv w:val="1"/>
      <w:marLeft w:val="0"/>
      <w:marRight w:val="0"/>
      <w:marTop w:val="0"/>
      <w:marBottom w:val="0"/>
      <w:divBdr>
        <w:top w:val="none" w:sz="0" w:space="0" w:color="auto"/>
        <w:left w:val="none" w:sz="0" w:space="0" w:color="auto"/>
        <w:bottom w:val="none" w:sz="0" w:space="0" w:color="auto"/>
        <w:right w:val="none" w:sz="0" w:space="0" w:color="auto"/>
      </w:divBdr>
    </w:div>
    <w:div w:id="1078359300">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94541994">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51628670">
      <w:bodyDiv w:val="1"/>
      <w:marLeft w:val="0"/>
      <w:marRight w:val="0"/>
      <w:marTop w:val="0"/>
      <w:marBottom w:val="0"/>
      <w:divBdr>
        <w:top w:val="none" w:sz="0" w:space="0" w:color="auto"/>
        <w:left w:val="none" w:sz="0" w:space="0" w:color="auto"/>
        <w:bottom w:val="none" w:sz="0" w:space="0" w:color="auto"/>
        <w:right w:val="none" w:sz="0" w:space="0" w:color="auto"/>
      </w:divBdr>
    </w:div>
    <w:div w:id="1531918326">
      <w:bodyDiv w:val="1"/>
      <w:marLeft w:val="0"/>
      <w:marRight w:val="0"/>
      <w:marTop w:val="0"/>
      <w:marBottom w:val="0"/>
      <w:divBdr>
        <w:top w:val="none" w:sz="0" w:space="0" w:color="auto"/>
        <w:left w:val="none" w:sz="0" w:space="0" w:color="auto"/>
        <w:bottom w:val="none" w:sz="0" w:space="0" w:color="auto"/>
        <w:right w:val="none" w:sz="0" w:space="0" w:color="auto"/>
      </w:divBdr>
    </w:div>
    <w:div w:id="1581213394">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820338165">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35032032">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education/inperson/spa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pla/education/onlinelearning/fe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ctoutcome.org/ckeditor_assets/attachments/252/port_flyer_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org/pla/education/inperson/leadershipacademy" TargetMode="External"/><Relationship Id="rId4" Type="http://schemas.openxmlformats.org/officeDocument/2006/relationships/settings" Target="settings.xml"/><Relationship Id="rId9" Type="http://schemas.openxmlformats.org/officeDocument/2006/relationships/hyperlink" Target="http://www.ala.org/pla/education/inperson/equ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618A-6725-4F82-9B42-4C4CF398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3</cp:revision>
  <dcterms:created xsi:type="dcterms:W3CDTF">2020-04-21T16:34:00Z</dcterms:created>
  <dcterms:modified xsi:type="dcterms:W3CDTF">2020-04-21T18:11:00Z</dcterms:modified>
</cp:coreProperties>
</file>