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005F0" w14:textId="77777777" w:rsidR="00FC6BEF" w:rsidRPr="004B72E4" w:rsidRDefault="00BF7EEE" w:rsidP="00FC6BEF">
      <w:pPr>
        <w:spacing w:after="0" w:line="240" w:lineRule="auto"/>
        <w:jc w:val="center"/>
        <w:rPr>
          <w:rFonts w:cstheme="minorHAnsi"/>
          <w:b/>
          <w:color w:val="000000" w:themeColor="text1"/>
          <w:sz w:val="24"/>
          <w:szCs w:val="24"/>
        </w:rPr>
      </w:pPr>
      <w:r w:rsidRPr="004B72E4">
        <w:rPr>
          <w:rFonts w:cstheme="minorHAnsi"/>
          <w:b/>
          <w:color w:val="000000" w:themeColor="text1"/>
          <w:sz w:val="24"/>
          <w:szCs w:val="24"/>
        </w:rPr>
        <w:t xml:space="preserve">Resolution in Defense of the Free Speech of </w:t>
      </w:r>
    </w:p>
    <w:p w14:paraId="26F86425" w14:textId="335A5086" w:rsidR="00BF7EEE" w:rsidRPr="004B72E4" w:rsidRDefault="00BF7EEE" w:rsidP="00FC6BEF">
      <w:pPr>
        <w:spacing w:after="0" w:line="240" w:lineRule="auto"/>
        <w:jc w:val="center"/>
        <w:rPr>
          <w:rFonts w:cstheme="minorHAnsi"/>
          <w:b/>
          <w:color w:val="000000" w:themeColor="text1"/>
          <w:sz w:val="24"/>
          <w:szCs w:val="24"/>
        </w:rPr>
      </w:pPr>
      <w:r w:rsidRPr="004B72E4">
        <w:rPr>
          <w:rFonts w:cstheme="minorHAnsi"/>
          <w:b/>
          <w:color w:val="000000" w:themeColor="text1"/>
          <w:sz w:val="24"/>
          <w:szCs w:val="24"/>
        </w:rPr>
        <w:t xml:space="preserve">Supporters of </w:t>
      </w:r>
      <w:r w:rsidR="000D35C7" w:rsidRPr="004B72E4">
        <w:rPr>
          <w:rFonts w:cstheme="minorHAnsi"/>
          <w:b/>
          <w:color w:val="000000" w:themeColor="text1"/>
          <w:sz w:val="24"/>
          <w:szCs w:val="24"/>
        </w:rPr>
        <w:t xml:space="preserve">the Movement for </w:t>
      </w:r>
      <w:r w:rsidRPr="004B72E4">
        <w:rPr>
          <w:rFonts w:cstheme="minorHAnsi"/>
          <w:b/>
          <w:color w:val="000000" w:themeColor="text1"/>
          <w:sz w:val="24"/>
          <w:szCs w:val="24"/>
        </w:rPr>
        <w:t xml:space="preserve">Palestinian Rights </w:t>
      </w:r>
    </w:p>
    <w:p w14:paraId="41ADA7F1" w14:textId="77777777" w:rsidR="00FC6BEF" w:rsidRPr="004B72E4" w:rsidRDefault="00FC6BEF" w:rsidP="00BF7EEE">
      <w:pPr>
        <w:jc w:val="center"/>
        <w:rPr>
          <w:rFonts w:cstheme="minorHAnsi"/>
          <w:b/>
          <w:color w:val="000000" w:themeColor="text1"/>
          <w:sz w:val="24"/>
          <w:szCs w:val="24"/>
        </w:rPr>
      </w:pPr>
    </w:p>
    <w:p w14:paraId="6DD4CA8E" w14:textId="29140245" w:rsidR="00350F56" w:rsidRPr="004B72E4" w:rsidRDefault="008D4B7A">
      <w:pPr>
        <w:rPr>
          <w:rFonts w:cstheme="minorHAnsi"/>
          <w:sz w:val="24"/>
          <w:szCs w:val="24"/>
        </w:rPr>
      </w:pPr>
      <w:r w:rsidRPr="004B72E4">
        <w:rPr>
          <w:rFonts w:cstheme="minorHAnsi"/>
          <w:sz w:val="24"/>
          <w:szCs w:val="24"/>
        </w:rPr>
        <w:t>Whereas, the American Library Association (ALA)</w:t>
      </w:r>
      <w:r w:rsidR="00350F56" w:rsidRPr="004B72E4">
        <w:rPr>
          <w:rFonts w:cstheme="minorHAnsi"/>
          <w:sz w:val="24"/>
          <w:szCs w:val="24"/>
        </w:rPr>
        <w:t xml:space="preserve"> “opposes any use of governmental prerogatives that lead to the intimidation of individuals or groups and discourages them from exercising the right of free expression as guaranteed by the First Amendment to the U.S. Constitution” (ALA Policy B.2.4</w:t>
      </w:r>
      <w:r w:rsidR="00FC6BEF" w:rsidRPr="004B72E4">
        <w:rPr>
          <w:rFonts w:cstheme="minorHAnsi"/>
          <w:sz w:val="24"/>
          <w:szCs w:val="24"/>
        </w:rPr>
        <w:t xml:space="preserve"> </w:t>
      </w:r>
      <w:r w:rsidR="00350F56" w:rsidRPr="004B72E4">
        <w:rPr>
          <w:rFonts w:cstheme="minorHAnsi"/>
          <w:sz w:val="24"/>
          <w:szCs w:val="24"/>
        </w:rPr>
        <w:t xml:space="preserve">Governmental Intimidation); and </w:t>
      </w:r>
    </w:p>
    <w:p w14:paraId="1E589945" w14:textId="5B4E9FD5" w:rsidR="008D4B7A" w:rsidRPr="004B72E4" w:rsidRDefault="00350F56">
      <w:pPr>
        <w:rPr>
          <w:rFonts w:cstheme="minorHAnsi"/>
          <w:sz w:val="24"/>
          <w:szCs w:val="24"/>
        </w:rPr>
      </w:pPr>
      <w:r w:rsidRPr="004B72E4">
        <w:rPr>
          <w:rFonts w:cstheme="minorHAnsi"/>
          <w:sz w:val="24"/>
          <w:szCs w:val="24"/>
        </w:rPr>
        <w:t>Whereas, ALA “opposes any legislation or codification of documents . . . that undermine academic or intellectual freedom, chill free speech, and/or otherwise interfere with the academic community’s well-established norms and values of scholarship and educational excellence” (ALA Policy B.2.5 Support of Academic Freedom); and</w:t>
      </w:r>
    </w:p>
    <w:p w14:paraId="72569B9F" w14:textId="2651F9B2" w:rsidR="000C3166" w:rsidRPr="004B72E4" w:rsidRDefault="000C3166" w:rsidP="00BF7EEE">
      <w:pPr>
        <w:shd w:val="clear" w:color="auto" w:fill="FFFFFF"/>
        <w:rPr>
          <w:rFonts w:cstheme="minorHAnsi"/>
          <w:sz w:val="24"/>
          <w:szCs w:val="24"/>
        </w:rPr>
      </w:pPr>
      <w:r w:rsidRPr="004B72E4">
        <w:rPr>
          <w:rFonts w:cstheme="minorHAnsi"/>
          <w:sz w:val="24"/>
          <w:szCs w:val="24"/>
        </w:rPr>
        <w:t xml:space="preserve">Whereas, </w:t>
      </w:r>
      <w:bookmarkStart w:id="0" w:name="_Hlk10022760"/>
      <w:r w:rsidR="00B71AD2" w:rsidRPr="004B72E4">
        <w:rPr>
          <w:rFonts w:cstheme="minorHAnsi"/>
          <w:sz w:val="24"/>
          <w:szCs w:val="24"/>
        </w:rPr>
        <w:t>S.1</w:t>
      </w:r>
      <w:r w:rsidR="00251CF8" w:rsidRPr="004B72E4">
        <w:rPr>
          <w:rFonts w:cstheme="minorHAnsi"/>
          <w:sz w:val="24"/>
          <w:szCs w:val="24"/>
        </w:rPr>
        <w:t>,</w:t>
      </w:r>
      <w:r w:rsidR="00B71AD2" w:rsidRPr="004B72E4">
        <w:rPr>
          <w:rFonts w:cstheme="minorHAnsi"/>
          <w:sz w:val="24"/>
          <w:szCs w:val="24"/>
        </w:rPr>
        <w:t xml:space="preserve"> the Strengthening America's Security in the Middle East Act of 2019</w:t>
      </w:r>
      <w:bookmarkEnd w:id="0"/>
      <w:r w:rsidR="00B71AD2" w:rsidRPr="004B72E4">
        <w:rPr>
          <w:rFonts w:cstheme="minorHAnsi"/>
          <w:sz w:val="24"/>
          <w:szCs w:val="24"/>
        </w:rPr>
        <w:t xml:space="preserve">, </w:t>
      </w:r>
      <w:r w:rsidR="00052728" w:rsidRPr="004B72E4">
        <w:rPr>
          <w:rFonts w:cstheme="minorHAnsi"/>
          <w:sz w:val="24"/>
          <w:szCs w:val="24"/>
        </w:rPr>
        <w:t>which</w:t>
      </w:r>
      <w:r w:rsidR="00251CF8" w:rsidRPr="004B72E4">
        <w:rPr>
          <w:rFonts w:cstheme="minorHAnsi"/>
          <w:sz w:val="24"/>
          <w:szCs w:val="24"/>
        </w:rPr>
        <w:t xml:space="preserve"> the U.S. Senate passed on February 5, 2019, and its companion bill  H.R.336 in the House </w:t>
      </w:r>
      <w:r w:rsidR="00B71AD2" w:rsidRPr="004B72E4">
        <w:rPr>
          <w:rFonts w:cstheme="minorHAnsi"/>
          <w:sz w:val="24"/>
          <w:szCs w:val="24"/>
        </w:rPr>
        <w:t xml:space="preserve">include </w:t>
      </w:r>
      <w:r w:rsidR="00865126" w:rsidRPr="004B72E4">
        <w:rPr>
          <w:rFonts w:cstheme="minorHAnsi"/>
          <w:sz w:val="24"/>
          <w:szCs w:val="24"/>
        </w:rPr>
        <w:t xml:space="preserve">the </w:t>
      </w:r>
      <w:r w:rsidR="00B71AD2" w:rsidRPr="004B72E4">
        <w:rPr>
          <w:rFonts w:cstheme="minorHAnsi"/>
          <w:sz w:val="24"/>
          <w:szCs w:val="24"/>
        </w:rPr>
        <w:t>Combating BDS Act</w:t>
      </w:r>
      <w:r w:rsidR="00436457" w:rsidRPr="004B72E4">
        <w:rPr>
          <w:rFonts w:cstheme="minorHAnsi"/>
          <w:sz w:val="24"/>
          <w:szCs w:val="24"/>
        </w:rPr>
        <w:t xml:space="preserve">, </w:t>
      </w:r>
      <w:r w:rsidR="00436457" w:rsidRPr="004B72E4">
        <w:rPr>
          <w:rFonts w:cstheme="minorHAnsi"/>
          <w:color w:val="000000" w:themeColor="text1"/>
          <w:sz w:val="24"/>
          <w:szCs w:val="24"/>
        </w:rPr>
        <w:t>which</w:t>
      </w:r>
      <w:r w:rsidR="00BF7EEE" w:rsidRPr="004B72E4">
        <w:rPr>
          <w:rFonts w:cstheme="minorHAnsi"/>
          <w:color w:val="000000" w:themeColor="text1"/>
          <w:sz w:val="24"/>
          <w:szCs w:val="24"/>
        </w:rPr>
        <w:t xml:space="preserve"> </w:t>
      </w:r>
      <w:r w:rsidR="002B1555" w:rsidRPr="004B72E4">
        <w:rPr>
          <w:rFonts w:cstheme="minorHAnsi"/>
          <w:color w:val="000000" w:themeColor="text1"/>
          <w:sz w:val="24"/>
          <w:szCs w:val="24"/>
        </w:rPr>
        <w:t>the American Civil Liberties Union (ACLU) has explained, “</w:t>
      </w:r>
      <w:r w:rsidR="00BF7EEE" w:rsidRPr="004B72E4">
        <w:rPr>
          <w:rFonts w:cstheme="minorHAnsi"/>
          <w:sz w:val="24"/>
          <w:szCs w:val="24"/>
        </w:rPr>
        <w:t>would  condone state laws  penalizing businesses  and individuals who participate in boycott, divestment, or sanctions (</w:t>
      </w:r>
      <w:r w:rsidR="002954AC" w:rsidRPr="004B72E4">
        <w:rPr>
          <w:rFonts w:cstheme="minorHAnsi"/>
          <w:sz w:val="24"/>
          <w:szCs w:val="24"/>
        </w:rPr>
        <w:t>‘</w:t>
      </w:r>
      <w:r w:rsidR="00BF7EEE" w:rsidRPr="004B72E4">
        <w:rPr>
          <w:rFonts w:cstheme="minorHAnsi"/>
          <w:sz w:val="24"/>
          <w:szCs w:val="24"/>
        </w:rPr>
        <w:t>BDS</w:t>
      </w:r>
      <w:r w:rsidR="002954AC" w:rsidRPr="004B72E4">
        <w:rPr>
          <w:rFonts w:cstheme="minorHAnsi"/>
          <w:sz w:val="24"/>
          <w:szCs w:val="24"/>
        </w:rPr>
        <w:t>’</w:t>
      </w:r>
      <w:r w:rsidR="00BF7EEE" w:rsidRPr="004B72E4">
        <w:rPr>
          <w:rFonts w:cstheme="minorHAnsi"/>
          <w:sz w:val="24"/>
          <w:szCs w:val="24"/>
        </w:rPr>
        <w:t>) activities and other politically motivated boycotts against Israel and Israeli controlled territories</w:t>
      </w:r>
      <w:r w:rsidR="00844F1D">
        <w:rPr>
          <w:rFonts w:cstheme="minorHAnsi"/>
          <w:sz w:val="24"/>
          <w:szCs w:val="24"/>
        </w:rPr>
        <w:t>”;</w:t>
      </w:r>
      <w:r w:rsidR="00BF7EEE" w:rsidRPr="004B72E4">
        <w:rPr>
          <w:rFonts w:cstheme="minorHAnsi"/>
          <w:sz w:val="24"/>
          <w:szCs w:val="24"/>
        </w:rPr>
        <w:t xml:space="preserve"> and </w:t>
      </w:r>
      <w:bookmarkStart w:id="1" w:name="_GoBack"/>
      <w:bookmarkEnd w:id="1"/>
    </w:p>
    <w:p w14:paraId="20F5D239" w14:textId="3FEED581" w:rsidR="00A830F0" w:rsidRPr="004B72E4" w:rsidRDefault="00D06454" w:rsidP="00D06454">
      <w:pPr>
        <w:rPr>
          <w:rFonts w:eastAsia="Times New Roman" w:cstheme="minorHAnsi"/>
          <w:sz w:val="24"/>
          <w:szCs w:val="24"/>
        </w:rPr>
      </w:pPr>
      <w:r w:rsidRPr="004B72E4">
        <w:rPr>
          <w:rFonts w:cstheme="minorHAnsi"/>
          <w:sz w:val="24"/>
          <w:szCs w:val="24"/>
          <w:shd w:val="clear" w:color="auto" w:fill="FFFFFF"/>
        </w:rPr>
        <w:t xml:space="preserve">Whereas, the ACLU has determined that </w:t>
      </w:r>
      <w:r w:rsidR="008B5424" w:rsidRPr="004B72E4">
        <w:rPr>
          <w:rFonts w:eastAsia="Times New Roman" w:cstheme="minorHAnsi"/>
          <w:sz w:val="24"/>
          <w:szCs w:val="24"/>
        </w:rPr>
        <w:t>the intent of the Combating BDS Act is “</w:t>
      </w:r>
      <w:r w:rsidR="00AC13AF" w:rsidRPr="004B72E4">
        <w:rPr>
          <w:rFonts w:eastAsia="Times New Roman" w:cstheme="minorHAnsi"/>
          <w:sz w:val="24"/>
          <w:szCs w:val="24"/>
        </w:rPr>
        <w:t>contrary to the spirit and letter of the First Amendment guarantee of freedoms of speech and association</w:t>
      </w:r>
      <w:r w:rsidR="00D14947" w:rsidRPr="004B72E4">
        <w:rPr>
          <w:rFonts w:eastAsia="Times New Roman" w:cstheme="minorHAnsi"/>
          <w:sz w:val="24"/>
          <w:szCs w:val="24"/>
        </w:rPr>
        <w:t>;</w:t>
      </w:r>
      <w:r w:rsidR="008B5424" w:rsidRPr="004B72E4">
        <w:rPr>
          <w:rFonts w:eastAsia="Times New Roman" w:cstheme="minorHAnsi"/>
          <w:sz w:val="24"/>
          <w:szCs w:val="24"/>
        </w:rPr>
        <w:t xml:space="preserve">” and </w:t>
      </w:r>
      <w:r w:rsidRPr="004B72E4">
        <w:rPr>
          <w:rFonts w:eastAsia="Times New Roman" w:cstheme="minorHAnsi"/>
          <w:sz w:val="24"/>
          <w:szCs w:val="24"/>
        </w:rPr>
        <w:t xml:space="preserve">the </w:t>
      </w:r>
      <w:r w:rsidR="00355922" w:rsidRPr="004B72E4">
        <w:rPr>
          <w:rFonts w:eastAsia="Times New Roman" w:cstheme="minorHAnsi"/>
          <w:sz w:val="24"/>
          <w:szCs w:val="24"/>
        </w:rPr>
        <w:t>N</w:t>
      </w:r>
      <w:r w:rsidRPr="004B72E4">
        <w:rPr>
          <w:rFonts w:eastAsia="Times New Roman" w:cstheme="minorHAnsi"/>
          <w:sz w:val="24"/>
          <w:szCs w:val="24"/>
        </w:rPr>
        <w:t>ational Coalition Against Censorship has similarly opposed the act on First Amendment grounds; and</w:t>
      </w:r>
    </w:p>
    <w:p w14:paraId="042FCCAE" w14:textId="77777777" w:rsidR="00EB23EC" w:rsidRPr="00955A2A" w:rsidRDefault="00EB23EC" w:rsidP="00955A2A">
      <w:pPr>
        <w:pStyle w:val="gmail-m-6900517982263623986gmail-m8366864647376851257gmail-m-1791726639514799777msolistparagraph"/>
        <w:rPr>
          <w:rFonts w:eastAsia="Times New Roman"/>
          <w:sz w:val="24"/>
          <w:szCs w:val="24"/>
        </w:rPr>
      </w:pPr>
      <w:r w:rsidRPr="00955A2A">
        <w:rPr>
          <w:rFonts w:eastAsia="Times New Roman"/>
          <w:sz w:val="24"/>
          <w:szCs w:val="24"/>
        </w:rPr>
        <w:t xml:space="preserve">Whereas, the Supreme Court has ruled </w:t>
      </w:r>
      <w:r w:rsidRPr="00955A2A">
        <w:rPr>
          <w:rFonts w:eastAsia="Times New Roman"/>
          <w:sz w:val="24"/>
          <w:szCs w:val="24"/>
          <w:shd w:val="clear" w:color="auto" w:fill="FFFFFF"/>
        </w:rPr>
        <w:t>that boycotts for political and social change are protected speech under the First Amendment; and</w:t>
      </w:r>
      <w:r w:rsidRPr="00955A2A">
        <w:rPr>
          <w:rFonts w:eastAsia="Times New Roman"/>
          <w:sz w:val="24"/>
          <w:szCs w:val="24"/>
        </w:rPr>
        <w:t> </w:t>
      </w:r>
    </w:p>
    <w:p w14:paraId="5D6BEF11" w14:textId="7CCA6CCA" w:rsidR="006F1C95" w:rsidRPr="004B72E4" w:rsidRDefault="006F1C95" w:rsidP="00D06454">
      <w:pPr>
        <w:rPr>
          <w:rFonts w:ascii="Calibri" w:hAnsi="Calibri" w:cs="Calibri"/>
          <w:sz w:val="24"/>
          <w:szCs w:val="24"/>
        </w:rPr>
      </w:pPr>
      <w:r w:rsidRPr="004B72E4">
        <w:rPr>
          <w:rFonts w:ascii="Calibri" w:hAnsi="Calibri" w:cs="Calibri"/>
          <w:sz w:val="24"/>
          <w:szCs w:val="24"/>
          <w:shd w:val="clear" w:color="auto" w:fill="FFFFFF"/>
        </w:rPr>
        <w:t xml:space="preserve">Whereas, the Boycott, Divestment, and Sanctions (BDS) movement </w:t>
      </w:r>
      <w:r w:rsidRPr="004B72E4">
        <w:rPr>
          <w:rFonts w:ascii="Calibri" w:hAnsi="Calibri" w:cs="Calibri"/>
          <w:sz w:val="24"/>
          <w:szCs w:val="24"/>
        </w:rPr>
        <w:t>is a non-violent movement</w:t>
      </w:r>
      <w:r w:rsidR="00446F5B" w:rsidRPr="004B72E4">
        <w:rPr>
          <w:rFonts w:ascii="Calibri" w:hAnsi="Calibri" w:cs="Calibri"/>
          <w:sz w:val="24"/>
          <w:szCs w:val="24"/>
        </w:rPr>
        <w:t xml:space="preserve"> on behalf of Palestinian rights</w:t>
      </w:r>
      <w:r w:rsidRPr="004B72E4">
        <w:rPr>
          <w:rFonts w:ascii="Calibri" w:hAnsi="Calibri" w:cs="Calibri"/>
          <w:sz w:val="24"/>
          <w:szCs w:val="24"/>
        </w:rPr>
        <w:t>, modeled after the struggle against apartheid in South Africa; and</w:t>
      </w:r>
    </w:p>
    <w:p w14:paraId="7CBC749F" w14:textId="08DC3A62" w:rsidR="00D14947" w:rsidRPr="004B72E4" w:rsidRDefault="00D14947" w:rsidP="00D06454">
      <w:pPr>
        <w:rPr>
          <w:rFonts w:cstheme="minorHAnsi"/>
          <w:sz w:val="24"/>
          <w:szCs w:val="24"/>
        </w:rPr>
      </w:pPr>
      <w:r w:rsidRPr="004B72E4">
        <w:rPr>
          <w:rFonts w:cstheme="minorHAnsi"/>
          <w:sz w:val="24"/>
          <w:szCs w:val="24"/>
          <w:shd w:val="clear" w:color="auto" w:fill="FFFFFF"/>
        </w:rPr>
        <w:t xml:space="preserve">Whereas, federal courts </w:t>
      </w:r>
      <w:r w:rsidRPr="004B72E4">
        <w:rPr>
          <w:rFonts w:cstheme="minorHAnsi"/>
          <w:sz w:val="24"/>
          <w:szCs w:val="24"/>
        </w:rPr>
        <w:t xml:space="preserve">have blocked on First Amendment grounds implementation in three states of the sort of anti-BDS legislation condoned by the Combating BDS Act; and </w:t>
      </w:r>
    </w:p>
    <w:p w14:paraId="1D344C56" w14:textId="4B1E95F9" w:rsidR="00436457" w:rsidRPr="004B72E4" w:rsidRDefault="00355922" w:rsidP="00D06454">
      <w:pPr>
        <w:rPr>
          <w:color w:val="333333"/>
          <w:sz w:val="24"/>
          <w:szCs w:val="24"/>
          <w:lang w:val="en"/>
        </w:rPr>
      </w:pPr>
      <w:r w:rsidRPr="004B72E4">
        <w:rPr>
          <w:rFonts w:cstheme="minorHAnsi"/>
          <w:sz w:val="24"/>
          <w:szCs w:val="24"/>
          <w:shd w:val="clear" w:color="auto" w:fill="FFFFFF"/>
        </w:rPr>
        <w:t>Whereas,</w:t>
      </w:r>
      <w:r w:rsidR="00D92291" w:rsidRPr="004B72E4">
        <w:rPr>
          <w:rFonts w:cstheme="minorHAnsi"/>
          <w:sz w:val="24"/>
          <w:szCs w:val="24"/>
          <w:shd w:val="clear" w:color="auto" w:fill="FFFFFF"/>
        </w:rPr>
        <w:t xml:space="preserve"> </w:t>
      </w:r>
      <w:r w:rsidRPr="004B72E4">
        <w:rPr>
          <w:rFonts w:cstheme="minorHAnsi"/>
          <w:bCs/>
          <w:color w:val="202A43"/>
          <w:sz w:val="24"/>
          <w:szCs w:val="24"/>
        </w:rPr>
        <w:t>S.852, the Anti-Semitism Awareness Act of 2019</w:t>
      </w:r>
      <w:r w:rsidR="00D317EE" w:rsidRPr="004B72E4">
        <w:rPr>
          <w:rFonts w:cstheme="minorHAnsi"/>
          <w:bCs/>
          <w:color w:val="202A43"/>
          <w:sz w:val="24"/>
          <w:szCs w:val="24"/>
        </w:rPr>
        <w:t xml:space="preserve"> </w:t>
      </w:r>
      <w:r w:rsidR="00E1571F" w:rsidRPr="004B72E4">
        <w:rPr>
          <w:rFonts w:cstheme="minorHAnsi"/>
          <w:bCs/>
          <w:color w:val="202A43"/>
          <w:sz w:val="24"/>
          <w:szCs w:val="24"/>
        </w:rPr>
        <w:t xml:space="preserve">currently before Congress </w:t>
      </w:r>
      <w:r w:rsidR="00D92291" w:rsidRPr="004B72E4">
        <w:rPr>
          <w:color w:val="333333"/>
          <w:sz w:val="24"/>
          <w:szCs w:val="24"/>
          <w:lang w:val="en"/>
        </w:rPr>
        <w:t xml:space="preserve">provides a definition of anti-Semitism </w:t>
      </w:r>
      <w:r w:rsidR="00436457" w:rsidRPr="004B72E4">
        <w:rPr>
          <w:color w:val="333333"/>
          <w:sz w:val="24"/>
          <w:szCs w:val="24"/>
          <w:lang w:val="en"/>
        </w:rPr>
        <w:t xml:space="preserve">to be used </w:t>
      </w:r>
      <w:r w:rsidR="00D92291" w:rsidRPr="004B72E4">
        <w:rPr>
          <w:color w:val="333333"/>
          <w:sz w:val="24"/>
          <w:szCs w:val="24"/>
          <w:lang w:val="en"/>
        </w:rPr>
        <w:t>for the enforcement of Federal antidiscrimination laws concerning education programs or activities</w:t>
      </w:r>
      <w:r w:rsidR="00E6007B">
        <w:rPr>
          <w:color w:val="333333"/>
          <w:sz w:val="24"/>
          <w:szCs w:val="24"/>
          <w:lang w:val="en"/>
        </w:rPr>
        <w:t xml:space="preserve">; and </w:t>
      </w:r>
      <w:r w:rsidR="00436457" w:rsidRPr="004B72E4">
        <w:rPr>
          <w:color w:val="333333"/>
          <w:sz w:val="24"/>
          <w:szCs w:val="24"/>
          <w:lang w:val="en"/>
        </w:rPr>
        <w:t xml:space="preserve"> </w:t>
      </w:r>
    </w:p>
    <w:p w14:paraId="35D74C60" w14:textId="35B8548E" w:rsidR="00955A2A" w:rsidRPr="00955A2A" w:rsidRDefault="00955A2A" w:rsidP="00955A2A">
      <w:pPr>
        <w:pStyle w:val="gmail-m-6900517982263623986gmail-m8366864647376851257gmail-m-1791726639514799777msolistparagraph"/>
        <w:rPr>
          <w:rFonts w:eastAsia="Times New Roman"/>
          <w:color w:val="333333"/>
          <w:sz w:val="24"/>
          <w:szCs w:val="24"/>
        </w:rPr>
      </w:pPr>
      <w:r w:rsidRPr="00955A2A">
        <w:rPr>
          <w:rFonts w:eastAsia="Times New Roman"/>
          <w:color w:val="333333"/>
          <w:sz w:val="24"/>
          <w:szCs w:val="24"/>
          <w:lang w:val="en"/>
        </w:rPr>
        <w:t>Whereas, according to the ACLU, the “overbroad definition of anti-Semitism” in the Anti-Semitism Awareness Act “</w:t>
      </w:r>
      <w:r w:rsidRPr="00955A2A">
        <w:rPr>
          <w:rFonts w:eastAsia="Times New Roman"/>
          <w:color w:val="222222"/>
          <w:sz w:val="24"/>
          <w:szCs w:val="24"/>
        </w:rPr>
        <w:t>risks incorrectly equating constitutionally protected criticism of Israel with anti-Semitism, making it likely that free speech will be chilled on campuses</w:t>
      </w:r>
      <w:r w:rsidR="008F023E">
        <w:rPr>
          <w:rFonts w:eastAsia="Times New Roman"/>
          <w:color w:val="222222"/>
          <w:sz w:val="24"/>
          <w:szCs w:val="24"/>
        </w:rPr>
        <w:t>”</w:t>
      </w:r>
      <w:r w:rsidRPr="00955A2A">
        <w:rPr>
          <w:rFonts w:eastAsia="Times New Roman"/>
          <w:color w:val="222222"/>
          <w:sz w:val="24"/>
          <w:szCs w:val="24"/>
        </w:rPr>
        <w:t>; and</w:t>
      </w:r>
    </w:p>
    <w:p w14:paraId="7321CEDB" w14:textId="016EDA34" w:rsidR="00865126" w:rsidRDefault="00955A2A" w:rsidP="00955A2A">
      <w:pPr>
        <w:pStyle w:val="gmail-m-6900517982263623986gmail-m8366864647376851257gmail-m-1791726639514799777msolistparagraph"/>
        <w:rPr>
          <w:rFonts w:cstheme="minorHAnsi"/>
          <w:bCs/>
          <w:color w:val="202A43"/>
          <w:sz w:val="24"/>
          <w:szCs w:val="24"/>
        </w:rPr>
      </w:pPr>
      <w:r w:rsidRPr="00955A2A">
        <w:rPr>
          <w:rFonts w:eastAsia="Times New Roman"/>
          <w:color w:val="222222"/>
          <w:sz w:val="24"/>
          <w:szCs w:val="24"/>
        </w:rPr>
        <w:lastRenderedPageBreak/>
        <w:t xml:space="preserve">Whereas, the </w:t>
      </w:r>
      <w:r w:rsidRPr="00955A2A">
        <w:rPr>
          <w:rFonts w:eastAsia="Times New Roman"/>
          <w:sz w:val="24"/>
          <w:szCs w:val="24"/>
        </w:rPr>
        <w:t>ACLU</w:t>
      </w:r>
      <w:r w:rsidRPr="00955A2A">
        <w:rPr>
          <w:rFonts w:eastAsia="Times New Roman"/>
          <w:color w:val="202A43"/>
          <w:sz w:val="24"/>
          <w:szCs w:val="24"/>
        </w:rPr>
        <w:t xml:space="preserve">, the </w:t>
      </w:r>
      <w:r w:rsidRPr="00955A2A">
        <w:rPr>
          <w:rFonts w:eastAsia="Times New Roman"/>
          <w:sz w:val="24"/>
          <w:szCs w:val="24"/>
        </w:rPr>
        <w:t>Alliance for Academic Freedom, the Center for Constitutional Rights</w:t>
      </w:r>
      <w:r w:rsidRPr="00955A2A">
        <w:rPr>
          <w:rFonts w:eastAsia="Times New Roman"/>
          <w:color w:val="202A43"/>
          <w:sz w:val="24"/>
          <w:szCs w:val="24"/>
        </w:rPr>
        <w:t xml:space="preserve">, </w:t>
      </w:r>
      <w:r w:rsidRPr="00955A2A">
        <w:rPr>
          <w:rFonts w:eastAsia="Times New Roman"/>
          <w:sz w:val="24"/>
          <w:szCs w:val="24"/>
        </w:rPr>
        <w:t>Defending Rights &amp; Dissent</w:t>
      </w:r>
      <w:r w:rsidRPr="00955A2A">
        <w:rPr>
          <w:rFonts w:eastAsia="Times New Roman"/>
          <w:color w:val="202A43"/>
          <w:sz w:val="24"/>
          <w:szCs w:val="24"/>
        </w:rPr>
        <w:t xml:space="preserve">, the </w:t>
      </w:r>
      <w:r w:rsidRPr="00955A2A">
        <w:rPr>
          <w:rFonts w:eastAsia="Times New Roman"/>
          <w:sz w:val="24"/>
          <w:szCs w:val="24"/>
        </w:rPr>
        <w:t>Foundation for Individual Rights in Education</w:t>
      </w:r>
      <w:r w:rsidRPr="00955A2A">
        <w:rPr>
          <w:rFonts w:eastAsia="Times New Roman"/>
          <w:color w:val="202A43"/>
          <w:sz w:val="24"/>
          <w:szCs w:val="24"/>
        </w:rPr>
        <w:t xml:space="preserve">, and </w:t>
      </w:r>
      <w:r w:rsidRPr="00955A2A">
        <w:rPr>
          <w:rFonts w:eastAsia="Times New Roman"/>
          <w:sz w:val="24"/>
          <w:szCs w:val="24"/>
        </w:rPr>
        <w:t>Kenneth Stern</w:t>
      </w:r>
      <w:r w:rsidRPr="00955A2A">
        <w:rPr>
          <w:rFonts w:eastAsia="Times New Roman"/>
          <w:color w:val="202A43"/>
          <w:sz w:val="24"/>
          <w:szCs w:val="24"/>
        </w:rPr>
        <w:t xml:space="preserve">, a primary author of the definition of anti-Semitism employed in the bill, have all opposed  previous versions of the bill; </w:t>
      </w:r>
      <w:r w:rsidR="003B05AF" w:rsidRPr="00955A2A">
        <w:rPr>
          <w:rFonts w:cstheme="minorHAnsi"/>
          <w:bCs/>
          <w:color w:val="202A43"/>
          <w:sz w:val="24"/>
          <w:szCs w:val="24"/>
        </w:rPr>
        <w:t>now therefore be it</w:t>
      </w:r>
    </w:p>
    <w:p w14:paraId="14B5B012" w14:textId="31C60344" w:rsidR="005D2729" w:rsidRDefault="005D2729" w:rsidP="00955A2A">
      <w:pPr>
        <w:pStyle w:val="gmail-m-6900517982263623986gmail-m8366864647376851257gmail-m-1791726639514799777msolistparagraph"/>
        <w:rPr>
          <w:rFonts w:cstheme="minorHAnsi"/>
          <w:bCs/>
          <w:color w:val="202A43"/>
          <w:sz w:val="24"/>
          <w:szCs w:val="24"/>
        </w:rPr>
      </w:pPr>
      <w:r>
        <w:rPr>
          <w:rFonts w:cstheme="minorHAnsi"/>
          <w:bCs/>
          <w:color w:val="202A43"/>
          <w:sz w:val="24"/>
          <w:szCs w:val="24"/>
        </w:rPr>
        <w:t>Resolved, that the American Library Association, on behalf of its members</w:t>
      </w:r>
    </w:p>
    <w:p w14:paraId="147818C7" w14:textId="4E1BF680" w:rsidR="005D2729" w:rsidRPr="00B7007A" w:rsidRDefault="00690F7B" w:rsidP="005D2729">
      <w:pPr>
        <w:pStyle w:val="gmail-m-6900517982263623986gmail-m8366864647376851257gmail-m-1791726639514799777msolistparagraph"/>
        <w:numPr>
          <w:ilvl w:val="0"/>
          <w:numId w:val="5"/>
        </w:numPr>
        <w:rPr>
          <w:rFonts w:eastAsia="Times New Roman"/>
          <w:color w:val="333333"/>
          <w:sz w:val="24"/>
          <w:szCs w:val="24"/>
        </w:rPr>
      </w:pPr>
      <w:r>
        <w:rPr>
          <w:rFonts w:cstheme="minorHAnsi"/>
          <w:bCs/>
          <w:color w:val="202A43"/>
          <w:sz w:val="24"/>
          <w:szCs w:val="24"/>
        </w:rPr>
        <w:t>o</w:t>
      </w:r>
      <w:r w:rsidR="00B7007A">
        <w:rPr>
          <w:rFonts w:cstheme="minorHAnsi"/>
          <w:bCs/>
          <w:color w:val="202A43"/>
          <w:sz w:val="24"/>
          <w:szCs w:val="24"/>
        </w:rPr>
        <w:t>pposes the Combating of BDS Act of 2019 contained in S.1 and H.R. 336;</w:t>
      </w:r>
    </w:p>
    <w:p w14:paraId="62775188" w14:textId="3C16EB67" w:rsidR="00B7007A" w:rsidRPr="00B7007A" w:rsidRDefault="00690F7B" w:rsidP="005D2729">
      <w:pPr>
        <w:pStyle w:val="gmail-m-6900517982263623986gmail-m8366864647376851257gmail-m-1791726639514799777msolistparagraph"/>
        <w:numPr>
          <w:ilvl w:val="0"/>
          <w:numId w:val="5"/>
        </w:numPr>
        <w:rPr>
          <w:rFonts w:eastAsia="Times New Roman"/>
          <w:color w:val="333333"/>
          <w:sz w:val="24"/>
          <w:szCs w:val="24"/>
        </w:rPr>
      </w:pPr>
      <w:r>
        <w:rPr>
          <w:rFonts w:cstheme="minorHAnsi"/>
          <w:bCs/>
          <w:color w:val="202A43"/>
          <w:sz w:val="24"/>
          <w:szCs w:val="24"/>
        </w:rPr>
        <w:t>o</w:t>
      </w:r>
      <w:r w:rsidR="00B7007A">
        <w:rPr>
          <w:rFonts w:cstheme="minorHAnsi"/>
          <w:bCs/>
          <w:color w:val="202A43"/>
          <w:sz w:val="24"/>
          <w:szCs w:val="24"/>
        </w:rPr>
        <w:t>pposes S.852, the Anti-Semitism Awareness Act of 2019; and</w:t>
      </w:r>
    </w:p>
    <w:p w14:paraId="0EF72D53" w14:textId="16B09224" w:rsidR="00B7007A" w:rsidRPr="00DC7255" w:rsidRDefault="00690F7B" w:rsidP="005D2729">
      <w:pPr>
        <w:pStyle w:val="gmail-m-6900517982263623986gmail-m8366864647376851257gmail-m-1791726639514799777msolistparagraph"/>
        <w:numPr>
          <w:ilvl w:val="0"/>
          <w:numId w:val="5"/>
        </w:numPr>
        <w:rPr>
          <w:rFonts w:eastAsia="Times New Roman"/>
          <w:color w:val="333333"/>
          <w:sz w:val="24"/>
          <w:szCs w:val="24"/>
        </w:rPr>
      </w:pPr>
      <w:r>
        <w:rPr>
          <w:rFonts w:cstheme="minorHAnsi"/>
          <w:bCs/>
          <w:color w:val="202A43"/>
          <w:sz w:val="24"/>
          <w:szCs w:val="24"/>
        </w:rPr>
        <w:t>o</w:t>
      </w:r>
      <w:r w:rsidR="00B7007A">
        <w:rPr>
          <w:rFonts w:cstheme="minorHAnsi"/>
          <w:bCs/>
          <w:color w:val="202A43"/>
          <w:sz w:val="24"/>
          <w:szCs w:val="24"/>
        </w:rPr>
        <w:t>pposes any</w:t>
      </w:r>
      <w:r w:rsidR="00F1280E">
        <w:rPr>
          <w:rFonts w:cstheme="minorHAnsi"/>
          <w:bCs/>
          <w:color w:val="202A43"/>
          <w:sz w:val="24"/>
          <w:szCs w:val="24"/>
        </w:rPr>
        <w:t xml:space="preserve"> federal, state, or local legislation that would restrict the First Amendment rights of supporters of the movement for Palestinian rights, including activi</w:t>
      </w:r>
      <w:r w:rsidR="00DC7255">
        <w:rPr>
          <w:rFonts w:cstheme="minorHAnsi"/>
          <w:bCs/>
          <w:color w:val="202A43"/>
          <w:sz w:val="24"/>
          <w:szCs w:val="24"/>
        </w:rPr>
        <w:t xml:space="preserve">sts and supporters of the BDS movement. </w:t>
      </w:r>
    </w:p>
    <w:p w14:paraId="634A3612" w14:textId="74C19F6E" w:rsidR="004B72E4" w:rsidRPr="004B72E4" w:rsidRDefault="004B72E4" w:rsidP="00AA27BE">
      <w:pPr>
        <w:shd w:val="clear" w:color="auto" w:fill="FEFEFE"/>
        <w:textAlignment w:val="baseline"/>
        <w:rPr>
          <w:sz w:val="24"/>
          <w:szCs w:val="24"/>
        </w:rPr>
      </w:pPr>
      <w:r w:rsidRPr="004B72E4">
        <w:rPr>
          <w:b/>
          <w:bCs/>
          <w:color w:val="111111"/>
          <w:sz w:val="24"/>
          <w:szCs w:val="24"/>
        </w:rPr>
        <w:t xml:space="preserve">Mover: </w:t>
      </w:r>
      <w:r w:rsidRPr="004B72E4">
        <w:rPr>
          <w:color w:val="111111"/>
          <w:sz w:val="24"/>
          <w:szCs w:val="24"/>
        </w:rPr>
        <w:t>Thomas Twiss</w:t>
      </w:r>
      <w:r w:rsidR="00AA27BE">
        <w:rPr>
          <w:color w:val="111111"/>
          <w:sz w:val="24"/>
          <w:szCs w:val="24"/>
        </w:rPr>
        <w:t xml:space="preserve">, </w:t>
      </w:r>
      <w:r w:rsidRPr="004B72E4">
        <w:rPr>
          <w:color w:val="111111"/>
          <w:sz w:val="24"/>
          <w:szCs w:val="24"/>
        </w:rPr>
        <w:t>412-209-8264</w:t>
      </w:r>
    </w:p>
    <w:p w14:paraId="7E2D44C3" w14:textId="72CE2136" w:rsidR="00FC6BEF" w:rsidRPr="004B72E4" w:rsidRDefault="004B72E4" w:rsidP="004B72E4">
      <w:pPr>
        <w:shd w:val="clear" w:color="auto" w:fill="FEFEFE"/>
        <w:textAlignment w:val="baseline"/>
        <w:rPr>
          <w:sz w:val="24"/>
          <w:szCs w:val="24"/>
        </w:rPr>
      </w:pPr>
      <w:r w:rsidRPr="004B72E4">
        <w:rPr>
          <w:b/>
          <w:bCs/>
          <w:color w:val="111111"/>
          <w:sz w:val="24"/>
          <w:szCs w:val="24"/>
        </w:rPr>
        <w:t xml:space="preserve">Seconder:  </w:t>
      </w:r>
      <w:r w:rsidRPr="004B72E4">
        <w:rPr>
          <w:color w:val="111111"/>
          <w:sz w:val="24"/>
          <w:szCs w:val="24"/>
        </w:rPr>
        <w:t>Myrna Morales</w:t>
      </w:r>
      <w:r w:rsidR="00D438C9">
        <w:rPr>
          <w:color w:val="111111"/>
          <w:sz w:val="24"/>
          <w:szCs w:val="24"/>
        </w:rPr>
        <w:t xml:space="preserve">, </w:t>
      </w:r>
      <w:r w:rsidRPr="004B72E4">
        <w:rPr>
          <w:sz w:val="24"/>
          <w:szCs w:val="24"/>
        </w:rPr>
        <w:t>973-474-0478</w:t>
      </w:r>
    </w:p>
    <w:sectPr w:rsidR="00FC6BEF" w:rsidRPr="004B72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0C83" w14:textId="77777777" w:rsidR="001533F8" w:rsidRDefault="001533F8" w:rsidP="003352C6">
      <w:pPr>
        <w:spacing w:after="0" w:line="240" w:lineRule="auto"/>
      </w:pPr>
      <w:r>
        <w:separator/>
      </w:r>
    </w:p>
  </w:endnote>
  <w:endnote w:type="continuationSeparator" w:id="0">
    <w:p w14:paraId="09E49D84" w14:textId="77777777" w:rsidR="001533F8" w:rsidRDefault="001533F8" w:rsidP="0033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F82B" w14:textId="77777777" w:rsidR="001533F8" w:rsidRDefault="001533F8" w:rsidP="003352C6">
      <w:pPr>
        <w:spacing w:after="0" w:line="240" w:lineRule="auto"/>
      </w:pPr>
      <w:r>
        <w:separator/>
      </w:r>
    </w:p>
  </w:footnote>
  <w:footnote w:type="continuationSeparator" w:id="0">
    <w:p w14:paraId="03391F90" w14:textId="77777777" w:rsidR="001533F8" w:rsidRDefault="001533F8" w:rsidP="00335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45F9" w14:textId="08DB6436" w:rsidR="003352C6" w:rsidRPr="00B93325" w:rsidRDefault="003352C6" w:rsidP="003352C6">
    <w:pPr>
      <w:pStyle w:val="Header"/>
      <w:jc w:val="right"/>
      <w:rPr>
        <w:rFonts w:ascii="Century Gothic" w:hAnsi="Century Gothic" w:cs="Courier New"/>
        <w:b/>
        <w:spacing w:val="16"/>
      </w:rPr>
    </w:pPr>
    <w:r w:rsidRPr="00B93325">
      <w:rPr>
        <w:rFonts w:ascii="Century Gothic" w:hAnsi="Century Gothic" w:cs="Courier New"/>
        <w:b/>
        <w:spacing w:val="16"/>
      </w:rPr>
      <w:t xml:space="preserve">2018-2019 ALA </w:t>
    </w:r>
    <w:r w:rsidR="00741B26">
      <w:rPr>
        <w:rFonts w:ascii="Century Gothic" w:hAnsi="Century Gothic" w:cs="Courier New"/>
        <w:b/>
        <w:spacing w:val="16"/>
      </w:rPr>
      <w:t>CD</w:t>
    </w:r>
    <w:r w:rsidRPr="00B93325">
      <w:rPr>
        <w:rFonts w:ascii="Century Gothic" w:hAnsi="Century Gothic" w:cs="Courier New"/>
        <w:b/>
        <w:spacing w:val="16"/>
      </w:rPr>
      <w:t>#</w:t>
    </w:r>
    <w:r>
      <w:rPr>
        <w:rFonts w:ascii="Century Gothic" w:hAnsi="Century Gothic" w:cs="Courier New"/>
        <w:b/>
        <w:spacing w:val="16"/>
      </w:rPr>
      <w:t>4</w:t>
    </w:r>
    <w:r w:rsidR="00741B26">
      <w:rPr>
        <w:rFonts w:ascii="Century Gothic" w:hAnsi="Century Gothic" w:cs="Courier New"/>
        <w:b/>
        <w:spacing w:val="16"/>
      </w:rPr>
      <w:t>9</w:t>
    </w:r>
  </w:p>
  <w:p w14:paraId="263C2784" w14:textId="77777777" w:rsidR="003352C6" w:rsidRPr="00B93325" w:rsidRDefault="003352C6" w:rsidP="003352C6">
    <w:pPr>
      <w:pStyle w:val="Header"/>
      <w:jc w:val="right"/>
      <w:rPr>
        <w:rFonts w:ascii="Century Gothic" w:hAnsi="Century Gothic"/>
      </w:rPr>
    </w:pPr>
    <w:r w:rsidRPr="00B93325">
      <w:rPr>
        <w:rFonts w:ascii="Century Gothic" w:hAnsi="Century Gothic" w:cs="Courier New"/>
        <w:b/>
        <w:spacing w:val="16"/>
      </w:rPr>
      <w:t xml:space="preserve">2019 ALA Annual Conference </w:t>
    </w:r>
  </w:p>
  <w:p w14:paraId="2C73CC9F" w14:textId="77777777" w:rsidR="003352C6" w:rsidRDefault="00335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A5C"/>
    <w:multiLevelType w:val="multilevel"/>
    <w:tmpl w:val="227EA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F525D0"/>
    <w:multiLevelType w:val="hybridMultilevel"/>
    <w:tmpl w:val="D75A45C6"/>
    <w:lvl w:ilvl="0" w:tplc="E3B643C8">
      <w:start w:val="1"/>
      <w:numFmt w:val="decimal"/>
      <w:lvlText w:val="%1."/>
      <w:lvlJc w:val="left"/>
      <w:pPr>
        <w:ind w:left="720" w:hanging="360"/>
      </w:pPr>
      <w:rPr>
        <w:rFonts w:eastAsiaTheme="minorHAnsi" w:cstheme="minorHAnsi" w:hint="default"/>
        <w:color w:val="202A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148E9"/>
    <w:multiLevelType w:val="hybridMultilevel"/>
    <w:tmpl w:val="1910E08E"/>
    <w:lvl w:ilvl="0" w:tplc="100ABB82">
      <w:start w:val="1"/>
      <w:numFmt w:val="decimal"/>
      <w:lvlText w:val="%1."/>
      <w:lvlJc w:val="left"/>
      <w:pPr>
        <w:ind w:left="720" w:hanging="360"/>
      </w:pPr>
      <w:rPr>
        <w:rFonts w:hint="default"/>
        <w:color w:val="202A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41B97"/>
    <w:multiLevelType w:val="multilevel"/>
    <w:tmpl w:val="393ADA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310DFE"/>
    <w:multiLevelType w:val="multilevel"/>
    <w:tmpl w:val="F410B0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7A"/>
    <w:rsid w:val="00041DEF"/>
    <w:rsid w:val="00052728"/>
    <w:rsid w:val="000B0C80"/>
    <w:rsid w:val="000C3166"/>
    <w:rsid w:val="000D35C7"/>
    <w:rsid w:val="00142136"/>
    <w:rsid w:val="001533F8"/>
    <w:rsid w:val="00176FDE"/>
    <w:rsid w:val="00251CF8"/>
    <w:rsid w:val="002954AC"/>
    <w:rsid w:val="002B1555"/>
    <w:rsid w:val="002F4BC9"/>
    <w:rsid w:val="003352C6"/>
    <w:rsid w:val="00350F56"/>
    <w:rsid w:val="003520B4"/>
    <w:rsid w:val="00355922"/>
    <w:rsid w:val="003B05AF"/>
    <w:rsid w:val="003B382F"/>
    <w:rsid w:val="003C4D46"/>
    <w:rsid w:val="00436457"/>
    <w:rsid w:val="00446F5B"/>
    <w:rsid w:val="004B72E4"/>
    <w:rsid w:val="005228A1"/>
    <w:rsid w:val="00562985"/>
    <w:rsid w:val="005D2729"/>
    <w:rsid w:val="00690F7B"/>
    <w:rsid w:val="00692C88"/>
    <w:rsid w:val="006F1C95"/>
    <w:rsid w:val="00705570"/>
    <w:rsid w:val="00717675"/>
    <w:rsid w:val="00741B26"/>
    <w:rsid w:val="00844F1D"/>
    <w:rsid w:val="00865126"/>
    <w:rsid w:val="008B5424"/>
    <w:rsid w:val="008D2145"/>
    <w:rsid w:val="008D4B7A"/>
    <w:rsid w:val="008F023E"/>
    <w:rsid w:val="00955A2A"/>
    <w:rsid w:val="00A71482"/>
    <w:rsid w:val="00A830F0"/>
    <w:rsid w:val="00AA27BE"/>
    <w:rsid w:val="00AB6E97"/>
    <w:rsid w:val="00AC13AF"/>
    <w:rsid w:val="00AD7B02"/>
    <w:rsid w:val="00AE36B9"/>
    <w:rsid w:val="00B36E14"/>
    <w:rsid w:val="00B64DD7"/>
    <w:rsid w:val="00B7007A"/>
    <w:rsid w:val="00B71AD2"/>
    <w:rsid w:val="00BF7EEE"/>
    <w:rsid w:val="00CC75E8"/>
    <w:rsid w:val="00D06454"/>
    <w:rsid w:val="00D14947"/>
    <w:rsid w:val="00D317EE"/>
    <w:rsid w:val="00D438C9"/>
    <w:rsid w:val="00D5115B"/>
    <w:rsid w:val="00D92291"/>
    <w:rsid w:val="00DC5CFD"/>
    <w:rsid w:val="00DC7255"/>
    <w:rsid w:val="00E1571F"/>
    <w:rsid w:val="00E6007B"/>
    <w:rsid w:val="00EB23EC"/>
    <w:rsid w:val="00EE2641"/>
    <w:rsid w:val="00F05AF6"/>
    <w:rsid w:val="00F1280E"/>
    <w:rsid w:val="00FC6BEF"/>
    <w:rsid w:val="00FD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0963"/>
  <w15:chartTrackingRefBased/>
  <w15:docId w15:val="{797044C5-5957-49D1-90B2-2CFBD2B3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6BE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0F0"/>
    <w:rPr>
      <w:color w:val="0000FF"/>
      <w:u w:val="single"/>
    </w:rPr>
  </w:style>
  <w:style w:type="character" w:styleId="Emphasis">
    <w:name w:val="Emphasis"/>
    <w:basedOn w:val="DefaultParagraphFont"/>
    <w:uiPriority w:val="20"/>
    <w:qFormat/>
    <w:rsid w:val="00B64DD7"/>
    <w:rPr>
      <w:i/>
      <w:iCs/>
    </w:rPr>
  </w:style>
  <w:style w:type="paragraph" w:styleId="BalloonText">
    <w:name w:val="Balloon Text"/>
    <w:basedOn w:val="Normal"/>
    <w:link w:val="BalloonTextChar"/>
    <w:uiPriority w:val="99"/>
    <w:semiHidden/>
    <w:unhideWhenUsed/>
    <w:rsid w:val="00BF7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EEE"/>
    <w:rPr>
      <w:rFonts w:ascii="Segoe UI" w:hAnsi="Segoe UI" w:cs="Segoe UI"/>
      <w:sz w:val="18"/>
      <w:szCs w:val="18"/>
    </w:rPr>
  </w:style>
  <w:style w:type="character" w:styleId="Strong">
    <w:name w:val="Strong"/>
    <w:basedOn w:val="DefaultParagraphFont"/>
    <w:uiPriority w:val="22"/>
    <w:qFormat/>
    <w:rsid w:val="003C4D46"/>
    <w:rPr>
      <w:b/>
      <w:bCs/>
    </w:rPr>
  </w:style>
  <w:style w:type="character" w:customStyle="1" w:styleId="Heading1Char">
    <w:name w:val="Heading 1 Char"/>
    <w:basedOn w:val="DefaultParagraphFont"/>
    <w:link w:val="Heading1"/>
    <w:uiPriority w:val="9"/>
    <w:rsid w:val="00FC6BEF"/>
    <w:rPr>
      <w:rFonts w:ascii="Times New Roman" w:hAnsi="Times New Roman" w:cs="Times New Roman"/>
      <w:b/>
      <w:bCs/>
      <w:kern w:val="36"/>
      <w:sz w:val="48"/>
      <w:szCs w:val="48"/>
    </w:rPr>
  </w:style>
  <w:style w:type="character" w:customStyle="1" w:styleId="balancedheadline">
    <w:name w:val="balancedheadline"/>
    <w:basedOn w:val="DefaultParagraphFont"/>
    <w:rsid w:val="00FC6BEF"/>
  </w:style>
  <w:style w:type="character" w:styleId="HTMLCite">
    <w:name w:val="HTML Cite"/>
    <w:basedOn w:val="DefaultParagraphFont"/>
    <w:uiPriority w:val="99"/>
    <w:semiHidden/>
    <w:unhideWhenUsed/>
    <w:rsid w:val="00FC6BEF"/>
    <w:rPr>
      <w:i/>
      <w:iCs/>
    </w:rPr>
  </w:style>
  <w:style w:type="character" w:customStyle="1" w:styleId="UnresolvedMention">
    <w:name w:val="Unresolved Mention"/>
    <w:basedOn w:val="DefaultParagraphFont"/>
    <w:uiPriority w:val="99"/>
    <w:semiHidden/>
    <w:unhideWhenUsed/>
    <w:rsid w:val="00FC6BEF"/>
    <w:rPr>
      <w:color w:val="605E5C"/>
      <w:shd w:val="clear" w:color="auto" w:fill="E1DFDD"/>
    </w:rPr>
  </w:style>
  <w:style w:type="paragraph" w:customStyle="1" w:styleId="gmail-m-6900517982263623986gmail-m8366864647376851257gmail-m-1791726639514799777msolistparagraph">
    <w:name w:val="gmail-m_-6900517982263623986gmail-m8366864647376851257gmail-m-1791726639514799777msolistparagraph"/>
    <w:basedOn w:val="Normal"/>
    <w:rsid w:val="00EB23EC"/>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8F023E"/>
    <w:pPr>
      <w:ind w:left="720"/>
      <w:contextualSpacing/>
    </w:pPr>
  </w:style>
  <w:style w:type="paragraph" w:styleId="Header">
    <w:name w:val="header"/>
    <w:basedOn w:val="Normal"/>
    <w:link w:val="HeaderChar"/>
    <w:uiPriority w:val="99"/>
    <w:unhideWhenUsed/>
    <w:rsid w:val="00335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2C6"/>
  </w:style>
  <w:style w:type="paragraph" w:styleId="Footer">
    <w:name w:val="footer"/>
    <w:basedOn w:val="Normal"/>
    <w:link w:val="FooterChar"/>
    <w:uiPriority w:val="99"/>
    <w:unhideWhenUsed/>
    <w:rsid w:val="00335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4411">
      <w:bodyDiv w:val="1"/>
      <w:marLeft w:val="0"/>
      <w:marRight w:val="0"/>
      <w:marTop w:val="0"/>
      <w:marBottom w:val="0"/>
      <w:divBdr>
        <w:top w:val="none" w:sz="0" w:space="0" w:color="auto"/>
        <w:left w:val="none" w:sz="0" w:space="0" w:color="auto"/>
        <w:bottom w:val="none" w:sz="0" w:space="0" w:color="auto"/>
        <w:right w:val="none" w:sz="0" w:space="0" w:color="auto"/>
      </w:divBdr>
      <w:divsChild>
        <w:div w:id="628509435">
          <w:marLeft w:val="0"/>
          <w:marRight w:val="0"/>
          <w:marTop w:val="0"/>
          <w:marBottom w:val="0"/>
          <w:divBdr>
            <w:top w:val="none" w:sz="0" w:space="0" w:color="auto"/>
            <w:left w:val="none" w:sz="0" w:space="0" w:color="auto"/>
            <w:bottom w:val="none" w:sz="0" w:space="0" w:color="auto"/>
            <w:right w:val="none" w:sz="0" w:space="0" w:color="auto"/>
          </w:divBdr>
        </w:div>
        <w:div w:id="776561864">
          <w:marLeft w:val="0"/>
          <w:marRight w:val="0"/>
          <w:marTop w:val="0"/>
          <w:marBottom w:val="0"/>
          <w:divBdr>
            <w:top w:val="none" w:sz="0" w:space="0" w:color="auto"/>
            <w:left w:val="none" w:sz="0" w:space="0" w:color="auto"/>
            <w:bottom w:val="none" w:sz="0" w:space="0" w:color="auto"/>
            <w:right w:val="none" w:sz="0" w:space="0" w:color="auto"/>
          </w:divBdr>
        </w:div>
        <w:div w:id="2138644515">
          <w:marLeft w:val="0"/>
          <w:marRight w:val="0"/>
          <w:marTop w:val="0"/>
          <w:marBottom w:val="0"/>
          <w:divBdr>
            <w:top w:val="none" w:sz="0" w:space="0" w:color="auto"/>
            <w:left w:val="none" w:sz="0" w:space="0" w:color="auto"/>
            <w:bottom w:val="none" w:sz="0" w:space="0" w:color="auto"/>
            <w:right w:val="none" w:sz="0" w:space="0" w:color="auto"/>
          </w:divBdr>
        </w:div>
        <w:div w:id="1815757786">
          <w:marLeft w:val="0"/>
          <w:marRight w:val="0"/>
          <w:marTop w:val="0"/>
          <w:marBottom w:val="0"/>
          <w:divBdr>
            <w:top w:val="none" w:sz="0" w:space="0" w:color="auto"/>
            <w:left w:val="none" w:sz="0" w:space="0" w:color="auto"/>
            <w:bottom w:val="none" w:sz="0" w:space="0" w:color="auto"/>
            <w:right w:val="none" w:sz="0" w:space="0" w:color="auto"/>
          </w:divBdr>
        </w:div>
        <w:div w:id="313879516">
          <w:marLeft w:val="0"/>
          <w:marRight w:val="0"/>
          <w:marTop w:val="0"/>
          <w:marBottom w:val="0"/>
          <w:divBdr>
            <w:top w:val="none" w:sz="0" w:space="0" w:color="auto"/>
            <w:left w:val="none" w:sz="0" w:space="0" w:color="auto"/>
            <w:bottom w:val="none" w:sz="0" w:space="0" w:color="auto"/>
            <w:right w:val="none" w:sz="0" w:space="0" w:color="auto"/>
          </w:divBdr>
        </w:div>
        <w:div w:id="145053819">
          <w:marLeft w:val="0"/>
          <w:marRight w:val="0"/>
          <w:marTop w:val="0"/>
          <w:marBottom w:val="0"/>
          <w:divBdr>
            <w:top w:val="none" w:sz="0" w:space="0" w:color="auto"/>
            <w:left w:val="none" w:sz="0" w:space="0" w:color="auto"/>
            <w:bottom w:val="none" w:sz="0" w:space="0" w:color="auto"/>
            <w:right w:val="none" w:sz="0" w:space="0" w:color="auto"/>
          </w:divBdr>
        </w:div>
        <w:div w:id="318458913">
          <w:marLeft w:val="0"/>
          <w:marRight w:val="0"/>
          <w:marTop w:val="0"/>
          <w:marBottom w:val="0"/>
          <w:divBdr>
            <w:top w:val="none" w:sz="0" w:space="0" w:color="auto"/>
            <w:left w:val="none" w:sz="0" w:space="0" w:color="auto"/>
            <w:bottom w:val="none" w:sz="0" w:space="0" w:color="auto"/>
            <w:right w:val="none" w:sz="0" w:space="0" w:color="auto"/>
          </w:divBdr>
        </w:div>
        <w:div w:id="542643098">
          <w:marLeft w:val="0"/>
          <w:marRight w:val="0"/>
          <w:marTop w:val="0"/>
          <w:marBottom w:val="0"/>
          <w:divBdr>
            <w:top w:val="none" w:sz="0" w:space="0" w:color="auto"/>
            <w:left w:val="none" w:sz="0" w:space="0" w:color="auto"/>
            <w:bottom w:val="none" w:sz="0" w:space="0" w:color="auto"/>
            <w:right w:val="none" w:sz="0" w:space="0" w:color="auto"/>
          </w:divBdr>
        </w:div>
      </w:divsChild>
    </w:div>
    <w:div w:id="207648042">
      <w:bodyDiv w:val="1"/>
      <w:marLeft w:val="0"/>
      <w:marRight w:val="0"/>
      <w:marTop w:val="0"/>
      <w:marBottom w:val="0"/>
      <w:divBdr>
        <w:top w:val="none" w:sz="0" w:space="0" w:color="auto"/>
        <w:left w:val="none" w:sz="0" w:space="0" w:color="auto"/>
        <w:bottom w:val="none" w:sz="0" w:space="0" w:color="auto"/>
        <w:right w:val="none" w:sz="0" w:space="0" w:color="auto"/>
      </w:divBdr>
    </w:div>
    <w:div w:id="364060361">
      <w:bodyDiv w:val="1"/>
      <w:marLeft w:val="0"/>
      <w:marRight w:val="0"/>
      <w:marTop w:val="0"/>
      <w:marBottom w:val="0"/>
      <w:divBdr>
        <w:top w:val="none" w:sz="0" w:space="0" w:color="auto"/>
        <w:left w:val="none" w:sz="0" w:space="0" w:color="auto"/>
        <w:bottom w:val="none" w:sz="0" w:space="0" w:color="auto"/>
        <w:right w:val="none" w:sz="0" w:space="0" w:color="auto"/>
      </w:divBdr>
    </w:div>
    <w:div w:id="641151744">
      <w:bodyDiv w:val="1"/>
      <w:marLeft w:val="0"/>
      <w:marRight w:val="0"/>
      <w:marTop w:val="0"/>
      <w:marBottom w:val="0"/>
      <w:divBdr>
        <w:top w:val="none" w:sz="0" w:space="0" w:color="auto"/>
        <w:left w:val="none" w:sz="0" w:space="0" w:color="auto"/>
        <w:bottom w:val="none" w:sz="0" w:space="0" w:color="auto"/>
        <w:right w:val="none" w:sz="0" w:space="0" w:color="auto"/>
      </w:divBdr>
    </w:div>
    <w:div w:id="866452054">
      <w:bodyDiv w:val="1"/>
      <w:marLeft w:val="0"/>
      <w:marRight w:val="0"/>
      <w:marTop w:val="0"/>
      <w:marBottom w:val="0"/>
      <w:divBdr>
        <w:top w:val="none" w:sz="0" w:space="0" w:color="auto"/>
        <w:left w:val="none" w:sz="0" w:space="0" w:color="auto"/>
        <w:bottom w:val="none" w:sz="0" w:space="0" w:color="auto"/>
        <w:right w:val="none" w:sz="0" w:space="0" w:color="auto"/>
      </w:divBdr>
    </w:div>
    <w:div w:id="1031223692">
      <w:bodyDiv w:val="1"/>
      <w:marLeft w:val="0"/>
      <w:marRight w:val="0"/>
      <w:marTop w:val="0"/>
      <w:marBottom w:val="0"/>
      <w:divBdr>
        <w:top w:val="none" w:sz="0" w:space="0" w:color="auto"/>
        <w:left w:val="none" w:sz="0" w:space="0" w:color="auto"/>
        <w:bottom w:val="none" w:sz="0" w:space="0" w:color="auto"/>
        <w:right w:val="none" w:sz="0" w:space="0" w:color="auto"/>
      </w:divBdr>
      <w:divsChild>
        <w:div w:id="753742095">
          <w:marLeft w:val="0"/>
          <w:marRight w:val="0"/>
          <w:marTop w:val="0"/>
          <w:marBottom w:val="0"/>
          <w:divBdr>
            <w:top w:val="none" w:sz="0" w:space="0" w:color="auto"/>
            <w:left w:val="none" w:sz="0" w:space="0" w:color="auto"/>
            <w:bottom w:val="none" w:sz="0" w:space="0" w:color="auto"/>
            <w:right w:val="none" w:sz="0" w:space="0" w:color="auto"/>
          </w:divBdr>
        </w:div>
        <w:div w:id="745419023">
          <w:marLeft w:val="0"/>
          <w:marRight w:val="0"/>
          <w:marTop w:val="0"/>
          <w:marBottom w:val="0"/>
          <w:divBdr>
            <w:top w:val="none" w:sz="0" w:space="0" w:color="auto"/>
            <w:left w:val="none" w:sz="0" w:space="0" w:color="auto"/>
            <w:bottom w:val="none" w:sz="0" w:space="0" w:color="auto"/>
            <w:right w:val="none" w:sz="0" w:space="0" w:color="auto"/>
          </w:divBdr>
        </w:div>
        <w:div w:id="778455040">
          <w:marLeft w:val="0"/>
          <w:marRight w:val="0"/>
          <w:marTop w:val="0"/>
          <w:marBottom w:val="0"/>
          <w:divBdr>
            <w:top w:val="none" w:sz="0" w:space="0" w:color="auto"/>
            <w:left w:val="none" w:sz="0" w:space="0" w:color="auto"/>
            <w:bottom w:val="none" w:sz="0" w:space="0" w:color="auto"/>
            <w:right w:val="none" w:sz="0" w:space="0" w:color="auto"/>
          </w:divBdr>
        </w:div>
        <w:div w:id="1327785705">
          <w:marLeft w:val="0"/>
          <w:marRight w:val="0"/>
          <w:marTop w:val="0"/>
          <w:marBottom w:val="0"/>
          <w:divBdr>
            <w:top w:val="none" w:sz="0" w:space="0" w:color="auto"/>
            <w:left w:val="none" w:sz="0" w:space="0" w:color="auto"/>
            <w:bottom w:val="none" w:sz="0" w:space="0" w:color="auto"/>
            <w:right w:val="none" w:sz="0" w:space="0" w:color="auto"/>
          </w:divBdr>
        </w:div>
        <w:div w:id="299964608">
          <w:marLeft w:val="0"/>
          <w:marRight w:val="0"/>
          <w:marTop w:val="0"/>
          <w:marBottom w:val="0"/>
          <w:divBdr>
            <w:top w:val="none" w:sz="0" w:space="0" w:color="auto"/>
            <w:left w:val="none" w:sz="0" w:space="0" w:color="auto"/>
            <w:bottom w:val="none" w:sz="0" w:space="0" w:color="auto"/>
            <w:right w:val="none" w:sz="0" w:space="0" w:color="auto"/>
          </w:divBdr>
        </w:div>
        <w:div w:id="63845690">
          <w:marLeft w:val="0"/>
          <w:marRight w:val="0"/>
          <w:marTop w:val="0"/>
          <w:marBottom w:val="0"/>
          <w:divBdr>
            <w:top w:val="none" w:sz="0" w:space="0" w:color="auto"/>
            <w:left w:val="none" w:sz="0" w:space="0" w:color="auto"/>
            <w:bottom w:val="none" w:sz="0" w:space="0" w:color="auto"/>
            <w:right w:val="none" w:sz="0" w:space="0" w:color="auto"/>
          </w:divBdr>
        </w:div>
        <w:div w:id="431047750">
          <w:marLeft w:val="0"/>
          <w:marRight w:val="0"/>
          <w:marTop w:val="0"/>
          <w:marBottom w:val="0"/>
          <w:divBdr>
            <w:top w:val="none" w:sz="0" w:space="0" w:color="auto"/>
            <w:left w:val="none" w:sz="0" w:space="0" w:color="auto"/>
            <w:bottom w:val="none" w:sz="0" w:space="0" w:color="auto"/>
            <w:right w:val="none" w:sz="0" w:space="0" w:color="auto"/>
          </w:divBdr>
        </w:div>
      </w:divsChild>
    </w:div>
    <w:div w:id="1347365060">
      <w:bodyDiv w:val="1"/>
      <w:marLeft w:val="0"/>
      <w:marRight w:val="0"/>
      <w:marTop w:val="0"/>
      <w:marBottom w:val="0"/>
      <w:divBdr>
        <w:top w:val="none" w:sz="0" w:space="0" w:color="auto"/>
        <w:left w:val="none" w:sz="0" w:space="0" w:color="auto"/>
        <w:bottom w:val="none" w:sz="0" w:space="0" w:color="auto"/>
        <w:right w:val="none" w:sz="0" w:space="0" w:color="auto"/>
      </w:divBdr>
    </w:div>
    <w:div w:id="1364208967">
      <w:bodyDiv w:val="1"/>
      <w:marLeft w:val="0"/>
      <w:marRight w:val="0"/>
      <w:marTop w:val="0"/>
      <w:marBottom w:val="0"/>
      <w:divBdr>
        <w:top w:val="none" w:sz="0" w:space="0" w:color="auto"/>
        <w:left w:val="none" w:sz="0" w:space="0" w:color="auto"/>
        <w:bottom w:val="none" w:sz="0" w:space="0" w:color="auto"/>
        <w:right w:val="none" w:sz="0" w:space="0" w:color="auto"/>
      </w:divBdr>
    </w:div>
    <w:div w:id="15871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Twiss</dc:creator>
  <cp:keywords/>
  <dc:description/>
  <cp:lastModifiedBy>Datasis</cp:lastModifiedBy>
  <cp:revision>3</cp:revision>
  <dcterms:created xsi:type="dcterms:W3CDTF">2019-06-22T22:11:00Z</dcterms:created>
  <dcterms:modified xsi:type="dcterms:W3CDTF">2019-06-22T22:12:00Z</dcterms:modified>
</cp:coreProperties>
</file>