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C874" w14:textId="618505C1" w:rsidR="00E73495" w:rsidRDefault="00E73495" w:rsidP="00E73495">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473AADCE" w14:textId="7A847B23" w:rsidR="00E73495" w:rsidRPr="00E73495" w:rsidRDefault="00E73495" w:rsidP="00E73495">
      <w:pPr>
        <w:rPr>
          <w:rFonts w:asciiTheme="minorHAnsi" w:hAnsiTheme="minorHAnsi"/>
          <w:bCs/>
        </w:rPr>
      </w:pPr>
      <w:r>
        <w:rPr>
          <w:rFonts w:asciiTheme="minorHAnsi" w:hAnsiTheme="minorHAnsi"/>
          <w:b/>
        </w:rPr>
        <w:t>FR:</w:t>
      </w:r>
      <w:r>
        <w:rPr>
          <w:rFonts w:asciiTheme="minorHAnsi" w:hAnsiTheme="minorHAnsi"/>
          <w:b/>
        </w:rPr>
        <w:tab/>
      </w:r>
      <w:r>
        <w:rPr>
          <w:rFonts w:asciiTheme="minorHAnsi" w:hAnsiTheme="minorHAnsi"/>
          <w:b/>
        </w:rPr>
        <w:tab/>
      </w:r>
      <w:r>
        <w:rPr>
          <w:rFonts w:asciiTheme="minorHAnsi" w:hAnsiTheme="minorHAnsi"/>
          <w:bCs/>
        </w:rPr>
        <w:t>Scott Allen, Deputy Director</w:t>
      </w:r>
    </w:p>
    <w:p w14:paraId="378BBD15" w14:textId="2E731A3F" w:rsidR="00E73495" w:rsidRPr="00B561F1" w:rsidRDefault="00E73495" w:rsidP="00E73495">
      <w:pPr>
        <w:rPr>
          <w:rFonts w:asciiTheme="minorHAnsi" w:hAnsiTheme="minorHAnsi" w:cstheme="minorHAnsi"/>
          <w:b/>
        </w:rPr>
      </w:pPr>
      <w:r>
        <w:rPr>
          <w:rFonts w:asciiTheme="minorHAnsi" w:hAnsiTheme="minorHAnsi"/>
          <w:b/>
        </w:rPr>
        <w:t>RE:</w:t>
      </w:r>
      <w:r>
        <w:rPr>
          <w:rFonts w:asciiTheme="minorHAnsi" w:hAnsiTheme="minorHAnsi"/>
        </w:rPr>
        <w:tab/>
      </w:r>
      <w:r>
        <w:rPr>
          <w:rFonts w:asciiTheme="minorHAnsi" w:hAnsiTheme="minorHAnsi"/>
        </w:rPr>
        <w:tab/>
      </w:r>
      <w:r>
        <w:rPr>
          <w:rFonts w:asciiTheme="minorHAnsi" w:hAnsiTheme="minorHAnsi"/>
          <w:b/>
          <w:bCs/>
        </w:rPr>
        <w:t xml:space="preserve">PLA </w:t>
      </w:r>
      <w:r w:rsidRPr="00B561F1">
        <w:rPr>
          <w:rFonts w:asciiTheme="minorHAnsi" w:hAnsiTheme="minorHAnsi" w:cstheme="minorHAnsi"/>
          <w:b/>
        </w:rPr>
        <w:t>FY</w:t>
      </w:r>
      <w:r>
        <w:rPr>
          <w:rFonts w:asciiTheme="minorHAnsi" w:hAnsiTheme="minorHAnsi" w:cstheme="minorHAnsi"/>
          <w:b/>
        </w:rPr>
        <w:t>20 Operating</w:t>
      </w:r>
      <w:r w:rsidRPr="00B561F1">
        <w:rPr>
          <w:rFonts w:asciiTheme="minorHAnsi" w:hAnsiTheme="minorHAnsi" w:cstheme="minorHAnsi"/>
          <w:b/>
        </w:rPr>
        <w:t xml:space="preserve"> Budget</w:t>
      </w:r>
      <w:r>
        <w:rPr>
          <w:rFonts w:asciiTheme="minorHAnsi" w:hAnsiTheme="minorHAnsi" w:cstheme="minorHAnsi"/>
          <w:b/>
        </w:rPr>
        <w:t xml:space="preserve"> as of December 2019</w:t>
      </w:r>
      <w:bookmarkStart w:id="0" w:name="_GoBack"/>
      <w:bookmarkEnd w:id="0"/>
    </w:p>
    <w:p w14:paraId="7DE537C1" w14:textId="2E56B967" w:rsidR="00E73495" w:rsidRDefault="00E73495" w:rsidP="00E73495">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t>January 31, 2020</w:t>
      </w:r>
    </w:p>
    <w:p w14:paraId="5D98F207" w14:textId="77777777" w:rsidR="00E73495" w:rsidRDefault="00E73495" w:rsidP="00E73495">
      <w:pPr>
        <w:tabs>
          <w:tab w:val="left" w:pos="720"/>
          <w:tab w:val="left" w:pos="1440"/>
          <w:tab w:val="left" w:pos="2160"/>
          <w:tab w:val="left" w:pos="3120"/>
        </w:tabs>
        <w:rPr>
          <w:rFonts w:asciiTheme="minorHAnsi" w:hAnsiTheme="minorHAnsi"/>
        </w:rPr>
      </w:pPr>
    </w:p>
    <w:p w14:paraId="4F89EDC1" w14:textId="77777777" w:rsidR="00E73495" w:rsidRDefault="00E73495" w:rsidP="00E73495">
      <w:pPr>
        <w:ind w:left="2160" w:hanging="2160"/>
        <w:rPr>
          <w:rFonts w:asciiTheme="minorHAnsi" w:hAnsiTheme="minorHAnsi"/>
          <w:i/>
        </w:rPr>
      </w:pPr>
      <w:r>
        <w:rPr>
          <w:rFonts w:asciiTheme="minorHAnsi" w:hAnsiTheme="minorHAnsi"/>
          <w:b/>
        </w:rPr>
        <w:t xml:space="preserve">ACTION REQUESTED/INFORMATION/REPORT: </w:t>
      </w:r>
      <w:r>
        <w:rPr>
          <w:rFonts w:asciiTheme="minorHAnsi" w:hAnsiTheme="minorHAnsi"/>
        </w:rPr>
        <w:t>Information</w:t>
      </w:r>
    </w:p>
    <w:p w14:paraId="7972DE93" w14:textId="77777777" w:rsidR="00E73495" w:rsidRDefault="00E73495" w:rsidP="00E73495">
      <w:pPr>
        <w:ind w:left="2880" w:hanging="2880"/>
        <w:rPr>
          <w:rFonts w:asciiTheme="minorHAnsi" w:hAnsiTheme="minorHAnsi"/>
        </w:rPr>
      </w:pPr>
      <w:r>
        <w:rPr>
          <w:rFonts w:ascii="Calibri" w:hAnsi="Calibri"/>
          <w:b/>
        </w:rPr>
        <w:t>ACTION REQUESTED BY</w:t>
      </w:r>
      <w:r>
        <w:rPr>
          <w:rFonts w:asciiTheme="minorHAnsi" w:hAnsiTheme="minorHAnsi"/>
          <w:b/>
        </w:rPr>
        <w:t xml:space="preserve">: </w:t>
      </w:r>
      <w:r>
        <w:rPr>
          <w:rFonts w:asciiTheme="minorHAnsi" w:hAnsiTheme="minorHAnsi"/>
        </w:rPr>
        <w:t>N/A</w:t>
      </w:r>
    </w:p>
    <w:p w14:paraId="46D1A8F6" w14:textId="77777777" w:rsidR="00E73495" w:rsidRDefault="00E73495" w:rsidP="00E73495">
      <w:pPr>
        <w:rPr>
          <w:rFonts w:asciiTheme="minorHAnsi" w:hAnsiTheme="minorHAnsi"/>
        </w:rPr>
      </w:pPr>
      <w:r>
        <w:rPr>
          <w:rFonts w:asciiTheme="minorHAnsi" w:hAnsiTheme="minorHAnsi"/>
          <w:b/>
        </w:rPr>
        <w:t xml:space="preserve">DRAFT OF MOTION: </w:t>
      </w:r>
      <w:r>
        <w:rPr>
          <w:rFonts w:asciiTheme="minorHAnsi" w:hAnsiTheme="minorHAnsi"/>
        </w:rPr>
        <w:t>N/A</w:t>
      </w:r>
    </w:p>
    <w:p w14:paraId="5FD27F6F" w14:textId="3694BECE" w:rsidR="00D1600D" w:rsidRDefault="00D1600D" w:rsidP="00066FDA">
      <w:pPr>
        <w:rPr>
          <w:rFonts w:asciiTheme="minorHAnsi" w:hAnsiTheme="minorHAnsi" w:cstheme="minorHAnsi"/>
        </w:rPr>
      </w:pPr>
    </w:p>
    <w:p w14:paraId="0368AB6C" w14:textId="77777777" w:rsidR="00E73495" w:rsidRPr="00B561F1" w:rsidRDefault="00E73495" w:rsidP="00066FDA">
      <w:pPr>
        <w:rPr>
          <w:rFonts w:asciiTheme="minorHAnsi" w:hAnsiTheme="minorHAnsi" w:cstheme="minorHAnsi"/>
        </w:rPr>
      </w:pPr>
    </w:p>
    <w:p w14:paraId="09875D78" w14:textId="38807EEB" w:rsidR="00D3328E" w:rsidRDefault="00E73495" w:rsidP="00D34667">
      <w:pPr>
        <w:rPr>
          <w:rFonts w:asciiTheme="minorHAnsi" w:hAnsiTheme="minorHAnsi" w:cstheme="minorHAnsi"/>
          <w:b/>
        </w:rPr>
      </w:pPr>
      <w:r>
        <w:rPr>
          <w:rFonts w:asciiTheme="minorHAnsi" w:hAnsiTheme="minorHAnsi" w:cstheme="minorHAnsi"/>
          <w:b/>
        </w:rPr>
        <w:t>FY20 Overview (</w:t>
      </w:r>
      <w:r w:rsidR="001F567C">
        <w:rPr>
          <w:rFonts w:asciiTheme="minorHAnsi" w:hAnsiTheme="minorHAnsi" w:cstheme="minorHAnsi"/>
          <w:b/>
        </w:rPr>
        <w:t xml:space="preserve">Operating, or </w:t>
      </w:r>
      <w:r>
        <w:rPr>
          <w:rFonts w:asciiTheme="minorHAnsi" w:hAnsiTheme="minorHAnsi" w:cstheme="minorHAnsi"/>
          <w:b/>
        </w:rPr>
        <w:t>General Fund and Conference</w:t>
      </w:r>
      <w:r w:rsidR="001F567C">
        <w:rPr>
          <w:rFonts w:asciiTheme="minorHAnsi" w:hAnsiTheme="minorHAnsi" w:cstheme="minorHAnsi"/>
          <w:b/>
        </w:rPr>
        <w:t>,</w:t>
      </w:r>
      <w:r>
        <w:rPr>
          <w:rFonts w:asciiTheme="minorHAnsi" w:hAnsiTheme="minorHAnsi" w:cstheme="minorHAnsi"/>
          <w:b/>
        </w:rPr>
        <w:t xml:space="preserve"> Only)</w:t>
      </w:r>
    </w:p>
    <w:p w14:paraId="691AEC32" w14:textId="77777777" w:rsidR="00EE2579" w:rsidRDefault="00EE2579" w:rsidP="00066FDA">
      <w:pPr>
        <w:rPr>
          <w:rFonts w:asciiTheme="minorHAnsi" w:hAnsiTheme="minorHAnsi" w:cstheme="minorHAnsi"/>
          <w:u w:val="single"/>
        </w:rPr>
      </w:pPr>
    </w:p>
    <w:tbl>
      <w:tblPr>
        <w:tblW w:w="94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09"/>
        <w:gridCol w:w="1451"/>
        <w:gridCol w:w="1341"/>
        <w:gridCol w:w="1317"/>
        <w:gridCol w:w="1341"/>
      </w:tblGrid>
      <w:tr w:rsidR="00A11259" w:rsidRPr="00E07AE6" w14:paraId="6672BB77" w14:textId="77777777" w:rsidTr="0007292D">
        <w:trPr>
          <w:trHeight w:val="255"/>
        </w:trPr>
        <w:tc>
          <w:tcPr>
            <w:tcW w:w="2623" w:type="dxa"/>
            <w:shd w:val="clear" w:color="auto" w:fill="auto"/>
            <w:noWrap/>
            <w:vAlign w:val="bottom"/>
            <w:hideMark/>
          </w:tcPr>
          <w:p w14:paraId="0435F84F" w14:textId="45D28AC8" w:rsidR="00A11259" w:rsidRPr="00E07AE6" w:rsidRDefault="00A11259" w:rsidP="0007292D">
            <w:pPr>
              <w:jc w:val="right"/>
              <w:rPr>
                <w:rFonts w:ascii="Arial" w:hAnsi="Arial" w:cs="Arial"/>
                <w:b/>
                <w:sz w:val="20"/>
                <w:szCs w:val="20"/>
              </w:rPr>
            </w:pPr>
          </w:p>
        </w:tc>
        <w:tc>
          <w:tcPr>
            <w:tcW w:w="1409" w:type="dxa"/>
            <w:shd w:val="clear" w:color="auto" w:fill="auto"/>
            <w:noWrap/>
            <w:vAlign w:val="bottom"/>
            <w:hideMark/>
          </w:tcPr>
          <w:p w14:paraId="6E152B7B" w14:textId="5FCD8A61" w:rsidR="00D34667" w:rsidRDefault="0095009F" w:rsidP="0007292D">
            <w:pPr>
              <w:rPr>
                <w:rFonts w:ascii="Arial" w:hAnsi="Arial" w:cs="Arial"/>
                <w:b/>
                <w:sz w:val="20"/>
                <w:szCs w:val="20"/>
              </w:rPr>
            </w:pPr>
            <w:r>
              <w:rPr>
                <w:rFonts w:ascii="Arial" w:hAnsi="Arial" w:cs="Arial"/>
                <w:b/>
                <w:sz w:val="20"/>
                <w:szCs w:val="20"/>
              </w:rPr>
              <w:t>Dec</w:t>
            </w:r>
            <w:r w:rsidR="00D34667">
              <w:rPr>
                <w:rFonts w:ascii="Arial" w:hAnsi="Arial" w:cs="Arial"/>
                <w:b/>
                <w:sz w:val="20"/>
                <w:szCs w:val="20"/>
              </w:rPr>
              <w:t xml:space="preserve"> 2019</w:t>
            </w:r>
          </w:p>
          <w:p w14:paraId="2583ABD8" w14:textId="67D19384" w:rsidR="00A11259" w:rsidRPr="00E07AE6" w:rsidRDefault="00A11259" w:rsidP="0007292D">
            <w:pPr>
              <w:rPr>
                <w:rFonts w:ascii="Arial" w:hAnsi="Arial" w:cs="Arial"/>
                <w:b/>
                <w:sz w:val="20"/>
                <w:szCs w:val="20"/>
              </w:rPr>
            </w:pPr>
            <w:r w:rsidRPr="00E07AE6">
              <w:rPr>
                <w:rFonts w:ascii="Arial" w:hAnsi="Arial" w:cs="Arial"/>
                <w:b/>
                <w:sz w:val="20"/>
                <w:szCs w:val="20"/>
              </w:rPr>
              <w:t>YTD Budget</w:t>
            </w:r>
          </w:p>
        </w:tc>
        <w:tc>
          <w:tcPr>
            <w:tcW w:w="1451" w:type="dxa"/>
            <w:shd w:val="clear" w:color="auto" w:fill="auto"/>
            <w:noWrap/>
            <w:vAlign w:val="bottom"/>
            <w:hideMark/>
          </w:tcPr>
          <w:p w14:paraId="3F5B1810" w14:textId="2C1B4EC3" w:rsidR="00D34667" w:rsidRDefault="0095009F" w:rsidP="0007292D">
            <w:pPr>
              <w:rPr>
                <w:rFonts w:ascii="Arial" w:hAnsi="Arial" w:cs="Arial"/>
                <w:b/>
                <w:sz w:val="20"/>
                <w:szCs w:val="20"/>
              </w:rPr>
            </w:pPr>
            <w:r>
              <w:rPr>
                <w:rFonts w:ascii="Arial" w:hAnsi="Arial" w:cs="Arial"/>
                <w:b/>
                <w:sz w:val="20"/>
                <w:szCs w:val="20"/>
              </w:rPr>
              <w:t>Dec</w:t>
            </w:r>
            <w:r w:rsidR="00D34667">
              <w:rPr>
                <w:rFonts w:ascii="Arial" w:hAnsi="Arial" w:cs="Arial"/>
                <w:b/>
                <w:sz w:val="20"/>
                <w:szCs w:val="20"/>
              </w:rPr>
              <w:t xml:space="preserve"> 2019 </w:t>
            </w:r>
          </w:p>
          <w:p w14:paraId="47643956" w14:textId="4E5F76BD" w:rsidR="00A11259" w:rsidRPr="00E07AE6" w:rsidRDefault="00A11259" w:rsidP="0007292D">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6AF87719" w14:textId="0E066797" w:rsidR="00A11259" w:rsidRPr="00E07AE6" w:rsidRDefault="0095009F" w:rsidP="0007292D">
            <w:pPr>
              <w:rPr>
                <w:rFonts w:ascii="Arial" w:hAnsi="Arial" w:cs="Arial"/>
                <w:b/>
                <w:sz w:val="20"/>
                <w:szCs w:val="20"/>
              </w:rPr>
            </w:pPr>
            <w:r>
              <w:rPr>
                <w:rFonts w:ascii="Arial" w:hAnsi="Arial" w:cs="Arial"/>
                <w:b/>
                <w:sz w:val="20"/>
                <w:szCs w:val="20"/>
              </w:rPr>
              <w:t>Dec</w:t>
            </w:r>
            <w:r w:rsidR="00D34667">
              <w:rPr>
                <w:rFonts w:ascii="Arial" w:hAnsi="Arial" w:cs="Arial"/>
                <w:b/>
                <w:sz w:val="20"/>
                <w:szCs w:val="20"/>
              </w:rPr>
              <w:t xml:space="preserve"> 2019 </w:t>
            </w:r>
            <w:r w:rsidR="00A11259" w:rsidRPr="00E07AE6">
              <w:rPr>
                <w:rFonts w:ascii="Arial" w:hAnsi="Arial" w:cs="Arial"/>
                <w:b/>
                <w:sz w:val="20"/>
                <w:szCs w:val="20"/>
              </w:rPr>
              <w:t>Variance</w:t>
            </w:r>
          </w:p>
        </w:tc>
        <w:tc>
          <w:tcPr>
            <w:tcW w:w="1317" w:type="dxa"/>
            <w:shd w:val="clear" w:color="auto" w:fill="auto"/>
            <w:noWrap/>
            <w:vAlign w:val="bottom"/>
            <w:hideMark/>
          </w:tcPr>
          <w:p w14:paraId="58FDF8A2" w14:textId="617C1F86" w:rsidR="00A11259" w:rsidRPr="00E07AE6" w:rsidRDefault="0095009F" w:rsidP="0007292D">
            <w:pPr>
              <w:rPr>
                <w:rFonts w:ascii="Arial" w:hAnsi="Arial" w:cs="Arial"/>
                <w:b/>
                <w:sz w:val="20"/>
                <w:szCs w:val="20"/>
              </w:rPr>
            </w:pPr>
            <w:r>
              <w:rPr>
                <w:rFonts w:ascii="Arial" w:hAnsi="Arial" w:cs="Arial"/>
                <w:b/>
                <w:sz w:val="20"/>
                <w:szCs w:val="20"/>
              </w:rPr>
              <w:t>Dec</w:t>
            </w:r>
            <w:r w:rsidR="00D34667">
              <w:rPr>
                <w:rFonts w:ascii="Arial" w:hAnsi="Arial" w:cs="Arial"/>
                <w:b/>
                <w:sz w:val="20"/>
                <w:szCs w:val="20"/>
              </w:rPr>
              <w:t xml:space="preserve"> 2019 </w:t>
            </w:r>
            <w:r w:rsidR="00A11259" w:rsidRPr="00E07AE6">
              <w:rPr>
                <w:rFonts w:ascii="Arial" w:hAnsi="Arial" w:cs="Arial"/>
                <w:b/>
                <w:sz w:val="20"/>
                <w:szCs w:val="20"/>
              </w:rPr>
              <w:t>Variance %</w:t>
            </w:r>
          </w:p>
        </w:tc>
        <w:tc>
          <w:tcPr>
            <w:tcW w:w="1341" w:type="dxa"/>
            <w:shd w:val="clear" w:color="auto" w:fill="auto"/>
            <w:noWrap/>
            <w:vAlign w:val="bottom"/>
            <w:hideMark/>
          </w:tcPr>
          <w:p w14:paraId="2238571D" w14:textId="77777777" w:rsidR="00A11259" w:rsidRPr="00E07AE6" w:rsidRDefault="00A11259" w:rsidP="0007292D">
            <w:pPr>
              <w:rPr>
                <w:rFonts w:ascii="Arial" w:hAnsi="Arial" w:cs="Arial"/>
                <w:b/>
                <w:sz w:val="20"/>
                <w:szCs w:val="20"/>
              </w:rPr>
            </w:pPr>
            <w:r w:rsidRPr="00E07AE6">
              <w:rPr>
                <w:rFonts w:ascii="Arial" w:hAnsi="Arial" w:cs="Arial"/>
                <w:b/>
                <w:sz w:val="20"/>
                <w:szCs w:val="20"/>
              </w:rPr>
              <w:t>Remaining Current Budget</w:t>
            </w:r>
          </w:p>
        </w:tc>
      </w:tr>
      <w:tr w:rsidR="006D629D" w:rsidRPr="006D629D" w14:paraId="2B1935A9" w14:textId="77777777" w:rsidTr="0007292D">
        <w:trPr>
          <w:trHeight w:val="255"/>
        </w:trPr>
        <w:tc>
          <w:tcPr>
            <w:tcW w:w="2623" w:type="dxa"/>
            <w:shd w:val="clear" w:color="auto" w:fill="auto"/>
            <w:noWrap/>
            <w:vAlign w:val="bottom"/>
            <w:hideMark/>
          </w:tcPr>
          <w:p w14:paraId="5A8EAC74" w14:textId="77777777" w:rsidR="00A11259" w:rsidRPr="00E07AE6" w:rsidRDefault="00A11259" w:rsidP="0007292D">
            <w:pPr>
              <w:jc w:val="right"/>
              <w:rPr>
                <w:rFonts w:ascii="Arial" w:hAnsi="Arial" w:cs="Arial"/>
                <w:b/>
                <w:sz w:val="20"/>
                <w:szCs w:val="20"/>
              </w:rPr>
            </w:pPr>
            <w:r w:rsidRPr="00E07AE6">
              <w:rPr>
                <w:rFonts w:ascii="Arial" w:hAnsi="Arial" w:cs="Arial"/>
                <w:b/>
                <w:sz w:val="20"/>
                <w:szCs w:val="20"/>
              </w:rPr>
              <w:t>Total Revenues</w:t>
            </w:r>
          </w:p>
        </w:tc>
        <w:tc>
          <w:tcPr>
            <w:tcW w:w="1409" w:type="dxa"/>
            <w:shd w:val="clear" w:color="auto" w:fill="auto"/>
            <w:noWrap/>
            <w:vAlign w:val="bottom"/>
            <w:hideMark/>
          </w:tcPr>
          <w:p w14:paraId="2E7AD162" w14:textId="637FB812" w:rsidR="00A11259" w:rsidRPr="0051293D" w:rsidRDefault="00A11259" w:rsidP="0007292D">
            <w:pPr>
              <w:jc w:val="right"/>
              <w:rPr>
                <w:rFonts w:ascii="Arial" w:hAnsi="Arial" w:cs="Arial"/>
                <w:sz w:val="20"/>
                <w:szCs w:val="20"/>
              </w:rPr>
            </w:pPr>
            <w:r w:rsidRPr="0051293D">
              <w:rPr>
                <w:rFonts w:ascii="Arial" w:hAnsi="Arial" w:cs="Arial"/>
                <w:sz w:val="20"/>
                <w:szCs w:val="20"/>
              </w:rPr>
              <w:t>$</w:t>
            </w:r>
            <w:r w:rsidR="0095009F">
              <w:rPr>
                <w:rFonts w:ascii="Arial" w:hAnsi="Arial" w:cs="Arial"/>
                <w:sz w:val="20"/>
                <w:szCs w:val="20"/>
              </w:rPr>
              <w:t>371,174</w:t>
            </w:r>
            <w:r w:rsidRPr="0051293D">
              <w:rPr>
                <w:rFonts w:ascii="Arial" w:hAnsi="Arial" w:cs="Arial"/>
                <w:sz w:val="20"/>
                <w:szCs w:val="20"/>
              </w:rPr>
              <w:t xml:space="preserve"> </w:t>
            </w:r>
          </w:p>
        </w:tc>
        <w:tc>
          <w:tcPr>
            <w:tcW w:w="1451" w:type="dxa"/>
            <w:shd w:val="clear" w:color="auto" w:fill="auto"/>
            <w:noWrap/>
            <w:vAlign w:val="bottom"/>
            <w:hideMark/>
          </w:tcPr>
          <w:p w14:paraId="38BF5E04" w14:textId="40BFC4AB" w:rsidR="00A11259" w:rsidRPr="0051293D" w:rsidRDefault="00D3328E" w:rsidP="0007292D">
            <w:pPr>
              <w:jc w:val="right"/>
              <w:rPr>
                <w:rFonts w:ascii="Arial" w:hAnsi="Arial" w:cs="Arial"/>
                <w:sz w:val="20"/>
                <w:szCs w:val="20"/>
              </w:rPr>
            </w:pPr>
            <w:r w:rsidRPr="0051293D">
              <w:rPr>
                <w:rFonts w:ascii="Arial" w:hAnsi="Arial" w:cs="Arial"/>
                <w:sz w:val="20"/>
                <w:szCs w:val="20"/>
              </w:rPr>
              <w:t>$</w:t>
            </w:r>
            <w:r w:rsidR="0095009F">
              <w:rPr>
                <w:rFonts w:ascii="Arial" w:hAnsi="Arial" w:cs="Arial"/>
                <w:sz w:val="20"/>
                <w:szCs w:val="20"/>
              </w:rPr>
              <w:t>337,984</w:t>
            </w:r>
          </w:p>
        </w:tc>
        <w:tc>
          <w:tcPr>
            <w:tcW w:w="1341" w:type="dxa"/>
            <w:shd w:val="clear" w:color="auto" w:fill="auto"/>
            <w:noWrap/>
            <w:vAlign w:val="bottom"/>
            <w:hideMark/>
          </w:tcPr>
          <w:p w14:paraId="208688E3" w14:textId="646B7989" w:rsidR="00A11259" w:rsidRPr="0051293D" w:rsidRDefault="0095009F" w:rsidP="0007292D">
            <w:pPr>
              <w:jc w:val="right"/>
              <w:rPr>
                <w:rFonts w:ascii="Arial" w:hAnsi="Arial" w:cs="Arial"/>
                <w:sz w:val="20"/>
                <w:szCs w:val="20"/>
              </w:rPr>
            </w:pPr>
            <w:r>
              <w:rPr>
                <w:rFonts w:ascii="Arial" w:hAnsi="Arial" w:cs="Arial"/>
                <w:sz w:val="20"/>
                <w:szCs w:val="20"/>
              </w:rPr>
              <w:t>-$33,190</w:t>
            </w:r>
          </w:p>
        </w:tc>
        <w:tc>
          <w:tcPr>
            <w:tcW w:w="1317" w:type="dxa"/>
            <w:shd w:val="clear" w:color="auto" w:fill="auto"/>
            <w:noWrap/>
            <w:vAlign w:val="bottom"/>
            <w:hideMark/>
          </w:tcPr>
          <w:p w14:paraId="643E203D" w14:textId="2BCEF53D" w:rsidR="00A11259" w:rsidRPr="0051293D" w:rsidRDefault="0095009F" w:rsidP="0007292D">
            <w:pPr>
              <w:jc w:val="right"/>
              <w:rPr>
                <w:rFonts w:ascii="Arial" w:hAnsi="Arial" w:cs="Arial"/>
                <w:sz w:val="20"/>
                <w:szCs w:val="20"/>
              </w:rPr>
            </w:pPr>
            <w:r>
              <w:rPr>
                <w:rFonts w:ascii="Arial" w:hAnsi="Arial" w:cs="Arial"/>
                <w:sz w:val="20"/>
                <w:szCs w:val="20"/>
              </w:rPr>
              <w:t>-9%</w:t>
            </w:r>
          </w:p>
        </w:tc>
        <w:tc>
          <w:tcPr>
            <w:tcW w:w="1341" w:type="dxa"/>
            <w:shd w:val="clear" w:color="auto" w:fill="auto"/>
            <w:noWrap/>
            <w:vAlign w:val="bottom"/>
            <w:hideMark/>
          </w:tcPr>
          <w:p w14:paraId="3E67B1B5" w14:textId="47C7561A" w:rsidR="00A11259" w:rsidRPr="0051293D" w:rsidRDefault="0095009F" w:rsidP="0051293D">
            <w:pPr>
              <w:jc w:val="right"/>
              <w:rPr>
                <w:rFonts w:ascii="Arial" w:hAnsi="Arial" w:cs="Arial"/>
                <w:sz w:val="20"/>
                <w:szCs w:val="20"/>
              </w:rPr>
            </w:pPr>
            <w:r>
              <w:rPr>
                <w:rFonts w:ascii="Arial" w:hAnsi="Arial" w:cs="Arial"/>
                <w:sz w:val="20"/>
                <w:szCs w:val="20"/>
              </w:rPr>
              <w:t>$4,380,631</w:t>
            </w:r>
          </w:p>
        </w:tc>
      </w:tr>
      <w:tr w:rsidR="00F00437" w:rsidRPr="00E07AE6" w14:paraId="015A91CA" w14:textId="77777777" w:rsidTr="00D3328E">
        <w:trPr>
          <w:trHeight w:val="255"/>
        </w:trPr>
        <w:tc>
          <w:tcPr>
            <w:tcW w:w="2623" w:type="dxa"/>
            <w:shd w:val="clear" w:color="auto" w:fill="auto"/>
            <w:noWrap/>
            <w:vAlign w:val="bottom"/>
            <w:hideMark/>
          </w:tcPr>
          <w:p w14:paraId="012C641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Total Expenses before OH and tax</w:t>
            </w:r>
          </w:p>
        </w:tc>
        <w:tc>
          <w:tcPr>
            <w:tcW w:w="1409" w:type="dxa"/>
            <w:shd w:val="clear" w:color="auto" w:fill="auto"/>
            <w:noWrap/>
            <w:vAlign w:val="bottom"/>
            <w:hideMark/>
          </w:tcPr>
          <w:p w14:paraId="1F09B6EE" w14:textId="2971BE00" w:rsidR="00F00437" w:rsidRPr="0051293D" w:rsidRDefault="0095009F" w:rsidP="00F00437">
            <w:pPr>
              <w:jc w:val="right"/>
              <w:rPr>
                <w:rFonts w:ascii="Arial" w:hAnsi="Arial" w:cs="Arial"/>
                <w:sz w:val="20"/>
                <w:szCs w:val="20"/>
              </w:rPr>
            </w:pPr>
            <w:r>
              <w:rPr>
                <w:rFonts w:ascii="Arial" w:hAnsi="Arial" w:cs="Arial"/>
                <w:sz w:val="20"/>
                <w:szCs w:val="20"/>
              </w:rPr>
              <w:t>$930,670</w:t>
            </w:r>
          </w:p>
        </w:tc>
        <w:tc>
          <w:tcPr>
            <w:tcW w:w="1451" w:type="dxa"/>
            <w:shd w:val="clear" w:color="auto" w:fill="auto"/>
            <w:noWrap/>
            <w:vAlign w:val="bottom"/>
            <w:hideMark/>
          </w:tcPr>
          <w:p w14:paraId="52BB8EBE" w14:textId="770E155B" w:rsidR="00F00437" w:rsidRPr="0051293D" w:rsidRDefault="0095009F" w:rsidP="00F00437">
            <w:pPr>
              <w:jc w:val="right"/>
              <w:rPr>
                <w:rFonts w:ascii="Arial" w:hAnsi="Arial" w:cs="Arial"/>
                <w:sz w:val="20"/>
                <w:szCs w:val="20"/>
              </w:rPr>
            </w:pPr>
            <w:r>
              <w:rPr>
                <w:rFonts w:ascii="Arial" w:hAnsi="Arial" w:cs="Arial"/>
                <w:sz w:val="20"/>
                <w:szCs w:val="20"/>
              </w:rPr>
              <w:t>$693,284</w:t>
            </w:r>
          </w:p>
        </w:tc>
        <w:tc>
          <w:tcPr>
            <w:tcW w:w="1341" w:type="dxa"/>
            <w:shd w:val="clear" w:color="auto" w:fill="auto"/>
            <w:noWrap/>
            <w:vAlign w:val="bottom"/>
            <w:hideMark/>
          </w:tcPr>
          <w:p w14:paraId="006002E7" w14:textId="087C54CB" w:rsidR="00F00437" w:rsidRPr="0051293D" w:rsidRDefault="0095009F" w:rsidP="00F00437">
            <w:pPr>
              <w:jc w:val="right"/>
              <w:rPr>
                <w:rFonts w:ascii="Arial" w:hAnsi="Arial" w:cs="Arial"/>
                <w:sz w:val="20"/>
                <w:szCs w:val="20"/>
              </w:rPr>
            </w:pPr>
            <w:r>
              <w:rPr>
                <w:rFonts w:ascii="Arial" w:hAnsi="Arial" w:cs="Arial"/>
                <w:sz w:val="20"/>
                <w:szCs w:val="20"/>
              </w:rPr>
              <w:t>$237,387</w:t>
            </w:r>
          </w:p>
        </w:tc>
        <w:tc>
          <w:tcPr>
            <w:tcW w:w="1317" w:type="dxa"/>
            <w:shd w:val="clear" w:color="auto" w:fill="auto"/>
            <w:noWrap/>
            <w:vAlign w:val="bottom"/>
          </w:tcPr>
          <w:p w14:paraId="7E5C1B0D" w14:textId="338047FE" w:rsidR="00F00437" w:rsidRPr="0051293D" w:rsidRDefault="0095009F" w:rsidP="00F00437">
            <w:pPr>
              <w:jc w:val="right"/>
              <w:rPr>
                <w:rFonts w:ascii="Arial" w:hAnsi="Arial" w:cs="Arial"/>
                <w:sz w:val="20"/>
                <w:szCs w:val="20"/>
              </w:rPr>
            </w:pPr>
            <w:r>
              <w:rPr>
                <w:rFonts w:ascii="Arial" w:hAnsi="Arial" w:cs="Arial"/>
                <w:sz w:val="20"/>
                <w:szCs w:val="20"/>
              </w:rPr>
              <w:t>26%</w:t>
            </w:r>
          </w:p>
        </w:tc>
        <w:tc>
          <w:tcPr>
            <w:tcW w:w="1341" w:type="dxa"/>
            <w:shd w:val="clear" w:color="auto" w:fill="auto"/>
            <w:noWrap/>
            <w:vAlign w:val="bottom"/>
          </w:tcPr>
          <w:p w14:paraId="2E86B856" w14:textId="6BEE5E7D" w:rsidR="00F00437" w:rsidRPr="0051293D" w:rsidRDefault="0095009F" w:rsidP="0051293D">
            <w:pPr>
              <w:jc w:val="right"/>
              <w:rPr>
                <w:rFonts w:ascii="Arial" w:hAnsi="Arial" w:cs="Arial"/>
                <w:sz w:val="20"/>
                <w:szCs w:val="20"/>
              </w:rPr>
            </w:pPr>
            <w:r>
              <w:rPr>
                <w:rFonts w:ascii="Arial" w:hAnsi="Arial" w:cs="Arial"/>
                <w:sz w:val="20"/>
                <w:szCs w:val="20"/>
              </w:rPr>
              <w:t>$2,971,968</w:t>
            </w:r>
          </w:p>
        </w:tc>
      </w:tr>
      <w:tr w:rsidR="00F00437" w:rsidRPr="00E07AE6" w14:paraId="148BDFCC" w14:textId="77777777" w:rsidTr="00D3328E">
        <w:trPr>
          <w:trHeight w:val="255"/>
        </w:trPr>
        <w:tc>
          <w:tcPr>
            <w:tcW w:w="2623" w:type="dxa"/>
            <w:shd w:val="clear" w:color="auto" w:fill="auto"/>
            <w:noWrap/>
            <w:vAlign w:val="bottom"/>
            <w:hideMark/>
          </w:tcPr>
          <w:p w14:paraId="0A979DF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Contribution Margin</w:t>
            </w:r>
          </w:p>
        </w:tc>
        <w:tc>
          <w:tcPr>
            <w:tcW w:w="1409" w:type="dxa"/>
            <w:shd w:val="clear" w:color="auto" w:fill="auto"/>
            <w:noWrap/>
            <w:vAlign w:val="bottom"/>
            <w:hideMark/>
          </w:tcPr>
          <w:p w14:paraId="7594E82C" w14:textId="1AD120F6" w:rsidR="00F00437" w:rsidRPr="0051293D" w:rsidRDefault="0095009F" w:rsidP="00F00437">
            <w:pPr>
              <w:jc w:val="right"/>
              <w:rPr>
                <w:rFonts w:ascii="Arial" w:hAnsi="Arial" w:cs="Arial"/>
                <w:sz w:val="20"/>
                <w:szCs w:val="20"/>
              </w:rPr>
            </w:pPr>
            <w:r>
              <w:rPr>
                <w:rFonts w:ascii="Arial" w:hAnsi="Arial" w:cs="Arial"/>
                <w:sz w:val="20"/>
                <w:szCs w:val="20"/>
              </w:rPr>
              <w:t>-$559,497</w:t>
            </w:r>
          </w:p>
        </w:tc>
        <w:tc>
          <w:tcPr>
            <w:tcW w:w="1451" w:type="dxa"/>
            <w:shd w:val="clear" w:color="auto" w:fill="auto"/>
            <w:noWrap/>
            <w:vAlign w:val="bottom"/>
            <w:hideMark/>
          </w:tcPr>
          <w:p w14:paraId="6C9BCF96" w14:textId="087BF3E9" w:rsidR="00F00437" w:rsidRPr="0051293D" w:rsidRDefault="0095009F" w:rsidP="00F00437">
            <w:pPr>
              <w:jc w:val="right"/>
              <w:rPr>
                <w:rFonts w:ascii="Arial" w:hAnsi="Arial" w:cs="Arial"/>
                <w:sz w:val="20"/>
                <w:szCs w:val="20"/>
              </w:rPr>
            </w:pPr>
            <w:r>
              <w:rPr>
                <w:rFonts w:ascii="Arial" w:hAnsi="Arial" w:cs="Arial"/>
                <w:sz w:val="20"/>
                <w:szCs w:val="20"/>
              </w:rPr>
              <w:t>-$355,300</w:t>
            </w:r>
          </w:p>
        </w:tc>
        <w:tc>
          <w:tcPr>
            <w:tcW w:w="1341" w:type="dxa"/>
            <w:shd w:val="clear" w:color="auto" w:fill="auto"/>
            <w:noWrap/>
            <w:vAlign w:val="bottom"/>
            <w:hideMark/>
          </w:tcPr>
          <w:p w14:paraId="3077AFCB" w14:textId="2E708185" w:rsidR="00F00437" w:rsidRPr="0051293D" w:rsidRDefault="0095009F" w:rsidP="00F00437">
            <w:pPr>
              <w:jc w:val="right"/>
              <w:rPr>
                <w:rFonts w:ascii="Arial" w:hAnsi="Arial" w:cs="Arial"/>
                <w:sz w:val="20"/>
                <w:szCs w:val="20"/>
              </w:rPr>
            </w:pPr>
            <w:r>
              <w:rPr>
                <w:rFonts w:ascii="Arial" w:hAnsi="Arial" w:cs="Arial"/>
                <w:sz w:val="20"/>
                <w:szCs w:val="20"/>
              </w:rPr>
              <w:t>$204,197</w:t>
            </w:r>
          </w:p>
        </w:tc>
        <w:tc>
          <w:tcPr>
            <w:tcW w:w="1317" w:type="dxa"/>
            <w:shd w:val="clear" w:color="auto" w:fill="auto"/>
            <w:noWrap/>
            <w:vAlign w:val="bottom"/>
          </w:tcPr>
          <w:p w14:paraId="7A9FD3C9" w14:textId="1037AAD5" w:rsidR="00F00437" w:rsidRPr="0051293D" w:rsidRDefault="0095009F" w:rsidP="00F00437">
            <w:pPr>
              <w:jc w:val="right"/>
              <w:rPr>
                <w:rFonts w:ascii="Arial" w:hAnsi="Arial" w:cs="Arial"/>
                <w:sz w:val="20"/>
                <w:szCs w:val="20"/>
              </w:rPr>
            </w:pPr>
            <w:r>
              <w:rPr>
                <w:rFonts w:ascii="Arial" w:hAnsi="Arial" w:cs="Arial"/>
                <w:sz w:val="20"/>
                <w:szCs w:val="20"/>
              </w:rPr>
              <w:t>36%</w:t>
            </w:r>
          </w:p>
        </w:tc>
        <w:tc>
          <w:tcPr>
            <w:tcW w:w="1341" w:type="dxa"/>
            <w:shd w:val="clear" w:color="auto" w:fill="auto"/>
            <w:noWrap/>
            <w:vAlign w:val="bottom"/>
          </w:tcPr>
          <w:p w14:paraId="608CCC70" w14:textId="49F0C84A" w:rsidR="00F00437" w:rsidRPr="0051293D" w:rsidRDefault="0095009F" w:rsidP="0051293D">
            <w:pPr>
              <w:jc w:val="right"/>
              <w:rPr>
                <w:rFonts w:ascii="Arial" w:hAnsi="Arial" w:cs="Arial"/>
                <w:sz w:val="20"/>
                <w:szCs w:val="20"/>
              </w:rPr>
            </w:pPr>
            <w:r>
              <w:rPr>
                <w:rFonts w:ascii="Arial" w:hAnsi="Arial" w:cs="Arial"/>
                <w:sz w:val="20"/>
                <w:szCs w:val="20"/>
              </w:rPr>
              <w:t>$1,408,663</w:t>
            </w:r>
          </w:p>
        </w:tc>
      </w:tr>
      <w:tr w:rsidR="00F00437" w:rsidRPr="00E07AE6" w14:paraId="2928CB3B" w14:textId="77777777" w:rsidTr="00D3328E">
        <w:trPr>
          <w:trHeight w:val="255"/>
        </w:trPr>
        <w:tc>
          <w:tcPr>
            <w:tcW w:w="2623" w:type="dxa"/>
            <w:shd w:val="clear" w:color="auto" w:fill="auto"/>
            <w:noWrap/>
            <w:vAlign w:val="bottom"/>
            <w:hideMark/>
          </w:tcPr>
          <w:p w14:paraId="5515594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Overhead and Tax</w:t>
            </w:r>
          </w:p>
        </w:tc>
        <w:tc>
          <w:tcPr>
            <w:tcW w:w="1409" w:type="dxa"/>
            <w:shd w:val="clear" w:color="auto" w:fill="auto"/>
            <w:noWrap/>
            <w:vAlign w:val="bottom"/>
            <w:hideMark/>
          </w:tcPr>
          <w:p w14:paraId="2F0F7753" w14:textId="395B656E" w:rsidR="00F00437" w:rsidRPr="0051293D" w:rsidRDefault="0095009F" w:rsidP="00F00437">
            <w:pPr>
              <w:jc w:val="right"/>
              <w:rPr>
                <w:rFonts w:ascii="Arial" w:hAnsi="Arial" w:cs="Arial"/>
                <w:sz w:val="20"/>
                <w:szCs w:val="20"/>
              </w:rPr>
            </w:pPr>
            <w:r>
              <w:rPr>
                <w:rFonts w:ascii="Arial" w:hAnsi="Arial" w:cs="Arial"/>
                <w:sz w:val="20"/>
                <w:szCs w:val="20"/>
              </w:rPr>
              <w:t>$29,213</w:t>
            </w:r>
          </w:p>
        </w:tc>
        <w:tc>
          <w:tcPr>
            <w:tcW w:w="1451" w:type="dxa"/>
            <w:shd w:val="clear" w:color="auto" w:fill="auto"/>
            <w:noWrap/>
            <w:vAlign w:val="bottom"/>
            <w:hideMark/>
          </w:tcPr>
          <w:p w14:paraId="7F618643" w14:textId="08E246BE" w:rsidR="00F00437" w:rsidRPr="0051293D" w:rsidRDefault="0095009F" w:rsidP="00DA3FCA">
            <w:pPr>
              <w:jc w:val="right"/>
              <w:rPr>
                <w:rFonts w:ascii="Arial" w:hAnsi="Arial" w:cs="Arial"/>
                <w:sz w:val="20"/>
                <w:szCs w:val="20"/>
              </w:rPr>
            </w:pPr>
            <w:r>
              <w:rPr>
                <w:rFonts w:ascii="Arial" w:hAnsi="Arial" w:cs="Arial"/>
                <w:sz w:val="20"/>
                <w:szCs w:val="20"/>
              </w:rPr>
              <w:t>$19,422</w:t>
            </w:r>
          </w:p>
        </w:tc>
        <w:tc>
          <w:tcPr>
            <w:tcW w:w="1341" w:type="dxa"/>
            <w:shd w:val="clear" w:color="auto" w:fill="auto"/>
            <w:noWrap/>
            <w:vAlign w:val="bottom"/>
            <w:hideMark/>
          </w:tcPr>
          <w:p w14:paraId="5B68B3BF" w14:textId="7EE3A9E9" w:rsidR="00F00437" w:rsidRPr="0051293D" w:rsidRDefault="0095009F" w:rsidP="00F00437">
            <w:pPr>
              <w:jc w:val="right"/>
              <w:rPr>
                <w:rFonts w:ascii="Arial" w:hAnsi="Arial" w:cs="Arial"/>
                <w:sz w:val="20"/>
                <w:szCs w:val="20"/>
              </w:rPr>
            </w:pPr>
            <w:r>
              <w:rPr>
                <w:rFonts w:ascii="Arial" w:hAnsi="Arial" w:cs="Arial"/>
                <w:sz w:val="20"/>
                <w:szCs w:val="20"/>
              </w:rPr>
              <w:t>$9,791</w:t>
            </w:r>
          </w:p>
        </w:tc>
        <w:tc>
          <w:tcPr>
            <w:tcW w:w="1317" w:type="dxa"/>
            <w:shd w:val="clear" w:color="auto" w:fill="auto"/>
            <w:noWrap/>
            <w:vAlign w:val="bottom"/>
          </w:tcPr>
          <w:p w14:paraId="5AC48685" w14:textId="6FB190D7" w:rsidR="00F00437" w:rsidRPr="0051293D" w:rsidRDefault="0095009F" w:rsidP="00F00437">
            <w:pPr>
              <w:jc w:val="right"/>
              <w:rPr>
                <w:rFonts w:ascii="Arial" w:hAnsi="Arial" w:cs="Arial"/>
                <w:sz w:val="20"/>
                <w:szCs w:val="20"/>
              </w:rPr>
            </w:pPr>
            <w:r>
              <w:rPr>
                <w:rFonts w:ascii="Arial" w:hAnsi="Arial" w:cs="Arial"/>
                <w:sz w:val="20"/>
                <w:szCs w:val="20"/>
              </w:rPr>
              <w:t>34%</w:t>
            </w:r>
          </w:p>
        </w:tc>
        <w:tc>
          <w:tcPr>
            <w:tcW w:w="1341" w:type="dxa"/>
            <w:shd w:val="clear" w:color="auto" w:fill="auto"/>
            <w:noWrap/>
            <w:vAlign w:val="bottom"/>
          </w:tcPr>
          <w:p w14:paraId="406977E1" w14:textId="2B4D70AD" w:rsidR="00F00437" w:rsidRPr="0051293D" w:rsidRDefault="0095009F" w:rsidP="0051293D">
            <w:pPr>
              <w:jc w:val="right"/>
              <w:rPr>
                <w:rFonts w:ascii="Arial" w:hAnsi="Arial" w:cs="Arial"/>
                <w:sz w:val="20"/>
                <w:szCs w:val="20"/>
              </w:rPr>
            </w:pPr>
            <w:r>
              <w:rPr>
                <w:rFonts w:ascii="Arial" w:hAnsi="Arial" w:cs="Arial"/>
                <w:sz w:val="20"/>
                <w:szCs w:val="20"/>
              </w:rPr>
              <w:t>$922,467</w:t>
            </w:r>
          </w:p>
        </w:tc>
      </w:tr>
      <w:tr w:rsidR="00F00437" w:rsidRPr="00E07AE6" w14:paraId="08507902" w14:textId="77777777" w:rsidTr="0007292D">
        <w:trPr>
          <w:trHeight w:val="255"/>
        </w:trPr>
        <w:tc>
          <w:tcPr>
            <w:tcW w:w="2623" w:type="dxa"/>
            <w:shd w:val="clear" w:color="auto" w:fill="auto"/>
            <w:noWrap/>
            <w:vAlign w:val="bottom"/>
            <w:hideMark/>
          </w:tcPr>
          <w:p w14:paraId="1D095DC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B5EFF0C" w14:textId="77777777" w:rsidR="00F00437" w:rsidRPr="0051293D" w:rsidRDefault="00F00437" w:rsidP="00F00437">
            <w:pPr>
              <w:rPr>
                <w:rFonts w:ascii="Arial" w:hAnsi="Arial" w:cs="Arial"/>
                <w:sz w:val="20"/>
                <w:szCs w:val="20"/>
              </w:rPr>
            </w:pPr>
          </w:p>
        </w:tc>
        <w:tc>
          <w:tcPr>
            <w:tcW w:w="1451" w:type="dxa"/>
            <w:shd w:val="clear" w:color="auto" w:fill="auto"/>
            <w:noWrap/>
            <w:vAlign w:val="bottom"/>
            <w:hideMark/>
          </w:tcPr>
          <w:p w14:paraId="566B36D7" w14:textId="77777777" w:rsidR="00F00437" w:rsidRPr="0051293D" w:rsidRDefault="00F00437" w:rsidP="00F00437">
            <w:pPr>
              <w:rPr>
                <w:rFonts w:ascii="Arial" w:hAnsi="Arial" w:cs="Arial"/>
                <w:sz w:val="20"/>
                <w:szCs w:val="20"/>
              </w:rPr>
            </w:pPr>
          </w:p>
        </w:tc>
        <w:tc>
          <w:tcPr>
            <w:tcW w:w="1341" w:type="dxa"/>
            <w:shd w:val="clear" w:color="auto" w:fill="auto"/>
            <w:noWrap/>
            <w:vAlign w:val="bottom"/>
            <w:hideMark/>
          </w:tcPr>
          <w:p w14:paraId="6A23BAE2" w14:textId="77777777" w:rsidR="00F00437" w:rsidRPr="0051293D" w:rsidRDefault="00F00437" w:rsidP="00F00437">
            <w:pPr>
              <w:rPr>
                <w:rFonts w:ascii="Arial" w:hAnsi="Arial" w:cs="Arial"/>
                <w:sz w:val="20"/>
                <w:szCs w:val="20"/>
              </w:rPr>
            </w:pPr>
          </w:p>
        </w:tc>
        <w:tc>
          <w:tcPr>
            <w:tcW w:w="1317" w:type="dxa"/>
            <w:shd w:val="clear" w:color="auto" w:fill="auto"/>
            <w:noWrap/>
            <w:vAlign w:val="bottom"/>
            <w:hideMark/>
          </w:tcPr>
          <w:p w14:paraId="77C555B4" w14:textId="77777777" w:rsidR="00F00437" w:rsidRPr="0051293D" w:rsidRDefault="00F00437" w:rsidP="00F00437">
            <w:pPr>
              <w:rPr>
                <w:rFonts w:ascii="Arial" w:hAnsi="Arial" w:cs="Arial"/>
                <w:sz w:val="20"/>
                <w:szCs w:val="20"/>
              </w:rPr>
            </w:pPr>
          </w:p>
        </w:tc>
        <w:tc>
          <w:tcPr>
            <w:tcW w:w="1341" w:type="dxa"/>
            <w:shd w:val="clear" w:color="auto" w:fill="auto"/>
            <w:noWrap/>
            <w:vAlign w:val="bottom"/>
            <w:hideMark/>
          </w:tcPr>
          <w:p w14:paraId="6875BFEB" w14:textId="77777777" w:rsidR="00F00437" w:rsidRPr="0051293D" w:rsidRDefault="00F00437" w:rsidP="0051293D">
            <w:pPr>
              <w:jc w:val="right"/>
              <w:rPr>
                <w:rFonts w:ascii="Arial" w:hAnsi="Arial" w:cs="Arial"/>
                <w:sz w:val="20"/>
                <w:szCs w:val="20"/>
              </w:rPr>
            </w:pPr>
          </w:p>
        </w:tc>
      </w:tr>
      <w:tr w:rsidR="00F00437" w:rsidRPr="00E07AE6" w14:paraId="6DE71111" w14:textId="77777777" w:rsidTr="0007292D">
        <w:trPr>
          <w:trHeight w:val="255"/>
        </w:trPr>
        <w:tc>
          <w:tcPr>
            <w:tcW w:w="2623" w:type="dxa"/>
            <w:shd w:val="clear" w:color="auto" w:fill="auto"/>
            <w:noWrap/>
            <w:vAlign w:val="bottom"/>
            <w:hideMark/>
          </w:tcPr>
          <w:p w14:paraId="1602ED6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959ECA0" w14:textId="77777777" w:rsidR="00F00437" w:rsidRPr="0051293D" w:rsidRDefault="00F00437" w:rsidP="00F00437">
            <w:pPr>
              <w:rPr>
                <w:rFonts w:ascii="Arial" w:hAnsi="Arial" w:cs="Arial"/>
                <w:b/>
                <w:sz w:val="20"/>
                <w:szCs w:val="20"/>
              </w:rPr>
            </w:pPr>
            <w:r w:rsidRPr="0051293D">
              <w:rPr>
                <w:rFonts w:ascii="Arial" w:hAnsi="Arial" w:cs="Arial"/>
                <w:b/>
                <w:sz w:val="20"/>
                <w:szCs w:val="20"/>
              </w:rPr>
              <w:t>YTD Budget</w:t>
            </w:r>
          </w:p>
        </w:tc>
        <w:tc>
          <w:tcPr>
            <w:tcW w:w="1451" w:type="dxa"/>
            <w:shd w:val="clear" w:color="auto" w:fill="auto"/>
            <w:noWrap/>
            <w:vAlign w:val="bottom"/>
            <w:hideMark/>
          </w:tcPr>
          <w:p w14:paraId="59D75AB0" w14:textId="77777777" w:rsidR="00F00437" w:rsidRPr="0051293D" w:rsidRDefault="00F00437" w:rsidP="00F00437">
            <w:pPr>
              <w:rPr>
                <w:rFonts w:ascii="Arial" w:hAnsi="Arial" w:cs="Arial"/>
                <w:b/>
                <w:sz w:val="20"/>
                <w:szCs w:val="20"/>
              </w:rPr>
            </w:pPr>
            <w:r w:rsidRPr="0051293D">
              <w:rPr>
                <w:rFonts w:ascii="Arial" w:hAnsi="Arial" w:cs="Arial"/>
                <w:b/>
                <w:sz w:val="20"/>
                <w:szCs w:val="20"/>
              </w:rPr>
              <w:t>YTD Actual</w:t>
            </w:r>
          </w:p>
        </w:tc>
        <w:tc>
          <w:tcPr>
            <w:tcW w:w="1341" w:type="dxa"/>
            <w:shd w:val="clear" w:color="auto" w:fill="auto"/>
            <w:noWrap/>
            <w:vAlign w:val="bottom"/>
            <w:hideMark/>
          </w:tcPr>
          <w:p w14:paraId="35BF045B" w14:textId="77777777" w:rsidR="00F00437" w:rsidRPr="0051293D" w:rsidRDefault="00F00437" w:rsidP="00F00437">
            <w:pPr>
              <w:rPr>
                <w:rFonts w:ascii="Arial" w:hAnsi="Arial" w:cs="Arial"/>
                <w:b/>
                <w:sz w:val="20"/>
                <w:szCs w:val="20"/>
              </w:rPr>
            </w:pPr>
            <w:r w:rsidRPr="0051293D">
              <w:rPr>
                <w:rFonts w:ascii="Arial" w:hAnsi="Arial" w:cs="Arial"/>
                <w:b/>
                <w:sz w:val="20"/>
                <w:szCs w:val="20"/>
              </w:rPr>
              <w:t>Variance</w:t>
            </w:r>
          </w:p>
        </w:tc>
        <w:tc>
          <w:tcPr>
            <w:tcW w:w="1317" w:type="dxa"/>
            <w:tcBorders>
              <w:bottom w:val="single" w:sz="4" w:space="0" w:color="auto"/>
            </w:tcBorders>
            <w:shd w:val="clear" w:color="auto" w:fill="auto"/>
            <w:noWrap/>
            <w:vAlign w:val="bottom"/>
            <w:hideMark/>
          </w:tcPr>
          <w:p w14:paraId="7C16D88B" w14:textId="77777777" w:rsidR="00F00437" w:rsidRPr="0051293D" w:rsidRDefault="00F00437" w:rsidP="00F00437">
            <w:pPr>
              <w:rPr>
                <w:rFonts w:ascii="Arial" w:hAnsi="Arial" w:cs="Arial"/>
                <w:b/>
                <w:sz w:val="20"/>
                <w:szCs w:val="20"/>
              </w:rPr>
            </w:pPr>
            <w:r w:rsidRPr="0051293D">
              <w:rPr>
                <w:rFonts w:ascii="Arial" w:hAnsi="Arial" w:cs="Arial"/>
                <w:b/>
                <w:sz w:val="20"/>
                <w:szCs w:val="20"/>
              </w:rPr>
              <w:t>Variance %</w:t>
            </w:r>
          </w:p>
        </w:tc>
        <w:tc>
          <w:tcPr>
            <w:tcW w:w="1341" w:type="dxa"/>
            <w:tcBorders>
              <w:bottom w:val="single" w:sz="4" w:space="0" w:color="auto"/>
            </w:tcBorders>
            <w:shd w:val="clear" w:color="auto" w:fill="auto"/>
            <w:noWrap/>
            <w:vAlign w:val="bottom"/>
            <w:hideMark/>
          </w:tcPr>
          <w:p w14:paraId="137E4343" w14:textId="77777777" w:rsidR="00F00437" w:rsidRPr="0051293D" w:rsidRDefault="00F00437" w:rsidP="0051293D">
            <w:pPr>
              <w:jc w:val="right"/>
              <w:rPr>
                <w:rFonts w:ascii="Arial" w:hAnsi="Arial" w:cs="Arial"/>
                <w:sz w:val="20"/>
                <w:szCs w:val="20"/>
              </w:rPr>
            </w:pPr>
          </w:p>
        </w:tc>
      </w:tr>
      <w:tr w:rsidR="00F00437" w:rsidRPr="00E07AE6" w14:paraId="65C19B65" w14:textId="77777777" w:rsidTr="0007292D">
        <w:trPr>
          <w:trHeight w:val="255"/>
        </w:trPr>
        <w:tc>
          <w:tcPr>
            <w:tcW w:w="2623" w:type="dxa"/>
            <w:shd w:val="clear" w:color="auto" w:fill="auto"/>
            <w:noWrap/>
            <w:vAlign w:val="bottom"/>
            <w:hideMark/>
          </w:tcPr>
          <w:p w14:paraId="5486AE10"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Net Revenue (Expense)</w:t>
            </w:r>
          </w:p>
        </w:tc>
        <w:tc>
          <w:tcPr>
            <w:tcW w:w="1409" w:type="dxa"/>
            <w:shd w:val="clear" w:color="auto" w:fill="auto"/>
            <w:noWrap/>
            <w:vAlign w:val="bottom"/>
            <w:hideMark/>
          </w:tcPr>
          <w:p w14:paraId="4DD08370" w14:textId="4990E064" w:rsidR="00F00437" w:rsidRPr="0051293D" w:rsidRDefault="0051293D" w:rsidP="00F00437">
            <w:pPr>
              <w:jc w:val="right"/>
              <w:rPr>
                <w:rFonts w:ascii="Arial" w:hAnsi="Arial" w:cs="Arial"/>
                <w:sz w:val="20"/>
                <w:szCs w:val="20"/>
              </w:rPr>
            </w:pPr>
            <w:r>
              <w:rPr>
                <w:rFonts w:ascii="Arial" w:hAnsi="Arial" w:cs="Arial"/>
                <w:sz w:val="20"/>
                <w:szCs w:val="20"/>
              </w:rPr>
              <w:t>-$</w:t>
            </w:r>
            <w:r w:rsidR="0095009F">
              <w:rPr>
                <w:rFonts w:ascii="Arial" w:hAnsi="Arial" w:cs="Arial"/>
                <w:sz w:val="20"/>
                <w:szCs w:val="20"/>
              </w:rPr>
              <w:t>588,710</w:t>
            </w:r>
          </w:p>
        </w:tc>
        <w:tc>
          <w:tcPr>
            <w:tcW w:w="1451" w:type="dxa"/>
            <w:shd w:val="clear" w:color="auto" w:fill="auto"/>
            <w:noWrap/>
            <w:vAlign w:val="bottom"/>
            <w:hideMark/>
          </w:tcPr>
          <w:p w14:paraId="534F418B" w14:textId="203FB48D" w:rsidR="00F00437" w:rsidRPr="0051293D" w:rsidRDefault="0095009F" w:rsidP="00F00437">
            <w:pPr>
              <w:jc w:val="right"/>
              <w:rPr>
                <w:rFonts w:ascii="Arial" w:hAnsi="Arial" w:cs="Arial"/>
                <w:sz w:val="20"/>
                <w:szCs w:val="20"/>
              </w:rPr>
            </w:pPr>
            <w:r>
              <w:rPr>
                <w:rFonts w:ascii="Arial" w:hAnsi="Arial" w:cs="Arial"/>
                <w:sz w:val="20"/>
                <w:szCs w:val="20"/>
              </w:rPr>
              <w:t>-$374,722</w:t>
            </w:r>
          </w:p>
        </w:tc>
        <w:tc>
          <w:tcPr>
            <w:tcW w:w="1341" w:type="dxa"/>
            <w:tcBorders>
              <w:bottom w:val="single" w:sz="4" w:space="0" w:color="auto"/>
            </w:tcBorders>
            <w:shd w:val="clear" w:color="auto" w:fill="auto"/>
            <w:noWrap/>
            <w:vAlign w:val="bottom"/>
            <w:hideMark/>
          </w:tcPr>
          <w:p w14:paraId="229253E1" w14:textId="3E908D69" w:rsidR="00F00437" w:rsidRPr="0051293D" w:rsidRDefault="0095009F" w:rsidP="00F00437">
            <w:pPr>
              <w:jc w:val="right"/>
              <w:rPr>
                <w:rFonts w:ascii="Arial" w:hAnsi="Arial" w:cs="Arial"/>
                <w:sz w:val="20"/>
                <w:szCs w:val="20"/>
              </w:rPr>
            </w:pPr>
            <w:r>
              <w:rPr>
                <w:rFonts w:ascii="Arial" w:hAnsi="Arial" w:cs="Arial"/>
                <w:sz w:val="20"/>
                <w:szCs w:val="20"/>
              </w:rPr>
              <w:t>$213,988</w:t>
            </w:r>
          </w:p>
        </w:tc>
        <w:tc>
          <w:tcPr>
            <w:tcW w:w="1317" w:type="dxa"/>
            <w:tcBorders>
              <w:bottom w:val="single" w:sz="4" w:space="0" w:color="auto"/>
            </w:tcBorders>
            <w:shd w:val="clear" w:color="auto" w:fill="auto"/>
            <w:noWrap/>
            <w:vAlign w:val="bottom"/>
            <w:hideMark/>
          </w:tcPr>
          <w:p w14:paraId="62A8A52B" w14:textId="0A4BF785" w:rsidR="00F00437" w:rsidRPr="0051293D" w:rsidRDefault="0095009F" w:rsidP="00F00437">
            <w:pPr>
              <w:jc w:val="right"/>
              <w:rPr>
                <w:rFonts w:ascii="Arial" w:hAnsi="Arial" w:cs="Arial"/>
                <w:sz w:val="20"/>
                <w:szCs w:val="20"/>
              </w:rPr>
            </w:pPr>
            <w:r>
              <w:rPr>
                <w:rFonts w:ascii="Arial" w:hAnsi="Arial" w:cs="Arial"/>
                <w:sz w:val="20"/>
                <w:szCs w:val="20"/>
              </w:rPr>
              <w:t>36%</w:t>
            </w:r>
          </w:p>
        </w:tc>
        <w:tc>
          <w:tcPr>
            <w:tcW w:w="1341" w:type="dxa"/>
            <w:tcBorders>
              <w:bottom w:val="single" w:sz="4" w:space="0" w:color="auto"/>
            </w:tcBorders>
            <w:shd w:val="clear" w:color="auto" w:fill="auto"/>
            <w:noWrap/>
            <w:vAlign w:val="bottom"/>
            <w:hideMark/>
          </w:tcPr>
          <w:p w14:paraId="7AD558EE" w14:textId="25C3C6C2" w:rsidR="00F00437" w:rsidRPr="0051293D" w:rsidRDefault="0095009F" w:rsidP="0051293D">
            <w:pPr>
              <w:jc w:val="right"/>
              <w:rPr>
                <w:rFonts w:ascii="Arial" w:hAnsi="Arial" w:cs="Arial"/>
                <w:sz w:val="20"/>
                <w:szCs w:val="20"/>
              </w:rPr>
            </w:pPr>
            <w:r>
              <w:rPr>
                <w:rFonts w:ascii="Arial" w:hAnsi="Arial" w:cs="Arial"/>
                <w:sz w:val="20"/>
                <w:szCs w:val="20"/>
              </w:rPr>
              <w:t>$468,197</w:t>
            </w:r>
          </w:p>
        </w:tc>
      </w:tr>
      <w:tr w:rsidR="00F00437" w:rsidRPr="00E07AE6" w14:paraId="37A09FC4" w14:textId="77777777" w:rsidTr="0007292D">
        <w:trPr>
          <w:trHeight w:val="323"/>
        </w:trPr>
        <w:tc>
          <w:tcPr>
            <w:tcW w:w="2623" w:type="dxa"/>
            <w:shd w:val="clear" w:color="auto" w:fill="auto"/>
            <w:noWrap/>
            <w:vAlign w:val="bottom"/>
            <w:hideMark/>
          </w:tcPr>
          <w:p w14:paraId="4C17C8C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Beginning NAB</w:t>
            </w:r>
          </w:p>
        </w:tc>
        <w:tc>
          <w:tcPr>
            <w:tcW w:w="1409" w:type="dxa"/>
            <w:shd w:val="clear" w:color="auto" w:fill="auto"/>
            <w:noWrap/>
            <w:vAlign w:val="bottom"/>
            <w:hideMark/>
          </w:tcPr>
          <w:p w14:paraId="477F032A" w14:textId="77777777" w:rsidR="00F00437" w:rsidRPr="0051293D" w:rsidRDefault="00F00437" w:rsidP="00F00437">
            <w:pPr>
              <w:rPr>
                <w:rFonts w:ascii="Arial" w:hAnsi="Arial" w:cs="Arial"/>
                <w:b/>
                <w:sz w:val="20"/>
                <w:szCs w:val="20"/>
              </w:rPr>
            </w:pPr>
            <w:r w:rsidRPr="0051293D">
              <w:rPr>
                <w:rFonts w:ascii="Arial" w:hAnsi="Arial" w:cs="Arial"/>
                <w:b/>
                <w:sz w:val="20"/>
                <w:szCs w:val="20"/>
              </w:rPr>
              <w:t>Ending NAB</w:t>
            </w:r>
          </w:p>
        </w:tc>
        <w:tc>
          <w:tcPr>
            <w:tcW w:w="1451" w:type="dxa"/>
            <w:shd w:val="clear" w:color="auto" w:fill="auto"/>
            <w:noWrap/>
            <w:vAlign w:val="bottom"/>
            <w:hideMark/>
          </w:tcPr>
          <w:p w14:paraId="6EA93FEA" w14:textId="77777777" w:rsidR="00F00437" w:rsidRPr="0051293D" w:rsidRDefault="00F00437" w:rsidP="00F00437">
            <w:pPr>
              <w:rPr>
                <w:rFonts w:ascii="Arial" w:hAnsi="Arial" w:cs="Arial"/>
                <w:b/>
                <w:sz w:val="20"/>
                <w:szCs w:val="20"/>
              </w:rPr>
            </w:pPr>
            <w:r w:rsidRPr="0051293D">
              <w:rPr>
                <w:rFonts w:ascii="Arial" w:hAnsi="Arial" w:cs="Arial"/>
                <w:b/>
                <w:sz w:val="20"/>
                <w:szCs w:val="20"/>
              </w:rPr>
              <w:t>Net Revenue</w:t>
            </w:r>
          </w:p>
        </w:tc>
        <w:tc>
          <w:tcPr>
            <w:tcW w:w="1341" w:type="dxa"/>
            <w:tcBorders>
              <w:right w:val="single" w:sz="4" w:space="0" w:color="auto"/>
            </w:tcBorders>
            <w:shd w:val="clear" w:color="auto" w:fill="auto"/>
            <w:noWrap/>
            <w:vAlign w:val="bottom"/>
            <w:hideMark/>
          </w:tcPr>
          <w:p w14:paraId="6E05F628" w14:textId="77777777" w:rsidR="00F00437" w:rsidRPr="0051293D" w:rsidRDefault="00F00437" w:rsidP="00F00437">
            <w:pPr>
              <w:rPr>
                <w:rFonts w:ascii="Arial" w:hAnsi="Arial" w:cs="Arial"/>
                <w:b/>
                <w:sz w:val="20"/>
                <w:szCs w:val="20"/>
              </w:rPr>
            </w:pPr>
            <w:r w:rsidRPr="0051293D">
              <w:rPr>
                <w:rFonts w:ascii="Arial" w:hAnsi="Arial" w:cs="Arial"/>
                <w:b/>
                <w:sz w:val="20"/>
                <w:szCs w:val="20"/>
              </w:rPr>
              <w:t>Increase in NAB</w:t>
            </w:r>
          </w:p>
        </w:tc>
        <w:tc>
          <w:tcPr>
            <w:tcW w:w="1317" w:type="dxa"/>
            <w:tcBorders>
              <w:top w:val="nil"/>
              <w:left w:val="single" w:sz="4" w:space="0" w:color="auto"/>
              <w:bottom w:val="nil"/>
              <w:right w:val="nil"/>
            </w:tcBorders>
            <w:shd w:val="clear" w:color="auto" w:fill="auto"/>
            <w:noWrap/>
            <w:vAlign w:val="bottom"/>
            <w:hideMark/>
          </w:tcPr>
          <w:p w14:paraId="75C14A00" w14:textId="77777777" w:rsidR="00F00437" w:rsidRPr="0051293D"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F00437" w:rsidRPr="00E07AE6" w:rsidRDefault="00F00437" w:rsidP="00F00437">
            <w:pPr>
              <w:rPr>
                <w:rFonts w:ascii="Arial" w:hAnsi="Arial" w:cs="Arial"/>
                <w:sz w:val="20"/>
                <w:szCs w:val="20"/>
              </w:rPr>
            </w:pPr>
          </w:p>
        </w:tc>
      </w:tr>
      <w:tr w:rsidR="00F00437" w:rsidRPr="00E07AE6" w14:paraId="2EB98A3C" w14:textId="77777777" w:rsidTr="0007292D">
        <w:trPr>
          <w:trHeight w:val="255"/>
        </w:trPr>
        <w:tc>
          <w:tcPr>
            <w:tcW w:w="2623" w:type="dxa"/>
            <w:shd w:val="clear" w:color="auto" w:fill="auto"/>
            <w:noWrap/>
            <w:vAlign w:val="bottom"/>
            <w:hideMark/>
          </w:tcPr>
          <w:p w14:paraId="281DE258" w14:textId="3A7C5B29" w:rsidR="00F00437" w:rsidRPr="00E07AE6" w:rsidRDefault="0051293D" w:rsidP="00F00437">
            <w:pPr>
              <w:jc w:val="right"/>
              <w:rPr>
                <w:rFonts w:ascii="Arial" w:hAnsi="Arial" w:cs="Arial"/>
                <w:sz w:val="20"/>
                <w:szCs w:val="20"/>
              </w:rPr>
            </w:pPr>
            <w:r>
              <w:rPr>
                <w:rFonts w:ascii="Arial" w:hAnsi="Arial" w:cs="Arial"/>
                <w:sz w:val="20"/>
                <w:szCs w:val="20"/>
              </w:rPr>
              <w:t>TBD</w:t>
            </w:r>
          </w:p>
        </w:tc>
        <w:tc>
          <w:tcPr>
            <w:tcW w:w="1409" w:type="dxa"/>
            <w:shd w:val="clear" w:color="auto" w:fill="auto"/>
            <w:noWrap/>
            <w:vAlign w:val="bottom"/>
            <w:hideMark/>
          </w:tcPr>
          <w:p w14:paraId="1D811007" w14:textId="089A2F46" w:rsidR="00F00437" w:rsidRPr="0051293D" w:rsidRDefault="0051293D" w:rsidP="00F00437">
            <w:pPr>
              <w:jc w:val="right"/>
              <w:rPr>
                <w:rFonts w:ascii="Arial" w:hAnsi="Arial" w:cs="Arial"/>
                <w:sz w:val="20"/>
                <w:szCs w:val="20"/>
              </w:rPr>
            </w:pPr>
            <w:r>
              <w:rPr>
                <w:rFonts w:ascii="Arial" w:hAnsi="Arial" w:cs="Arial"/>
                <w:sz w:val="20"/>
                <w:szCs w:val="20"/>
              </w:rPr>
              <w:t>TBD</w:t>
            </w:r>
          </w:p>
        </w:tc>
        <w:tc>
          <w:tcPr>
            <w:tcW w:w="1451" w:type="dxa"/>
            <w:shd w:val="clear" w:color="auto" w:fill="auto"/>
            <w:noWrap/>
            <w:vAlign w:val="bottom"/>
            <w:hideMark/>
          </w:tcPr>
          <w:p w14:paraId="7B50B003" w14:textId="29EA702C" w:rsidR="00F00437" w:rsidRPr="0051293D" w:rsidRDefault="0051293D" w:rsidP="00DA3FCA">
            <w:pPr>
              <w:jc w:val="right"/>
              <w:rPr>
                <w:rFonts w:ascii="Arial" w:hAnsi="Arial" w:cs="Arial"/>
                <w:sz w:val="20"/>
                <w:szCs w:val="20"/>
              </w:rPr>
            </w:pPr>
            <w:r>
              <w:rPr>
                <w:rFonts w:ascii="Arial" w:hAnsi="Arial" w:cs="Arial"/>
                <w:sz w:val="20"/>
                <w:szCs w:val="20"/>
              </w:rPr>
              <w:t>-$</w:t>
            </w:r>
            <w:r w:rsidR="0095009F">
              <w:rPr>
                <w:rFonts w:ascii="Arial" w:hAnsi="Arial" w:cs="Arial"/>
                <w:sz w:val="20"/>
                <w:szCs w:val="20"/>
              </w:rPr>
              <w:t>374,722</w:t>
            </w:r>
          </w:p>
        </w:tc>
        <w:tc>
          <w:tcPr>
            <w:tcW w:w="1341" w:type="dxa"/>
            <w:tcBorders>
              <w:right w:val="single" w:sz="4" w:space="0" w:color="auto"/>
            </w:tcBorders>
            <w:shd w:val="clear" w:color="auto" w:fill="auto"/>
            <w:noWrap/>
            <w:vAlign w:val="bottom"/>
            <w:hideMark/>
          </w:tcPr>
          <w:p w14:paraId="617D4A44" w14:textId="6E3E1216" w:rsidR="00F00437" w:rsidRPr="0051293D" w:rsidRDefault="0051293D" w:rsidP="00F00437">
            <w:pPr>
              <w:jc w:val="right"/>
              <w:rPr>
                <w:rFonts w:ascii="Arial" w:hAnsi="Arial" w:cs="Arial"/>
                <w:sz w:val="20"/>
                <w:szCs w:val="20"/>
              </w:rPr>
            </w:pPr>
            <w:r>
              <w:rPr>
                <w:rFonts w:ascii="Arial" w:hAnsi="Arial" w:cs="Arial"/>
                <w:sz w:val="20"/>
                <w:szCs w:val="20"/>
              </w:rPr>
              <w:t>TBD</w:t>
            </w:r>
          </w:p>
        </w:tc>
        <w:tc>
          <w:tcPr>
            <w:tcW w:w="1317" w:type="dxa"/>
            <w:tcBorders>
              <w:top w:val="nil"/>
              <w:left w:val="single" w:sz="4" w:space="0" w:color="auto"/>
              <w:bottom w:val="nil"/>
              <w:right w:val="nil"/>
            </w:tcBorders>
            <w:shd w:val="clear" w:color="auto" w:fill="auto"/>
            <w:noWrap/>
            <w:vAlign w:val="bottom"/>
            <w:hideMark/>
          </w:tcPr>
          <w:p w14:paraId="1E96F131" w14:textId="77777777" w:rsidR="00F00437" w:rsidRPr="0051293D"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F00437" w:rsidRPr="00E07AE6" w:rsidRDefault="00F00437" w:rsidP="00F00437">
            <w:pPr>
              <w:rPr>
                <w:rFonts w:ascii="Arial" w:hAnsi="Arial" w:cs="Arial"/>
                <w:sz w:val="20"/>
                <w:szCs w:val="20"/>
              </w:rPr>
            </w:pPr>
          </w:p>
        </w:tc>
      </w:tr>
    </w:tbl>
    <w:p w14:paraId="303BE110" w14:textId="1100A291" w:rsidR="00A11259" w:rsidRDefault="00A11259" w:rsidP="00066FDA">
      <w:pPr>
        <w:rPr>
          <w:rFonts w:asciiTheme="minorHAnsi" w:hAnsiTheme="minorHAnsi" w:cstheme="minorHAnsi"/>
        </w:rPr>
      </w:pPr>
    </w:p>
    <w:p w14:paraId="43A85ED4" w14:textId="443B12B2" w:rsidR="00C34D30" w:rsidRDefault="00C34D30" w:rsidP="00C34D30">
      <w:pPr>
        <w:rPr>
          <w:rFonts w:asciiTheme="minorHAnsi" w:hAnsiTheme="minorHAnsi" w:cstheme="minorHAnsi"/>
          <w:i/>
          <w:iCs/>
        </w:rPr>
      </w:pPr>
      <w:r>
        <w:rPr>
          <w:rFonts w:asciiTheme="minorHAnsi" w:hAnsiTheme="minorHAnsi" w:cstheme="minorHAnsi"/>
          <w:i/>
          <w:iCs/>
        </w:rPr>
        <w:t>Note: Actual revenue and OH paid above includes $1,226 and $162 respectively, which were attributed to PLA in err</w:t>
      </w:r>
      <w:r w:rsidR="0048493E">
        <w:rPr>
          <w:rFonts w:asciiTheme="minorHAnsi" w:hAnsiTheme="minorHAnsi" w:cstheme="minorHAnsi"/>
          <w:i/>
          <w:iCs/>
        </w:rPr>
        <w:t>or</w:t>
      </w:r>
      <w:r>
        <w:rPr>
          <w:rFonts w:asciiTheme="minorHAnsi" w:hAnsiTheme="minorHAnsi" w:cstheme="minorHAnsi"/>
          <w:i/>
          <w:iCs/>
        </w:rPr>
        <w:t>, and will be corrected by February 2020.</w:t>
      </w:r>
    </w:p>
    <w:p w14:paraId="6069532A" w14:textId="77777777" w:rsidR="00C34D30" w:rsidRPr="000E032B" w:rsidRDefault="00C34D30" w:rsidP="00066FDA">
      <w:pPr>
        <w:rPr>
          <w:rFonts w:asciiTheme="minorHAnsi" w:hAnsiTheme="minorHAnsi" w:cstheme="minorHAnsi"/>
        </w:rPr>
      </w:pPr>
    </w:p>
    <w:p w14:paraId="3AF945DF" w14:textId="29DC47DC" w:rsidR="00C4715C" w:rsidRDefault="00FC72B4" w:rsidP="00C4715C">
      <w:pPr>
        <w:rPr>
          <w:rFonts w:asciiTheme="minorHAnsi" w:hAnsiTheme="minorHAnsi" w:cstheme="minorHAnsi"/>
        </w:rPr>
      </w:pPr>
      <w:r>
        <w:rPr>
          <w:rFonts w:asciiTheme="minorHAnsi" w:hAnsiTheme="minorHAnsi" w:cstheme="minorHAnsi"/>
          <w:u w:val="single"/>
        </w:rPr>
        <w:t>Operating Budget:</w:t>
      </w:r>
      <w:r>
        <w:rPr>
          <w:rFonts w:asciiTheme="minorHAnsi" w:hAnsiTheme="minorHAnsi" w:cstheme="minorHAnsi"/>
        </w:rPr>
        <w:t xml:space="preserve"> </w:t>
      </w:r>
      <w:r w:rsidR="00C4715C" w:rsidRPr="000E032B">
        <w:rPr>
          <w:rFonts w:asciiTheme="minorHAnsi" w:hAnsiTheme="minorHAnsi" w:cstheme="minorHAnsi"/>
        </w:rPr>
        <w:t xml:space="preserve">As of </w:t>
      </w:r>
      <w:r w:rsidR="0095009F">
        <w:rPr>
          <w:rFonts w:asciiTheme="minorHAnsi" w:hAnsiTheme="minorHAnsi" w:cstheme="minorHAnsi"/>
        </w:rPr>
        <w:t>December</w:t>
      </w:r>
      <w:r w:rsidR="00C4715C" w:rsidRPr="000E032B">
        <w:rPr>
          <w:rFonts w:asciiTheme="minorHAnsi" w:hAnsiTheme="minorHAnsi" w:cstheme="minorHAnsi"/>
        </w:rPr>
        <w:t xml:space="preserve"> 2019, PLA has an actual operating loss of $</w:t>
      </w:r>
      <w:r w:rsidR="0095009F">
        <w:rPr>
          <w:rFonts w:asciiTheme="minorHAnsi" w:hAnsiTheme="minorHAnsi" w:cstheme="minorHAnsi"/>
        </w:rPr>
        <w:t>374,722</w:t>
      </w:r>
      <w:r w:rsidR="00C4715C" w:rsidRPr="000E032B">
        <w:rPr>
          <w:rFonts w:asciiTheme="minorHAnsi" w:hAnsiTheme="minorHAnsi" w:cstheme="minorHAnsi"/>
        </w:rPr>
        <w:t>, compared to a budgeted operating loss of $</w:t>
      </w:r>
      <w:r w:rsidR="0095009F">
        <w:rPr>
          <w:rFonts w:asciiTheme="minorHAnsi" w:hAnsiTheme="minorHAnsi" w:cstheme="minorHAnsi"/>
        </w:rPr>
        <w:t>588,710</w:t>
      </w:r>
      <w:r w:rsidR="00C4715C" w:rsidRPr="000E032B">
        <w:rPr>
          <w:rFonts w:asciiTheme="minorHAnsi" w:hAnsiTheme="minorHAnsi" w:cstheme="minorHAnsi"/>
        </w:rPr>
        <w:t xml:space="preserve">. </w:t>
      </w:r>
      <w:r w:rsidR="00BC4143">
        <w:rPr>
          <w:rFonts w:asciiTheme="minorHAnsi" w:hAnsiTheme="minorHAnsi" w:cstheme="minorHAnsi"/>
        </w:rPr>
        <w:t>Revenue is generally on track, so this</w:t>
      </w:r>
      <w:r w:rsidR="00C4715C" w:rsidRPr="000E032B">
        <w:rPr>
          <w:rFonts w:asciiTheme="minorHAnsi" w:hAnsiTheme="minorHAnsi" w:cstheme="minorHAnsi"/>
        </w:rPr>
        <w:t xml:space="preserve"> significant (</w:t>
      </w:r>
      <w:r w:rsidR="00DA3B0A">
        <w:rPr>
          <w:rFonts w:asciiTheme="minorHAnsi" w:hAnsiTheme="minorHAnsi" w:cstheme="minorHAnsi"/>
        </w:rPr>
        <w:t>36</w:t>
      </w:r>
      <w:r w:rsidR="00C4715C" w:rsidRPr="000E032B">
        <w:rPr>
          <w:rFonts w:asciiTheme="minorHAnsi" w:hAnsiTheme="minorHAnsi" w:cstheme="minorHAnsi"/>
        </w:rPr>
        <w:t xml:space="preserve">%) </w:t>
      </w:r>
      <w:r w:rsidR="00C4715C" w:rsidRPr="00414458">
        <w:rPr>
          <w:rFonts w:asciiTheme="minorHAnsi" w:hAnsiTheme="minorHAnsi" w:cstheme="minorHAnsi"/>
        </w:rPr>
        <w:t xml:space="preserve">variance </w:t>
      </w:r>
      <w:r w:rsidR="00BC4143" w:rsidRPr="00414458">
        <w:rPr>
          <w:rFonts w:asciiTheme="minorHAnsi" w:hAnsiTheme="minorHAnsi" w:cstheme="minorHAnsi"/>
        </w:rPr>
        <w:t xml:space="preserve">can be attributed to lower/slower expenses during the first </w:t>
      </w:r>
      <w:r w:rsidR="00DA3B0A">
        <w:rPr>
          <w:rFonts w:asciiTheme="minorHAnsi" w:hAnsiTheme="minorHAnsi" w:cstheme="minorHAnsi"/>
        </w:rPr>
        <w:t>4</w:t>
      </w:r>
      <w:r w:rsidR="00BC4143" w:rsidRPr="00414458">
        <w:rPr>
          <w:rFonts w:asciiTheme="minorHAnsi" w:hAnsiTheme="minorHAnsi" w:cstheme="minorHAnsi"/>
        </w:rPr>
        <w:t xml:space="preserve"> months of Fiscal Year 2020</w:t>
      </w:r>
      <w:r w:rsidR="00C4715C" w:rsidRPr="00414458">
        <w:rPr>
          <w:rFonts w:asciiTheme="minorHAnsi" w:hAnsiTheme="minorHAnsi" w:cstheme="minorHAnsi"/>
        </w:rPr>
        <w:t>.</w:t>
      </w:r>
      <w:r w:rsidR="00B77C41" w:rsidRPr="00414458">
        <w:rPr>
          <w:rFonts w:asciiTheme="minorHAnsi" w:hAnsiTheme="minorHAnsi" w:cstheme="minorHAnsi"/>
        </w:rPr>
        <w:t xml:space="preserve"> </w:t>
      </w:r>
      <w:proofErr w:type="gramStart"/>
      <w:r w:rsidR="00B77C41" w:rsidRPr="00414458">
        <w:rPr>
          <w:rFonts w:asciiTheme="minorHAnsi" w:hAnsiTheme="minorHAnsi" w:cstheme="minorHAnsi"/>
        </w:rPr>
        <w:t>The majority of</w:t>
      </w:r>
      <w:proofErr w:type="gramEnd"/>
      <w:r w:rsidR="00B77C41" w:rsidRPr="00414458">
        <w:rPr>
          <w:rFonts w:asciiTheme="minorHAnsi" w:hAnsiTheme="minorHAnsi" w:cstheme="minorHAnsi"/>
        </w:rPr>
        <w:t xml:space="preserve"> PLA revenues and expenses are derived from the PLA 2020 conference; revenue for that conference will appear in March financials and much of the expense will appear post-conference as well.</w:t>
      </w:r>
      <w:r w:rsidR="00B77C41">
        <w:rPr>
          <w:rFonts w:asciiTheme="minorHAnsi" w:hAnsiTheme="minorHAnsi" w:cstheme="minorHAnsi"/>
        </w:rPr>
        <w:t xml:space="preserve"> </w:t>
      </w:r>
    </w:p>
    <w:p w14:paraId="02BD804B" w14:textId="77777777" w:rsidR="001F567C" w:rsidRPr="000E032B" w:rsidRDefault="001F567C" w:rsidP="00C4715C">
      <w:pPr>
        <w:rPr>
          <w:rFonts w:asciiTheme="minorHAnsi" w:hAnsiTheme="minorHAnsi" w:cstheme="minorHAnsi"/>
        </w:rPr>
      </w:pPr>
    </w:p>
    <w:p w14:paraId="767048DE" w14:textId="3491D7D0" w:rsidR="00DA3B0A" w:rsidRDefault="00E30603" w:rsidP="00BC4143">
      <w:pPr>
        <w:pStyle w:val="ListParagraph"/>
        <w:numPr>
          <w:ilvl w:val="0"/>
          <w:numId w:val="9"/>
        </w:numPr>
        <w:rPr>
          <w:rFonts w:asciiTheme="minorHAnsi" w:hAnsiTheme="minorHAnsi" w:cstheme="minorHAnsi"/>
        </w:rPr>
      </w:pPr>
      <w:r w:rsidRPr="000E032B">
        <w:rPr>
          <w:rFonts w:asciiTheme="minorHAnsi" w:hAnsiTheme="minorHAnsi" w:cstheme="minorHAnsi"/>
        </w:rPr>
        <w:t xml:space="preserve">Operating Revenue: </w:t>
      </w:r>
      <w:r w:rsidR="00BC4143">
        <w:rPr>
          <w:rFonts w:asciiTheme="minorHAnsi" w:hAnsiTheme="minorHAnsi" w:cstheme="minorHAnsi"/>
        </w:rPr>
        <w:t xml:space="preserve">At the close of </w:t>
      </w:r>
      <w:r w:rsidR="00DA3B0A">
        <w:rPr>
          <w:rFonts w:asciiTheme="minorHAnsi" w:hAnsiTheme="minorHAnsi" w:cstheme="minorHAnsi"/>
        </w:rPr>
        <w:t>December</w:t>
      </w:r>
      <w:r w:rsidR="00BC4143">
        <w:rPr>
          <w:rFonts w:asciiTheme="minorHAnsi" w:hAnsiTheme="minorHAnsi" w:cstheme="minorHAnsi"/>
        </w:rPr>
        <w:t xml:space="preserve"> 2019, PLA had budgeted for $</w:t>
      </w:r>
      <w:r w:rsidR="00DA3B0A">
        <w:rPr>
          <w:rFonts w:asciiTheme="minorHAnsi" w:hAnsiTheme="minorHAnsi" w:cstheme="minorHAnsi"/>
        </w:rPr>
        <w:t>371,174</w:t>
      </w:r>
      <w:r w:rsidR="00BC4143">
        <w:rPr>
          <w:rFonts w:asciiTheme="minorHAnsi" w:hAnsiTheme="minorHAnsi" w:cstheme="minorHAnsi"/>
        </w:rPr>
        <w:t xml:space="preserve"> in revenue and is under budget by about </w:t>
      </w:r>
      <w:r w:rsidR="00DA3B0A">
        <w:rPr>
          <w:rFonts w:asciiTheme="minorHAnsi" w:hAnsiTheme="minorHAnsi" w:cstheme="minorHAnsi"/>
        </w:rPr>
        <w:t>9</w:t>
      </w:r>
      <w:r w:rsidR="00BC4143">
        <w:rPr>
          <w:rFonts w:asciiTheme="minorHAnsi" w:hAnsiTheme="minorHAnsi" w:cstheme="minorHAnsi"/>
        </w:rPr>
        <w:t xml:space="preserve">%. Dues revenue is </w:t>
      </w:r>
      <w:r w:rsidR="00DA3B0A">
        <w:rPr>
          <w:rFonts w:asciiTheme="minorHAnsi" w:hAnsiTheme="minorHAnsi" w:cstheme="minorHAnsi"/>
        </w:rPr>
        <w:t>13% ($29,229) under budget, and donations are also lagging by 60% ($7,240)</w:t>
      </w:r>
      <w:r w:rsidR="00BC4143">
        <w:rPr>
          <w:rFonts w:asciiTheme="minorHAnsi" w:hAnsiTheme="minorHAnsi" w:cstheme="minorHAnsi"/>
        </w:rPr>
        <w:t xml:space="preserve">. </w:t>
      </w:r>
      <w:r w:rsidR="00DA3B0A">
        <w:rPr>
          <w:rFonts w:asciiTheme="minorHAnsi" w:hAnsiTheme="minorHAnsi" w:cstheme="minorHAnsi"/>
        </w:rPr>
        <w:t xml:space="preserve">Publications (collectively, Public Libraries and publication sales including Every Child Ready to Read) are under budget by $7,660, or 29%. The Space Planning workshops are on target, however Project Outcome Regional Trainings were eliminated (resulting in negative $39,309 variance as of December 2019), and Equity Starts With Us training events are 29% under budget </w:t>
      </w:r>
      <w:r w:rsidR="00DA3B0A">
        <w:rPr>
          <w:rFonts w:asciiTheme="minorHAnsi" w:hAnsiTheme="minorHAnsi" w:cstheme="minorHAnsi"/>
        </w:rPr>
        <w:lastRenderedPageBreak/>
        <w:t xml:space="preserve">($11,425) primarily because </w:t>
      </w:r>
      <w:r w:rsidR="00946EFE">
        <w:rPr>
          <w:rFonts w:asciiTheme="minorHAnsi" w:hAnsiTheme="minorHAnsi" w:cstheme="minorHAnsi"/>
        </w:rPr>
        <w:t>revenue was budgeted across FY20 months before the 2020 schedule was determined, and PLA’s first event is not until May 2020 as opposed to earlier as expected</w:t>
      </w:r>
      <w:r w:rsidR="00DA3B0A">
        <w:rPr>
          <w:rFonts w:asciiTheme="minorHAnsi" w:hAnsiTheme="minorHAnsi" w:cstheme="minorHAnsi"/>
        </w:rPr>
        <w:t>. The brightest spot in PLA revenue (other than PLA 2020 Conference) is paid webinars, which were budgeted to generate $5,967 by December but have received $40,918.</w:t>
      </w:r>
    </w:p>
    <w:p w14:paraId="5A110341" w14:textId="77777777" w:rsidR="001F567C" w:rsidRPr="001F567C" w:rsidRDefault="001F567C" w:rsidP="001F567C">
      <w:pPr>
        <w:ind w:left="360"/>
        <w:rPr>
          <w:rFonts w:asciiTheme="minorHAnsi" w:hAnsiTheme="minorHAnsi" w:cstheme="minorHAnsi"/>
        </w:rPr>
      </w:pPr>
    </w:p>
    <w:p w14:paraId="129C3E47" w14:textId="72A1E42B" w:rsidR="00946EFE" w:rsidRDefault="005D5242" w:rsidP="00C7690F">
      <w:pPr>
        <w:pStyle w:val="ListParagraph"/>
        <w:numPr>
          <w:ilvl w:val="0"/>
          <w:numId w:val="5"/>
        </w:numPr>
        <w:rPr>
          <w:rFonts w:asciiTheme="minorHAnsi" w:hAnsiTheme="minorHAnsi" w:cstheme="minorHAnsi"/>
        </w:rPr>
      </w:pPr>
      <w:r w:rsidRPr="000E032B">
        <w:rPr>
          <w:rFonts w:asciiTheme="minorHAnsi" w:hAnsiTheme="minorHAnsi" w:cstheme="minorHAnsi"/>
        </w:rPr>
        <w:t xml:space="preserve">Operating Expenses: </w:t>
      </w:r>
      <w:r w:rsidR="00BC4143">
        <w:rPr>
          <w:rFonts w:asciiTheme="minorHAnsi" w:hAnsiTheme="minorHAnsi" w:cstheme="minorHAnsi"/>
        </w:rPr>
        <w:t xml:space="preserve">At the close of </w:t>
      </w:r>
      <w:r w:rsidR="00946EFE">
        <w:rPr>
          <w:rFonts w:asciiTheme="minorHAnsi" w:hAnsiTheme="minorHAnsi" w:cstheme="minorHAnsi"/>
        </w:rPr>
        <w:t>December</w:t>
      </w:r>
      <w:r w:rsidR="00BC4143">
        <w:rPr>
          <w:rFonts w:asciiTheme="minorHAnsi" w:hAnsiTheme="minorHAnsi" w:cstheme="minorHAnsi"/>
        </w:rPr>
        <w:t xml:space="preserve"> 2019, PLA had budgeted to spend $</w:t>
      </w:r>
      <w:r w:rsidR="00946EFE" w:rsidRPr="00946EFE">
        <w:rPr>
          <w:rFonts w:asciiTheme="minorHAnsi" w:hAnsiTheme="minorHAnsi" w:cstheme="minorHAnsi"/>
        </w:rPr>
        <w:t>930,670</w:t>
      </w:r>
      <w:r w:rsidR="00946EFE">
        <w:rPr>
          <w:rFonts w:asciiTheme="minorHAnsi" w:hAnsiTheme="minorHAnsi" w:cstheme="minorHAnsi"/>
        </w:rPr>
        <w:t xml:space="preserve"> </w:t>
      </w:r>
      <w:r w:rsidR="002D0836">
        <w:rPr>
          <w:rFonts w:asciiTheme="minorHAnsi" w:hAnsiTheme="minorHAnsi" w:cstheme="minorHAnsi"/>
        </w:rPr>
        <w:t>and has spent $</w:t>
      </w:r>
      <w:r w:rsidR="00946EFE" w:rsidRPr="00946EFE">
        <w:rPr>
          <w:rFonts w:asciiTheme="minorHAnsi" w:hAnsiTheme="minorHAnsi" w:cstheme="minorHAnsi"/>
        </w:rPr>
        <w:t>693,284</w:t>
      </w:r>
      <w:r w:rsidR="002D0836">
        <w:rPr>
          <w:rFonts w:asciiTheme="minorHAnsi" w:hAnsiTheme="minorHAnsi" w:cstheme="minorHAnsi"/>
        </w:rPr>
        <w:t xml:space="preserve">, for a favorable variance of about </w:t>
      </w:r>
      <w:r w:rsidR="00946EFE">
        <w:rPr>
          <w:rFonts w:asciiTheme="minorHAnsi" w:hAnsiTheme="minorHAnsi" w:cstheme="minorHAnsi"/>
        </w:rPr>
        <w:t>26</w:t>
      </w:r>
      <w:r w:rsidR="002D0836">
        <w:rPr>
          <w:rFonts w:asciiTheme="minorHAnsi" w:hAnsiTheme="minorHAnsi" w:cstheme="minorHAnsi"/>
        </w:rPr>
        <w:t xml:space="preserve">%. </w:t>
      </w:r>
      <w:r w:rsidR="00946EFE">
        <w:rPr>
          <w:rFonts w:asciiTheme="minorHAnsi" w:hAnsiTheme="minorHAnsi" w:cstheme="minorHAnsi"/>
        </w:rPr>
        <w:t xml:space="preserve">A few projects are over PLA’s predicted expenses as of December 2019: Space Planning Workshops are 62% ($10,683) over; paid Webinars are 148% ($4,645) over; and DigitalLearn is 224% ($39,188) over because of needed upgrades to the platform and expenses to build two new subsites (which also increased revenue). </w:t>
      </w:r>
      <w:proofErr w:type="gramStart"/>
      <w:r w:rsidR="00946EFE">
        <w:rPr>
          <w:rFonts w:asciiTheme="minorHAnsi" w:hAnsiTheme="minorHAnsi" w:cstheme="minorHAnsi"/>
        </w:rPr>
        <w:t>Also</w:t>
      </w:r>
      <w:proofErr w:type="gramEnd"/>
      <w:r w:rsidR="00946EFE">
        <w:rPr>
          <w:rFonts w:asciiTheme="minorHAnsi" w:hAnsiTheme="minorHAnsi" w:cstheme="minorHAnsi"/>
        </w:rPr>
        <w:t xml:space="preserve"> PLA’s fundraising (Partners) project is over budget by $10,674 because most donations to fund the PLA 2020 scholarships came in during FY19, but scholarships were paid out in FY20. Other core projects – Administration, Public Libraries, Family Engagement, EDISJ, and ECRR – are all under budget</w:t>
      </w:r>
      <w:r w:rsidR="002069C0">
        <w:rPr>
          <w:rFonts w:asciiTheme="minorHAnsi" w:hAnsiTheme="minorHAnsi" w:cstheme="minorHAnsi"/>
        </w:rPr>
        <w:t>. The primary reason for the very large favorable variance in expenses, however, is the PLA 2020 Conference, for which promotional expenses have been much lower than budgeted and some facility and speaker payments did not occur as early as budgeted.</w:t>
      </w:r>
    </w:p>
    <w:p w14:paraId="3D6BD837" w14:textId="77777777" w:rsidR="00761259" w:rsidRPr="000E032B" w:rsidRDefault="00761259" w:rsidP="00761259">
      <w:pPr>
        <w:rPr>
          <w:rFonts w:asciiTheme="minorHAnsi" w:hAnsiTheme="minorHAnsi" w:cstheme="minorHAnsi"/>
          <w:u w:val="single"/>
        </w:rPr>
      </w:pPr>
    </w:p>
    <w:p w14:paraId="32D0548B" w14:textId="69F35111" w:rsidR="002D0836" w:rsidRDefault="00761259" w:rsidP="00F2597D">
      <w:pPr>
        <w:rPr>
          <w:rFonts w:asciiTheme="minorHAnsi" w:hAnsiTheme="minorHAnsi" w:cstheme="minorHAnsi"/>
        </w:rPr>
      </w:pPr>
      <w:r w:rsidRPr="000E032B">
        <w:rPr>
          <w:rFonts w:asciiTheme="minorHAnsi" w:hAnsiTheme="minorHAnsi" w:cstheme="minorHAnsi"/>
          <w:u w:val="single"/>
        </w:rPr>
        <w:t>Grant Budgets</w:t>
      </w:r>
      <w:r w:rsidR="00FC72B4">
        <w:rPr>
          <w:rFonts w:asciiTheme="minorHAnsi" w:hAnsiTheme="minorHAnsi" w:cstheme="minorHAnsi"/>
          <w:u w:val="single"/>
        </w:rPr>
        <w:t>:</w:t>
      </w:r>
      <w:r w:rsidR="00FC72B4">
        <w:rPr>
          <w:rFonts w:asciiTheme="minorHAnsi" w:hAnsiTheme="minorHAnsi" w:cstheme="minorHAnsi"/>
        </w:rPr>
        <w:t xml:space="preserve"> </w:t>
      </w:r>
      <w:r w:rsidRPr="000E032B">
        <w:rPr>
          <w:rFonts w:asciiTheme="minorHAnsi" w:hAnsiTheme="minorHAnsi" w:cstheme="minorHAnsi"/>
        </w:rPr>
        <w:t>By</w:t>
      </w:r>
      <w:r w:rsidR="00DB0302" w:rsidRPr="000E032B">
        <w:rPr>
          <w:rFonts w:asciiTheme="minorHAnsi" w:hAnsiTheme="minorHAnsi" w:cstheme="minorHAnsi"/>
        </w:rPr>
        <w:t xml:space="preserve"> the close of </w:t>
      </w:r>
      <w:r w:rsidR="00E20BE3">
        <w:rPr>
          <w:rFonts w:asciiTheme="minorHAnsi" w:hAnsiTheme="minorHAnsi" w:cstheme="minorHAnsi"/>
        </w:rPr>
        <w:t>December</w:t>
      </w:r>
      <w:r w:rsidR="00DE6F47" w:rsidRPr="000E032B">
        <w:rPr>
          <w:rFonts w:asciiTheme="minorHAnsi" w:hAnsiTheme="minorHAnsi" w:cstheme="minorHAnsi"/>
        </w:rPr>
        <w:t xml:space="preserve"> </w:t>
      </w:r>
      <w:r w:rsidR="002D0836">
        <w:rPr>
          <w:rFonts w:asciiTheme="minorHAnsi" w:hAnsiTheme="minorHAnsi" w:cstheme="minorHAnsi"/>
        </w:rPr>
        <w:t>2019</w:t>
      </w:r>
      <w:r w:rsidR="00346867" w:rsidRPr="000E032B">
        <w:rPr>
          <w:rFonts w:asciiTheme="minorHAnsi" w:hAnsiTheme="minorHAnsi" w:cstheme="minorHAnsi"/>
        </w:rPr>
        <w:t>,</w:t>
      </w:r>
      <w:r w:rsidR="00CA080C" w:rsidRPr="000E032B">
        <w:rPr>
          <w:rFonts w:asciiTheme="minorHAnsi" w:hAnsiTheme="minorHAnsi" w:cstheme="minorHAnsi"/>
        </w:rPr>
        <w:t xml:space="preserve"> PLA h</w:t>
      </w:r>
      <w:r w:rsidR="00DB0302" w:rsidRPr="000E032B">
        <w:rPr>
          <w:rFonts w:asciiTheme="minorHAnsi" w:hAnsiTheme="minorHAnsi" w:cstheme="minorHAnsi"/>
        </w:rPr>
        <w:t xml:space="preserve">ad </w:t>
      </w:r>
      <w:r w:rsidR="00CA080C" w:rsidRPr="000E032B">
        <w:rPr>
          <w:rFonts w:asciiTheme="minorHAnsi" w:hAnsiTheme="minorHAnsi" w:cstheme="minorHAnsi"/>
        </w:rPr>
        <w:t xml:space="preserve">spent </w:t>
      </w:r>
      <w:r w:rsidR="002D0836">
        <w:rPr>
          <w:rFonts w:asciiTheme="minorHAnsi" w:hAnsiTheme="minorHAnsi" w:cstheme="minorHAnsi"/>
        </w:rPr>
        <w:t>$</w:t>
      </w:r>
      <w:r w:rsidR="00E20BE3">
        <w:rPr>
          <w:rFonts w:asciiTheme="minorHAnsi" w:hAnsiTheme="minorHAnsi" w:cstheme="minorHAnsi"/>
        </w:rPr>
        <w:t>651,378</w:t>
      </w:r>
      <w:r w:rsidR="002D0836">
        <w:rPr>
          <w:rFonts w:asciiTheme="minorHAnsi" w:hAnsiTheme="minorHAnsi" w:cstheme="minorHAnsi"/>
        </w:rPr>
        <w:t xml:space="preserve"> in grant funds compared to a budgeted amount of $</w:t>
      </w:r>
      <w:r w:rsidR="00E20BE3">
        <w:rPr>
          <w:rFonts w:asciiTheme="minorHAnsi" w:hAnsiTheme="minorHAnsi" w:cstheme="minorHAnsi"/>
        </w:rPr>
        <w:t>718,794</w:t>
      </w:r>
      <w:r w:rsidR="002D0836">
        <w:rPr>
          <w:rFonts w:asciiTheme="minorHAnsi" w:hAnsiTheme="minorHAnsi" w:cstheme="minorHAnsi"/>
        </w:rPr>
        <w:t>, for a modest (</w:t>
      </w:r>
      <w:r w:rsidR="00E20BE3">
        <w:rPr>
          <w:rFonts w:asciiTheme="minorHAnsi" w:hAnsiTheme="minorHAnsi" w:cstheme="minorHAnsi"/>
        </w:rPr>
        <w:t>9</w:t>
      </w:r>
      <w:r w:rsidR="002D0836">
        <w:rPr>
          <w:rFonts w:asciiTheme="minorHAnsi" w:hAnsiTheme="minorHAnsi" w:cstheme="minorHAnsi"/>
        </w:rPr>
        <w:t>%)</w:t>
      </w:r>
      <w:r w:rsidR="00F54582">
        <w:rPr>
          <w:rFonts w:asciiTheme="minorHAnsi" w:hAnsiTheme="minorHAnsi" w:cstheme="minorHAnsi"/>
        </w:rPr>
        <w:t xml:space="preserve"> positive variance.</w:t>
      </w:r>
    </w:p>
    <w:p w14:paraId="4A557BDF" w14:textId="4C7E04A2" w:rsidR="00001D56" w:rsidRPr="000E032B" w:rsidRDefault="00001D56" w:rsidP="00F2597D">
      <w:pPr>
        <w:rPr>
          <w:rFonts w:asciiTheme="minorHAnsi" w:hAnsiTheme="minorHAnsi" w:cstheme="minorHAnsi"/>
        </w:rPr>
      </w:pPr>
    </w:p>
    <w:p w14:paraId="676C4888" w14:textId="7B0DC687" w:rsidR="00F54582" w:rsidRDefault="00001D56" w:rsidP="00F2597D">
      <w:pPr>
        <w:rPr>
          <w:rFonts w:asciiTheme="minorHAnsi" w:hAnsiTheme="minorHAnsi" w:cstheme="minorHAnsi"/>
        </w:rPr>
      </w:pPr>
      <w:r w:rsidRPr="000E032B">
        <w:rPr>
          <w:rFonts w:asciiTheme="minorHAnsi" w:hAnsiTheme="minorHAnsi" w:cstheme="minorHAnsi"/>
          <w:u w:val="single"/>
        </w:rPr>
        <w:t>PLA Long</w:t>
      </w:r>
      <w:r w:rsidR="008D1846">
        <w:rPr>
          <w:rFonts w:asciiTheme="minorHAnsi" w:hAnsiTheme="minorHAnsi" w:cstheme="minorHAnsi"/>
          <w:u w:val="single"/>
        </w:rPr>
        <w:t>-</w:t>
      </w:r>
      <w:r w:rsidRPr="000E032B">
        <w:rPr>
          <w:rFonts w:asciiTheme="minorHAnsi" w:hAnsiTheme="minorHAnsi" w:cstheme="minorHAnsi"/>
          <w:u w:val="single"/>
        </w:rPr>
        <w:t>Term Investment</w:t>
      </w:r>
      <w:r w:rsidR="00FC72B4">
        <w:rPr>
          <w:rFonts w:asciiTheme="minorHAnsi" w:hAnsiTheme="minorHAnsi" w:cstheme="minorHAnsi"/>
          <w:u w:val="single"/>
        </w:rPr>
        <w:t>:</w:t>
      </w:r>
      <w:r w:rsidR="00FC72B4">
        <w:rPr>
          <w:rFonts w:asciiTheme="minorHAnsi" w:hAnsiTheme="minorHAnsi" w:cstheme="minorHAnsi"/>
        </w:rPr>
        <w:t xml:space="preserve"> </w:t>
      </w:r>
      <w:r w:rsidR="00F54582">
        <w:rPr>
          <w:rFonts w:asciiTheme="minorHAnsi" w:hAnsiTheme="minorHAnsi" w:cstheme="minorHAnsi"/>
        </w:rPr>
        <w:t xml:space="preserve">FY19 </w:t>
      </w:r>
      <w:r w:rsidR="00B15058">
        <w:rPr>
          <w:rFonts w:asciiTheme="minorHAnsi" w:hAnsiTheme="minorHAnsi" w:cstheme="minorHAnsi"/>
        </w:rPr>
        <w:t>c</w:t>
      </w:r>
      <w:r w:rsidR="00F54582">
        <w:rPr>
          <w:rFonts w:asciiTheme="minorHAnsi" w:hAnsiTheme="minorHAnsi" w:cstheme="minorHAnsi"/>
        </w:rPr>
        <w:t xml:space="preserve">losing figures for PLA’s </w:t>
      </w:r>
      <w:r w:rsidR="008D1846">
        <w:rPr>
          <w:rFonts w:asciiTheme="minorHAnsi" w:hAnsiTheme="minorHAnsi" w:cstheme="minorHAnsi"/>
        </w:rPr>
        <w:t>long-term</w:t>
      </w:r>
      <w:r w:rsidRPr="000E032B">
        <w:rPr>
          <w:rFonts w:asciiTheme="minorHAnsi" w:hAnsiTheme="minorHAnsi" w:cstheme="minorHAnsi"/>
        </w:rPr>
        <w:t xml:space="preserve"> investment </w:t>
      </w:r>
      <w:r w:rsidR="00F54582">
        <w:rPr>
          <w:rFonts w:asciiTheme="minorHAnsi" w:hAnsiTheme="minorHAnsi" w:cstheme="minorHAnsi"/>
        </w:rPr>
        <w:t>are not yet available in Prophix for reporting.</w:t>
      </w:r>
    </w:p>
    <w:p w14:paraId="5230C1E2" w14:textId="77777777" w:rsidR="00EB2CF8" w:rsidRPr="00F54582" w:rsidRDefault="00EB2CF8" w:rsidP="00F54582">
      <w:pPr>
        <w:rPr>
          <w:rFonts w:asciiTheme="minorHAnsi" w:hAnsiTheme="minorHAnsi" w:cstheme="minorHAnsi"/>
        </w:rPr>
      </w:pPr>
    </w:p>
    <w:p w14:paraId="65B67459" w14:textId="314AF57D" w:rsidR="00C7690F" w:rsidRPr="00B561F1" w:rsidRDefault="00EB2CF8" w:rsidP="00FC72B4">
      <w:pPr>
        <w:rPr>
          <w:rFonts w:asciiTheme="minorHAnsi" w:hAnsiTheme="minorHAnsi" w:cstheme="minorHAnsi"/>
        </w:rPr>
      </w:pPr>
      <w:r w:rsidRPr="000E032B">
        <w:rPr>
          <w:rFonts w:asciiTheme="minorHAnsi" w:hAnsiTheme="minorHAnsi" w:cstheme="minorHAnsi"/>
          <w:u w:val="single"/>
        </w:rPr>
        <w:t>Overhead</w:t>
      </w:r>
      <w:r w:rsidR="00FC72B4">
        <w:rPr>
          <w:rFonts w:asciiTheme="minorHAnsi" w:hAnsiTheme="minorHAnsi" w:cstheme="minorHAnsi"/>
          <w:u w:val="single"/>
        </w:rPr>
        <w:t>:</w:t>
      </w:r>
      <w:r w:rsidR="00FC72B4">
        <w:rPr>
          <w:rFonts w:asciiTheme="minorHAnsi" w:hAnsiTheme="minorHAnsi" w:cstheme="minorHAnsi"/>
        </w:rPr>
        <w:t xml:space="preserve"> </w:t>
      </w:r>
      <w:r w:rsidR="00F54582">
        <w:rPr>
          <w:rFonts w:asciiTheme="minorHAnsi" w:hAnsiTheme="minorHAnsi" w:cstheme="minorHAnsi"/>
        </w:rPr>
        <w:t xml:space="preserve">As of </w:t>
      </w:r>
      <w:r w:rsidR="00E20BE3">
        <w:rPr>
          <w:rFonts w:asciiTheme="minorHAnsi" w:hAnsiTheme="minorHAnsi" w:cstheme="minorHAnsi"/>
        </w:rPr>
        <w:t>December</w:t>
      </w:r>
      <w:r w:rsidR="00F54582">
        <w:rPr>
          <w:rFonts w:asciiTheme="minorHAnsi" w:hAnsiTheme="minorHAnsi" w:cstheme="minorHAnsi"/>
        </w:rPr>
        <w:t xml:space="preserve"> 2019, PLA was budgeted to provide a total of </w:t>
      </w:r>
      <w:r w:rsidR="00FC72B4">
        <w:rPr>
          <w:rFonts w:asciiTheme="minorHAnsi" w:hAnsiTheme="minorHAnsi" w:cstheme="minorHAnsi"/>
        </w:rPr>
        <w:t>$</w:t>
      </w:r>
      <w:r w:rsidR="00E20BE3">
        <w:rPr>
          <w:rFonts w:asciiTheme="minorHAnsi" w:hAnsiTheme="minorHAnsi" w:cstheme="minorHAnsi"/>
        </w:rPr>
        <w:t>60,611</w:t>
      </w:r>
      <w:r w:rsidR="00FC72B4">
        <w:rPr>
          <w:rFonts w:asciiTheme="minorHAnsi" w:hAnsiTheme="minorHAnsi" w:cstheme="minorHAnsi"/>
        </w:rPr>
        <w:t xml:space="preserve"> in overhead and taxes to ALA and had paid $</w:t>
      </w:r>
      <w:r w:rsidR="00E20BE3">
        <w:rPr>
          <w:rFonts w:asciiTheme="minorHAnsi" w:hAnsiTheme="minorHAnsi" w:cstheme="minorHAnsi"/>
        </w:rPr>
        <w:t>21,365</w:t>
      </w:r>
      <w:r w:rsidR="00FC72B4">
        <w:rPr>
          <w:rFonts w:asciiTheme="minorHAnsi" w:hAnsiTheme="minorHAnsi" w:cstheme="minorHAnsi"/>
        </w:rPr>
        <w:t>. The variance is due to timing of registration fee income for paid CE events. In addition, ALA did not yet assess about $20,000 in overhead it is due, based on expenses paid in one grant project.</w:t>
      </w:r>
    </w:p>
    <w:sectPr w:rsidR="00C7690F" w:rsidRPr="00B561F1"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274B" w14:textId="77777777" w:rsidR="00234660" w:rsidRDefault="00234660" w:rsidP="00D77AFC">
      <w:r>
        <w:separator/>
      </w:r>
    </w:p>
  </w:endnote>
  <w:endnote w:type="continuationSeparator" w:id="0">
    <w:p w14:paraId="6075329E" w14:textId="77777777" w:rsidR="00234660" w:rsidRDefault="00234660"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009E" w14:textId="77777777" w:rsidR="00234660" w:rsidRDefault="00234660" w:rsidP="00D77AFC">
      <w:r>
        <w:separator/>
      </w:r>
    </w:p>
  </w:footnote>
  <w:footnote w:type="continuationSeparator" w:id="0">
    <w:p w14:paraId="0756D42E" w14:textId="77777777" w:rsidR="00234660" w:rsidRDefault="00234660"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138D" w14:textId="77777777" w:rsidR="00DE7873" w:rsidRPr="00DE7873" w:rsidRDefault="00DE7873" w:rsidP="00DE7873">
    <w:pPr>
      <w:pStyle w:val="Header"/>
      <w:jc w:val="right"/>
      <w:rPr>
        <w:rFonts w:asciiTheme="minorHAnsi" w:hAnsiTheme="minorHAnsi"/>
        <w:sz w:val="20"/>
        <w:szCs w:val="20"/>
      </w:rPr>
    </w:pPr>
    <w:r w:rsidRPr="00DE7873">
      <w:rPr>
        <w:rFonts w:asciiTheme="minorHAnsi" w:hAnsiTheme="minorHAnsi"/>
        <w:sz w:val="22"/>
        <w:szCs w:val="22"/>
      </w:rPr>
      <w:t>PLA Board of Directors</w:t>
    </w:r>
  </w:p>
  <w:p w14:paraId="2A39CDAF" w14:textId="4972A046" w:rsidR="00DE7873" w:rsidRPr="00DE7873" w:rsidRDefault="00DE7873" w:rsidP="00DE7873">
    <w:pPr>
      <w:pStyle w:val="Header"/>
      <w:jc w:val="right"/>
      <w:rPr>
        <w:rFonts w:asciiTheme="minorHAnsi" w:hAnsiTheme="minorHAnsi"/>
        <w:sz w:val="22"/>
        <w:szCs w:val="22"/>
      </w:rPr>
    </w:pPr>
    <w:r w:rsidRPr="00DE7873">
      <w:rPr>
        <w:rFonts w:asciiTheme="minorHAnsi" w:hAnsiTheme="minorHAnsi"/>
        <w:sz w:val="22"/>
        <w:szCs w:val="22"/>
      </w:rPr>
      <w:t xml:space="preserve">February 2020 Board Meeting </w:t>
    </w:r>
  </w:p>
  <w:p w14:paraId="069474AA" w14:textId="38322A9E" w:rsidR="00DE7873" w:rsidRPr="00DE7873" w:rsidRDefault="00DE7873" w:rsidP="00DE7873">
    <w:pPr>
      <w:pStyle w:val="Header"/>
      <w:jc w:val="right"/>
      <w:rPr>
        <w:rFonts w:asciiTheme="minorHAnsi" w:hAnsiTheme="minorHAnsi"/>
        <w:sz w:val="22"/>
        <w:szCs w:val="22"/>
      </w:rPr>
    </w:pPr>
    <w:r w:rsidRPr="00DE7873">
      <w:rPr>
        <w:rFonts w:asciiTheme="minorHAnsi" w:hAnsiTheme="minorHAnsi"/>
        <w:sz w:val="22"/>
        <w:szCs w:val="22"/>
      </w:rPr>
      <w:t>Document no.: 2020.</w:t>
    </w:r>
    <w:r w:rsidR="00FB7DE7">
      <w:rPr>
        <w:rFonts w:asciiTheme="minorHAnsi" w:hAnsiTheme="minorHAnsi"/>
        <w:sz w:val="22"/>
        <w:szCs w:val="22"/>
      </w:rPr>
      <w:t>37</w:t>
    </w:r>
  </w:p>
  <w:p w14:paraId="68F402B2" w14:textId="77777777" w:rsidR="00B61540" w:rsidRDefault="00B61540" w:rsidP="009500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3768C"/>
    <w:rsid w:val="000448C0"/>
    <w:rsid w:val="00052BFE"/>
    <w:rsid w:val="00066FDA"/>
    <w:rsid w:val="000825E8"/>
    <w:rsid w:val="0008346F"/>
    <w:rsid w:val="00087570"/>
    <w:rsid w:val="0009650A"/>
    <w:rsid w:val="000A512F"/>
    <w:rsid w:val="000C6E64"/>
    <w:rsid w:val="000D543F"/>
    <w:rsid w:val="000E032B"/>
    <w:rsid w:val="00114C41"/>
    <w:rsid w:val="00120674"/>
    <w:rsid w:val="00156E6E"/>
    <w:rsid w:val="0016145B"/>
    <w:rsid w:val="00182C7D"/>
    <w:rsid w:val="001A098F"/>
    <w:rsid w:val="001F567C"/>
    <w:rsid w:val="002069C0"/>
    <w:rsid w:val="00216518"/>
    <w:rsid w:val="00217AF7"/>
    <w:rsid w:val="00234660"/>
    <w:rsid w:val="002474F3"/>
    <w:rsid w:val="002553AC"/>
    <w:rsid w:val="00256C4C"/>
    <w:rsid w:val="00265906"/>
    <w:rsid w:val="00277F2D"/>
    <w:rsid w:val="0028379B"/>
    <w:rsid w:val="002A46AE"/>
    <w:rsid w:val="002B1B2B"/>
    <w:rsid w:val="002D0836"/>
    <w:rsid w:val="002D28C0"/>
    <w:rsid w:val="002D6B21"/>
    <w:rsid w:val="002E6F20"/>
    <w:rsid w:val="00302609"/>
    <w:rsid w:val="003053B6"/>
    <w:rsid w:val="00316C04"/>
    <w:rsid w:val="00346867"/>
    <w:rsid w:val="00356EBF"/>
    <w:rsid w:val="003C3A1D"/>
    <w:rsid w:val="003E5C6C"/>
    <w:rsid w:val="00402835"/>
    <w:rsid w:val="00411519"/>
    <w:rsid w:val="00414458"/>
    <w:rsid w:val="00424D56"/>
    <w:rsid w:val="00425AF1"/>
    <w:rsid w:val="00433AD9"/>
    <w:rsid w:val="00437426"/>
    <w:rsid w:val="00442B24"/>
    <w:rsid w:val="0047062B"/>
    <w:rsid w:val="0048493E"/>
    <w:rsid w:val="004B18B2"/>
    <w:rsid w:val="004C3FBF"/>
    <w:rsid w:val="0051293D"/>
    <w:rsid w:val="005224FA"/>
    <w:rsid w:val="00534DAE"/>
    <w:rsid w:val="00537A47"/>
    <w:rsid w:val="00546CF8"/>
    <w:rsid w:val="0055215A"/>
    <w:rsid w:val="00573F34"/>
    <w:rsid w:val="00582C53"/>
    <w:rsid w:val="00592D90"/>
    <w:rsid w:val="005957D8"/>
    <w:rsid w:val="005B6EDE"/>
    <w:rsid w:val="005B7149"/>
    <w:rsid w:val="005D5242"/>
    <w:rsid w:val="005E03CE"/>
    <w:rsid w:val="005F5657"/>
    <w:rsid w:val="00626D85"/>
    <w:rsid w:val="00645C46"/>
    <w:rsid w:val="006466F6"/>
    <w:rsid w:val="006A40F8"/>
    <w:rsid w:val="006D629D"/>
    <w:rsid w:val="006F0CD3"/>
    <w:rsid w:val="006F67A0"/>
    <w:rsid w:val="007076AA"/>
    <w:rsid w:val="0073345D"/>
    <w:rsid w:val="00733FD1"/>
    <w:rsid w:val="00761259"/>
    <w:rsid w:val="007912E3"/>
    <w:rsid w:val="007D1269"/>
    <w:rsid w:val="007F5DA8"/>
    <w:rsid w:val="008130BC"/>
    <w:rsid w:val="00834DB1"/>
    <w:rsid w:val="008374E4"/>
    <w:rsid w:val="00854B66"/>
    <w:rsid w:val="00867426"/>
    <w:rsid w:val="008B0E11"/>
    <w:rsid w:val="008D1846"/>
    <w:rsid w:val="008F3B3E"/>
    <w:rsid w:val="00927FF6"/>
    <w:rsid w:val="009453E5"/>
    <w:rsid w:val="00946EFE"/>
    <w:rsid w:val="0095009F"/>
    <w:rsid w:val="00974C47"/>
    <w:rsid w:val="009846CC"/>
    <w:rsid w:val="009C60E0"/>
    <w:rsid w:val="009E5024"/>
    <w:rsid w:val="009E67A2"/>
    <w:rsid w:val="009F1B79"/>
    <w:rsid w:val="009F6322"/>
    <w:rsid w:val="00A11259"/>
    <w:rsid w:val="00A16D21"/>
    <w:rsid w:val="00A35B5A"/>
    <w:rsid w:val="00A67305"/>
    <w:rsid w:val="00A85A67"/>
    <w:rsid w:val="00AA02AB"/>
    <w:rsid w:val="00AD7BB8"/>
    <w:rsid w:val="00AD7E18"/>
    <w:rsid w:val="00AE544A"/>
    <w:rsid w:val="00B1101F"/>
    <w:rsid w:val="00B15058"/>
    <w:rsid w:val="00B23696"/>
    <w:rsid w:val="00B33D93"/>
    <w:rsid w:val="00B53E86"/>
    <w:rsid w:val="00B561F1"/>
    <w:rsid w:val="00B61540"/>
    <w:rsid w:val="00B65449"/>
    <w:rsid w:val="00B77C41"/>
    <w:rsid w:val="00B84F45"/>
    <w:rsid w:val="00BA041A"/>
    <w:rsid w:val="00BC4143"/>
    <w:rsid w:val="00BE0549"/>
    <w:rsid w:val="00C255A8"/>
    <w:rsid w:val="00C27CE6"/>
    <w:rsid w:val="00C31BAC"/>
    <w:rsid w:val="00C34D30"/>
    <w:rsid w:val="00C34F2C"/>
    <w:rsid w:val="00C3733B"/>
    <w:rsid w:val="00C44958"/>
    <w:rsid w:val="00C44CA3"/>
    <w:rsid w:val="00C46558"/>
    <w:rsid w:val="00C4715C"/>
    <w:rsid w:val="00C5176C"/>
    <w:rsid w:val="00C6486A"/>
    <w:rsid w:val="00C716D7"/>
    <w:rsid w:val="00C74202"/>
    <w:rsid w:val="00C7690F"/>
    <w:rsid w:val="00C77E2D"/>
    <w:rsid w:val="00C87549"/>
    <w:rsid w:val="00CA080C"/>
    <w:rsid w:val="00CB7EA8"/>
    <w:rsid w:val="00CE1AA7"/>
    <w:rsid w:val="00D0217D"/>
    <w:rsid w:val="00D11622"/>
    <w:rsid w:val="00D1600D"/>
    <w:rsid w:val="00D162C9"/>
    <w:rsid w:val="00D16397"/>
    <w:rsid w:val="00D3328E"/>
    <w:rsid w:val="00D34667"/>
    <w:rsid w:val="00D77AFC"/>
    <w:rsid w:val="00D87AAC"/>
    <w:rsid w:val="00D93C96"/>
    <w:rsid w:val="00DA3B0A"/>
    <w:rsid w:val="00DA3FCA"/>
    <w:rsid w:val="00DB0302"/>
    <w:rsid w:val="00DD76DD"/>
    <w:rsid w:val="00DE04F6"/>
    <w:rsid w:val="00DE6F47"/>
    <w:rsid w:val="00DE7873"/>
    <w:rsid w:val="00E11993"/>
    <w:rsid w:val="00E20BE3"/>
    <w:rsid w:val="00E30603"/>
    <w:rsid w:val="00E32773"/>
    <w:rsid w:val="00E37F41"/>
    <w:rsid w:val="00E40392"/>
    <w:rsid w:val="00E572AC"/>
    <w:rsid w:val="00E71946"/>
    <w:rsid w:val="00E73495"/>
    <w:rsid w:val="00E769C9"/>
    <w:rsid w:val="00E805CC"/>
    <w:rsid w:val="00E83C72"/>
    <w:rsid w:val="00E95FF8"/>
    <w:rsid w:val="00EB2CF8"/>
    <w:rsid w:val="00EB31FE"/>
    <w:rsid w:val="00ED693C"/>
    <w:rsid w:val="00EE2579"/>
    <w:rsid w:val="00EF7E31"/>
    <w:rsid w:val="00F00437"/>
    <w:rsid w:val="00F12736"/>
    <w:rsid w:val="00F209CE"/>
    <w:rsid w:val="00F20B36"/>
    <w:rsid w:val="00F2597D"/>
    <w:rsid w:val="00F42F14"/>
    <w:rsid w:val="00F53D26"/>
    <w:rsid w:val="00F54582"/>
    <w:rsid w:val="00F832E5"/>
    <w:rsid w:val="00FA13C8"/>
    <w:rsid w:val="00FB7024"/>
    <w:rsid w:val="00FB7476"/>
    <w:rsid w:val="00FB7DE7"/>
    <w:rsid w:val="00FC72B4"/>
    <w:rsid w:val="00FD1E5C"/>
    <w:rsid w:val="00FE3E89"/>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223758253">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2</cp:revision>
  <cp:lastPrinted>2018-04-25T19:03:00Z</cp:lastPrinted>
  <dcterms:created xsi:type="dcterms:W3CDTF">2020-02-14T19:44:00Z</dcterms:created>
  <dcterms:modified xsi:type="dcterms:W3CDTF">2020-02-14T19:44:00Z</dcterms:modified>
</cp:coreProperties>
</file>